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ytm-20250630x10q.htm"/>
        <w:bookmarkStart w:id="1" w:name="ksrytm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18752c92_76a1_4d8c_9322_c6bedd98f50c"/>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4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40"/>
              <w:jc w:val="left"/>
              <w:rPr/>
            </w:pPr>
            <w:r>
              <w:rPr/>
              <w:t>☒</w:t>
            </w:r>
          </w:p>
        </w:tc>
        <w:tc>
          <w:tcPr>
            <w:tcW w:w="9421" w:type="dxa"/>
            <w:tcBorders/>
            <w:vAlign w:val="center"/>
          </w:tcPr>
          <w:p>
            <w:pPr>
              <w:pStyle w:val="TableContents"/>
              <w:bidi w:val="0"/>
              <w:spacing w:before="0" w:after="14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June 30, 2025</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40"/>
              <w:jc w:val="left"/>
              <w:rPr/>
            </w:pPr>
            <w:r>
              <w:rPr/>
              <w:t>☐</w:t>
            </w:r>
          </w:p>
        </w:tc>
        <w:tc>
          <w:tcPr>
            <w:tcW w:w="9421" w:type="dxa"/>
            <w:tcBorders/>
            <w:vAlign w:val="center"/>
          </w:tcPr>
          <w:p>
            <w:pPr>
              <w:pStyle w:val="TableContents"/>
              <w:bidi w:val="0"/>
              <w:spacing w:before="0" w:after="14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         </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Commission file number 001-38223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RHYTHM PHARMACEUTICALS, INC.</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Normal"/>
        <w:bidi w:val="0"/>
        <w:spacing w:before="0" w:after="0"/>
        <w:jc w:val="left"/>
        <w:rPr>
          <w:sz w:val="4"/>
          <w:szCs w:val="4"/>
        </w:rPr>
      </w:pPr>
      <w:r>
        <w:rPr>
          <w:sz w:val="4"/>
          <w:szCs w:val="4"/>
        </w:rPr>
      </w:r>
      <w:bookmarkStart w:id="3" w:name="Tc__DAJSq4YjECPbDhN2dk5OA_3_1"/>
      <w:bookmarkStart w:id="4" w:name="Tc_EGx_5GqIZ0-aLZd5v6AM6Q_3_0"/>
      <w:bookmarkStart w:id="5" w:name="Tc_TCf-rosbG0e-k3LcXsmWQQ_2_1"/>
      <w:bookmarkStart w:id="6" w:name="Tc_2x4YT2jsUEGtA8awedPHfw_2_0"/>
      <w:bookmarkStart w:id="7" w:name="_f6bef5e1_b011_4f85_bca6_4f2feeb37bc1"/>
      <w:bookmarkStart w:id="8" w:name="Tc__DAJSq4YjECPbDhN2dk5OA_3_1"/>
      <w:bookmarkStart w:id="9" w:name="Tc_EGx_5GqIZ0-aLZd5v6AM6Q_3_0"/>
      <w:bookmarkStart w:id="10" w:name="Tc_TCf-rosbG0e-k3LcXsmWQQ_2_1"/>
      <w:bookmarkStart w:id="11" w:name="Tc_2x4YT2jsUEGtA8awedPHfw_2_0"/>
      <w:bookmarkStart w:id="12" w:name="_f6bef5e1_b011_4f85_bca6_4f2feeb37bc1"/>
      <w:bookmarkEnd w:id="8"/>
      <w:bookmarkEnd w:id="9"/>
      <w:bookmarkEnd w:id="10"/>
      <w:bookmarkEnd w:id="11"/>
      <w:bookmarkEnd w:id="12"/>
    </w:p>
    <w:tbl>
      <w:tblPr>
        <w:tblW w:w="3092" w:type="dxa"/>
        <w:jc w:val="left"/>
        <w:tblInd w:w="0" w:type="dxa"/>
        <w:tblLayout w:type="fixed"/>
        <w:tblCellMar>
          <w:top w:w="0" w:type="dxa"/>
          <w:left w:w="0" w:type="dxa"/>
          <w:bottom w:w="0" w:type="dxa"/>
          <w:right w:w="0" w:type="dxa"/>
        </w:tblCellMar>
      </w:tblPr>
      <w:tblGrid>
        <w:gridCol w:w="1876"/>
        <w:gridCol w:w="1216"/>
      </w:tblGrid>
      <w:tr>
        <w:trPr/>
        <w:tc>
          <w:tcPr>
            <w:tcW w:w="187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46-2159271</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222 Berkeley Street</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4"/>
        </w:rPr>
        <w:t>12</w:t>
      </w:r>
      <w:r>
        <w:rPr>
          <w:rFonts w:ascii="Times New Roman;Times;serif" w:hAnsi="Times New Roman;Times;serif"/>
          <w:b/>
          <w:sz w:val="11"/>
        </w:rPr>
        <w:t>th</w:t>
      </w:r>
      <w:r>
        <w:rPr>
          <w:rFonts w:ascii="Times New Roman;Times;serif" w:hAnsi="Times New Roman;Times;serif"/>
          <w:sz w:val="20"/>
        </w:rPr>
        <w:t> </w:t>
      </w:r>
      <w:r>
        <w:rPr>
          <w:rFonts w:ascii="Times New Roman;Times;serif" w:hAnsi="Times New Roman;Times;serif"/>
          <w:b/>
          <w:sz w:val="14"/>
        </w:rPr>
        <w:t>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Boston, MA</w:t>
      </w:r>
      <w:r>
        <w:rPr>
          <w:rFonts w:ascii="Times New Roman;Times;serif" w:hAnsi="Times New Roman;Times;serif"/>
          <w:sz w:val="20"/>
        </w:rPr>
        <w:t xml:space="preserve"> </w:t>
      </w:r>
      <w:r>
        <w:rPr>
          <w:rFonts w:ascii="Times New Roman;Times;serif" w:hAnsi="Times New Roman;Times;serif"/>
          <w:b/>
          <w:sz w:val="14"/>
        </w:rPr>
        <w:t>02116</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(857) 264-4280</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N-NKrJRVGkK1grQe0y59eQ_2_2"/>
      <w:bookmarkStart w:id="14" w:name="Tc_9UNCUHlGxESUcn7SgLvMUg_1_2"/>
      <w:bookmarkStart w:id="15" w:name="Tc_aa4dx9G-60K5J9pcRY38Eg_1_1"/>
      <w:bookmarkStart w:id="16" w:name="Tc_JePWWafsC0m9iQR8Z4UKYA_1_0"/>
      <w:bookmarkStart w:id="17" w:name="_8d12b37f_0771_41d6_8623_d7563a54e9b5"/>
      <w:bookmarkStart w:id="18" w:name="Tc_N-NKrJRVGkK1grQe0y59eQ_2_2"/>
      <w:bookmarkStart w:id="19" w:name="Tc_9UNCUHlGxESUcn7SgLvMUg_1_2"/>
      <w:bookmarkStart w:id="20" w:name="Tc_aa4dx9G-60K5J9pcRY38Eg_1_1"/>
      <w:bookmarkStart w:id="21" w:name="Tc_JePWWafsC0m9iQR8Z4UKYA_1_0"/>
      <w:bookmarkStart w:id="22" w:name="_8d12b37f_0771_41d6_8623_d7563a54e9b5"/>
      <w:bookmarkEnd w:id="18"/>
      <w:bookmarkEnd w:id="19"/>
      <w:bookmarkEnd w:id="20"/>
      <w:bookmarkEnd w:id="21"/>
      <w:bookmarkEnd w:id="22"/>
    </w:p>
    <w:tbl>
      <w:tblPr>
        <w:tblW w:w="7038" w:type="dxa"/>
        <w:jc w:val="left"/>
        <w:tblInd w:w="0" w:type="dxa"/>
        <w:tblLayout w:type="fixed"/>
        <w:tblCellMar>
          <w:top w:w="0" w:type="dxa"/>
          <w:left w:w="0" w:type="dxa"/>
          <w:bottom w:w="0" w:type="dxa"/>
          <w:right w:w="0" w:type="dxa"/>
        </w:tblCellMar>
      </w:tblPr>
      <w:tblGrid>
        <w:gridCol w:w="2566"/>
        <w:gridCol w:w="1186"/>
        <w:gridCol w:w="328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32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Common Stock, $0.001 par value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RYTM</w:t>
            </w:r>
          </w:p>
        </w:tc>
        <w:tc>
          <w:tcPr>
            <w:tcW w:w="32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Stock Market LLC (Nasdaq Global Market)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512" w:type="dxa"/>
        <w:jc w:val="left"/>
        <w:tblInd w:w="0" w:type="dxa"/>
        <w:tblLayout w:type="fixed"/>
        <w:tblCellMar>
          <w:top w:w="0" w:type="dxa"/>
          <w:left w:w="0" w:type="dxa"/>
          <w:bottom w:w="0" w:type="dxa"/>
          <w:right w:w="0" w:type="dxa"/>
        </w:tblCellMar>
      </w:tblPr>
      <w:tblGrid>
        <w:gridCol w:w="1591"/>
        <w:gridCol w:w="192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r>
      <w:tr>
        <w:trPr/>
        <w:tc>
          <w:tcPr>
            <w:tcW w:w="1591" w:type="dxa"/>
            <w:tcBorders/>
            <w:vAlign w:val="center"/>
          </w:tcPr>
          <w:p>
            <w:pPr>
              <w:pStyle w:val="TableContents"/>
              <w:bidi w:val="0"/>
              <w:spacing w:before="0" w:after="0"/>
              <w:ind w:left="0" w:right="0" w:hanging="0"/>
              <w:jc w:val="center"/>
              <w:rPr/>
            </w:pPr>
            <w:r>
              <w:rPr/>
              <w:t>​</w:t>
            </w:r>
          </w:p>
        </w:tc>
        <w:tc>
          <w:tcPr>
            <w:tcW w:w="192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No  </w:t>
      </w:r>
      <w:r>
        <w:rPr>
          <w:rFonts w:ascii="Times New Roman;Times;serif" w:hAnsi="Times New Roman;Times;serif"/>
          <w:sz w:val="20"/>
        </w:rPr>
        <w:t>☒</w:t>
      </w:r>
      <w:r>
        <w:rPr>
          <w:rFonts w:ascii="Times New Roman;Times;serif" w:hAnsi="Times New Roman;Times;serif"/>
          <w:sz w:val="14"/>
        </w:rPr>
        <w:t>.</w:t>
      </w:r>
    </w:p>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The number of shares outstanding of the registrant’s Common Stock as of August 1, 2025 was 66,420,091.</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_831155e7_3f49_4aeb_a532_73c33f7941ae"/>
      <w:bookmarkEnd w:id="23"/>
      <w:r>
        <w:rPr>
          <w:rFonts w:ascii="Times New Roman;Times;serif" w:hAnsi="Times New Roman;Times;serif"/>
          <w:b/>
          <w:sz w:val="20"/>
        </w:rPr>
        <w:t>RHYTHM PHARMACEUTICALS,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w:t>
      </w:r>
    </w:p>
    <w:p>
      <w:pPr>
        <w:pStyle w:val="TextBody"/>
        <w:bidi w:val="0"/>
        <w:spacing w:before="0" w:after="0"/>
        <w:ind w:left="0" w:right="0" w:hanging="0"/>
        <w:jc w:val="left"/>
        <w:rPr/>
      </w:pPr>
      <w:r>
        <w:rPr/>
        <w:t>​</w:t>
      </w:r>
    </w:p>
    <w:tbl>
      <w:tblPr>
        <w:tblW w:w="9853" w:type="dxa"/>
        <w:jc w:val="left"/>
        <w:tblInd w:w="0" w:type="dxa"/>
        <w:tblLayout w:type="fixed"/>
        <w:tblCellMar>
          <w:top w:w="0" w:type="dxa"/>
          <w:left w:w="0" w:type="dxa"/>
          <w:bottom w:w="0" w:type="dxa"/>
          <w:right w:w="0" w:type="dxa"/>
        </w:tblCellMar>
      </w:tblPr>
      <w:tblGrid>
        <w:gridCol w:w="781"/>
        <w:gridCol w:w="3966"/>
        <w:gridCol w:w="3969"/>
        <w:gridCol w:w="326"/>
        <w:gridCol w:w="811"/>
      </w:tblGrid>
      <w:tr>
        <w:trPr/>
        <w:tc>
          <w:tcPr>
            <w:tcW w:w="781" w:type="dxa"/>
            <w:tcBorders/>
            <w:vAlign w:val="center"/>
          </w:tcPr>
          <w:p>
            <w:pPr>
              <w:pStyle w:val="TableContents"/>
              <w:bidi w:val="0"/>
              <w:spacing w:before="0" w:after="0"/>
              <w:ind w:left="0" w:right="0" w:hanging="0"/>
              <w:jc w:val="left"/>
              <w:rPr/>
            </w:pPr>
            <w:r>
              <w:rPr/>
              <w:t>​</w:t>
            </w:r>
          </w:p>
        </w:tc>
        <w:tc>
          <w:tcPr>
            <w:tcW w:w="3966" w:type="dxa"/>
            <w:tcBorders/>
            <w:vAlign w:val="center"/>
          </w:tcPr>
          <w:p>
            <w:pPr>
              <w:pStyle w:val="TableContents"/>
              <w:bidi w:val="0"/>
              <w:spacing w:before="0" w:after="283"/>
              <w:ind w:left="0" w:right="0" w:hanging="0"/>
              <w:jc w:val="left"/>
              <w:rPr>
                <w:sz w:val="4"/>
                <w:szCs w:val="4"/>
              </w:rPr>
            </w:pPr>
            <w:r>
              <w:rPr>
                <w:sz w:val="4"/>
                <w:szCs w:val="4"/>
              </w:rPr>
            </w:r>
          </w:p>
        </w:tc>
        <w:tc>
          <w:tcPr>
            <w:tcW w:w="396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Page No.</w:t>
            </w:r>
          </w:p>
        </w:tc>
      </w:tr>
      <w:tr>
        <w:trPr/>
        <w:tc>
          <w:tcPr>
            <w:tcW w:w="781" w:type="dxa"/>
            <w:tcBorders/>
            <w:vAlign w:val="center"/>
          </w:tcPr>
          <w:p>
            <w:pPr>
              <w:pStyle w:val="TableContents"/>
              <w:bidi w:val="0"/>
              <w:spacing w:before="0" w:after="0"/>
              <w:ind w:left="0" w:right="0" w:hanging="0"/>
              <w:jc w:val="left"/>
              <w:rPr/>
            </w:pPr>
            <w:hyperlink w:anchor="PARTIFINANCIALINFORMATION_975658">
              <w:r>
                <w:rPr>
                  <w:rStyle w:val="InternetLink"/>
                  <w:rFonts w:ascii="Times New Roman;Times;serif" w:hAnsi="Times New Roman;Times;serif"/>
                  <w:b w:val="false"/>
                  <w:i w:val="false"/>
                  <w:caps w:val="false"/>
                  <w:smallCaps w:val="false"/>
                  <w:sz w:val="20"/>
                </w:rPr>
                <w:t>PART I</w:t>
              </w:r>
            </w:hyperlink>
          </w:p>
        </w:tc>
        <w:tc>
          <w:tcPr>
            <w:tcW w:w="7935" w:type="dxa"/>
            <w:gridSpan w:val="2"/>
            <w:tcBorders/>
            <w:vAlign w:val="center"/>
          </w:tcPr>
          <w:p>
            <w:pPr>
              <w:pStyle w:val="TableContents"/>
              <w:bidi w:val="0"/>
              <w:spacing w:before="0" w:after="0"/>
              <w:ind w:left="0" w:right="0" w:hanging="0"/>
              <w:jc w:val="left"/>
              <w:rPr/>
            </w:pPr>
            <w:hyperlink w:anchor="PARTIFINANCIALINFORMATION_975658">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1FinancialStatements_514243">
              <w:r>
                <w:rPr>
                  <w:rStyle w:val="InternetLink"/>
                  <w:rFonts w:ascii="Times New Roman;Times;serif" w:hAnsi="Times New Roman;Times;serif"/>
                  <w:b w:val="false"/>
                  <w:i w:val="false"/>
                  <w:caps w:val="false"/>
                  <w:smallCaps w:val="false"/>
                  <w:sz w:val="20"/>
                </w:rPr>
                <w:t>Item 1.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BALANCESHEETS_370442">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OPERATIONSANDCOMPREHENSIVELOSS_760126">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 xml:space="preserve">Condensed Consolidated Statements of Convertible Preferred Stock and Stockholders’ Equity </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CASHFLOWS_680279">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NotestoUnauditedCondensedFinancialStatem">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2ManagementsDiscussionandAnalysis_5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4ControlsandProcedures_327032">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hyperlink w:anchor="PARTIIOTHERINFORMATION_163608">
              <w:r>
                <w:rPr>
                  <w:rStyle w:val="InternetLink"/>
                  <w:rFonts w:ascii="Times New Roman;Times;serif" w:hAnsi="Times New Roman;Times;serif"/>
                  <w:b w:val="false"/>
                  <w:i w:val="false"/>
                  <w:caps w:val="false"/>
                  <w:smallCaps w:val="false"/>
                  <w:sz w:val="20"/>
                </w:rPr>
                <w:t>PART II</w:t>
              </w:r>
            </w:hyperlink>
          </w:p>
        </w:tc>
        <w:tc>
          <w:tcPr>
            <w:tcW w:w="7935" w:type="dxa"/>
            <w:gridSpan w:val="2"/>
            <w:tcBorders/>
            <w:vAlign w:val="center"/>
          </w:tcPr>
          <w:p>
            <w:pPr>
              <w:pStyle w:val="TableContents"/>
              <w:bidi w:val="0"/>
              <w:spacing w:before="0" w:after="0"/>
              <w:ind w:left="0" w:right="0" w:hanging="0"/>
              <w:jc w:val="left"/>
              <w:rPr/>
            </w:pPr>
            <w:hyperlink w:anchor="PARTIIOTHERINFORMATION_163608">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1LegalProceedings_912155">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3DefaultsUponSeniorSecurities_616913">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4MineSafetyDisclosure_710839">
              <w:r>
                <w:rPr>
                  <w:rStyle w:val="InternetLink"/>
                  <w:rFonts w:ascii="Times New Roman;Times;serif" w:hAnsi="Times New Roman;Times;serif"/>
                  <w:b w:val="false"/>
                  <w:i w:val="false"/>
                  <w:caps w:val="false"/>
                  <w:smallCaps w:val="false"/>
                  <w:sz w:val="20"/>
                </w:rPr>
                <w:t>Item 4. Mine Safety Disclosure</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5OtherInformation_81772">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6Exhibits_25505">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8716"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716" w:type="dxa"/>
            <w:gridSpan w:val="3"/>
            <w:tcBorders/>
            <w:vAlign w:val="center"/>
          </w:tcPr>
          <w:p>
            <w:pPr>
              <w:pStyle w:val="TableContents"/>
              <w:bidi w:val="0"/>
              <w:spacing w:before="0" w:after="0"/>
              <w:ind w:left="0" w:right="0" w:hanging="0"/>
              <w:jc w:val="left"/>
              <w:rPr/>
            </w:pPr>
            <w:hyperlink w:anchor="SIGNATURES_110048">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25" w:name="PARTIFINANCIALINFORMATION_975658"/>
      <w:bookmarkStart w:id="26" w:name="_b44a4ae7_d3b3_4292_9464_10a340764429"/>
      <w:bookmarkStart w:id="27" w:name="_PART_I_"/>
      <w:bookmarkEnd w:id="25"/>
      <w:bookmarkEnd w:id="26"/>
      <w:bookmarkEnd w:id="27"/>
      <w:r>
        <w:rPr>
          <w:rFonts w:ascii="Times New Roman;Times;serif" w:hAnsi="Times New Roman;Times;serif"/>
          <w:b/>
          <w:sz w:val="20"/>
        </w:rPr>
        <w:t>PART I – FINANCIAL INFORMATION</w:t>
      </w:r>
    </w:p>
    <w:p>
      <w:pPr>
        <w:pStyle w:val="TextBody"/>
        <w:bidi w:val="0"/>
        <w:spacing w:before="0" w:after="160"/>
        <w:ind w:left="0" w:right="0" w:hanging="0"/>
        <w:jc w:val="left"/>
        <w:rPr>
          <w:rFonts w:ascii="Times New Roman;Times;serif" w:hAnsi="Times New Roman;Times;serif"/>
          <w:b/>
          <w:sz w:val="20"/>
        </w:rPr>
      </w:pPr>
      <w:bookmarkStart w:id="28" w:name="Item1FinancialStatements_514243"/>
      <w:bookmarkEnd w:id="28"/>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Rhythm Pharmaceuticals, Inc.</w:t>
      </w:r>
    </w:p>
    <w:p>
      <w:pPr>
        <w:pStyle w:val="TextBody"/>
        <w:bidi w:val="0"/>
        <w:spacing w:before="0" w:after="160"/>
        <w:ind w:left="0" w:right="0" w:hanging="0"/>
        <w:jc w:val="center"/>
        <w:rPr>
          <w:rFonts w:ascii="Times New Roman;Times;serif" w:hAnsi="Times New Roman;Times;serif"/>
          <w:b/>
          <w:sz w:val="20"/>
        </w:rPr>
      </w:pPr>
      <w:bookmarkStart w:id="29" w:name="BALANCESHEETS_370442"/>
      <w:bookmarkEnd w:id="29"/>
      <w:r>
        <w:rPr>
          <w:rFonts w:ascii="Times New Roman;Times;serif" w:hAnsi="Times New Roman;Times;serif"/>
          <w:b/>
          <w:sz w:val="20"/>
        </w:rPr>
        <w:t>Condensed Consolidated Balance Sheets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0" w:name="Tc_MSltTJ9XBUqfjQu4DFRy5A_40_5"/>
      <w:bookmarkStart w:id="31" w:name="Tc_QAglClmbxkybXYZDZVOZAQ_40_2"/>
      <w:bookmarkStart w:id="32" w:name="Tc_j0Kps5DtkUmDmwfZibspLw_40_0"/>
      <w:bookmarkStart w:id="33" w:name="Tc_4tNhl5RP0EiPfxYUAr5Y9g_39_0"/>
      <w:bookmarkStart w:id="34" w:name="Tc_vXlbALtdgEyTsbmzyhw83A_38_0"/>
      <w:bookmarkStart w:id="35" w:name="Tc_FxmwtfQ9DkCSw1m0tqMDcw_37_0"/>
      <w:bookmarkStart w:id="36" w:name="Tc_qwTsgki2MkiQR0dWva_lZg_36_0"/>
      <w:bookmarkStart w:id="37" w:name="Tc_7iA9By1B6kaX8slG0cs6UA_35_0"/>
      <w:bookmarkStart w:id="38" w:name="Tc_vhgmwxM890CXtiJTCrCpfg_34_6"/>
      <w:bookmarkStart w:id="39" w:name="Tc_2tbE5Q2huUah6lPPu30XHQ_34_3"/>
      <w:bookmarkStart w:id="40" w:name="_7c403fb6_4aff_41cc_8ec2_1e46458cd854_3"/>
      <w:bookmarkStart w:id="41" w:name="_7c403fb6_4aff_41cc_8ec2_1e46458cd854_2"/>
      <w:bookmarkStart w:id="42" w:name="_7c403fb6_4aff_41cc_8ec2_1e46458cd854"/>
      <w:bookmarkStart w:id="43" w:name="Tc_XU4ECjhz40-ZoE48efYABA_34_0"/>
      <w:bookmarkStart w:id="44" w:name="Tc_Txo1LJ7lf0KL6ESWD_dNhw_33_0"/>
      <w:bookmarkStart w:id="45" w:name="Tc_x_ye6ZmyDk6NKrfJvt61Lw_32_0"/>
      <w:bookmarkStart w:id="46" w:name="Tc_r3PlD_pWzk69fYCMFKn09Q_31_0"/>
      <w:bookmarkStart w:id="47" w:name="Tc_QPkgGNTOzkueJRQYW31wdA_30_0"/>
      <w:bookmarkStart w:id="48" w:name="Tc_gono_T72wU6wxK0aRy_9Mg_29_0"/>
      <w:bookmarkStart w:id="49" w:name="Tc_OgMRVLVwQUehFeCJEfPt7Q_28_0"/>
      <w:bookmarkStart w:id="50" w:name="Tc_5lwW8q27E06kRzKcwdcGUA_27_0"/>
      <w:bookmarkStart w:id="51" w:name="Tc_nJVbrAg6ZUSy8q5MGTSk9w_26_0"/>
      <w:bookmarkStart w:id="52" w:name="Tc_lgNQMOOJB0ex5x5tINLxng_25_0"/>
      <w:bookmarkStart w:id="53" w:name="Tc_re06HMDsr0iDAw8fqTQAMA_24_3"/>
      <w:bookmarkStart w:id="54" w:name="Tc_Au9vpR8jR06nt17NgCCzDA_24_0"/>
      <w:bookmarkStart w:id="55" w:name="Tc_CUA9VBpxfEiRaakj9TVgVg_23_6"/>
      <w:bookmarkStart w:id="56" w:name="Tc_2DoL7pKPCkikmUnOD9ffVA_23_0"/>
      <w:bookmarkStart w:id="57" w:name="Tc_Yd7kSkUu0kOjDMbky8uJrg_22_0"/>
      <w:bookmarkStart w:id="58" w:name="Tc_rLlZX0B5XUO-UmUQ77LtmQ_21_0"/>
      <w:bookmarkStart w:id="59" w:name="Tc_JmyKADg7nE2jlTn1lTC3Kg_20_5"/>
      <w:bookmarkStart w:id="60" w:name="Tc_QGk5h6U2AEG2PnpfYULaqA_20_2"/>
      <w:bookmarkStart w:id="61" w:name="Tc_rKpfVvshQkiJQgXZBCnD-g_20_0"/>
      <w:bookmarkStart w:id="62" w:name="Tc_0wTSZ3_L506qxeKe5L7YKA_19_0"/>
      <w:bookmarkStart w:id="63" w:name="Tc_CKBuzTS6eEeNpG0T3Bh7QQ_18_0"/>
      <w:bookmarkStart w:id="64" w:name="Tc_Dp8cG30jIU61gmhGdxmx7g_17_5"/>
      <w:bookmarkStart w:id="65" w:name="Tc_oQaRuxZQTEaG1u4Sroee1Q_17_2"/>
      <w:bookmarkStart w:id="66" w:name="Tc_qup3L9Da0UevTbArv2otcg_17_0"/>
      <w:bookmarkStart w:id="67" w:name="Tc_E3Frwr1eokKfk564HTW94g_16_0"/>
      <w:bookmarkStart w:id="68" w:name="Tc_H8p7Gj0wpEyK7fviQWbUzw_15_0"/>
      <w:bookmarkStart w:id="69" w:name="Tc_8KvyBBMPSEyVynR4SQ98dg_14_0"/>
      <w:bookmarkStart w:id="70" w:name="Tc_Qdj8xI440Uq-XjGcRG15Cg_13_0"/>
      <w:bookmarkStart w:id="71" w:name="Tc_zl5h4yfYb0mNLbLCXIehcw_12_0"/>
      <w:bookmarkStart w:id="72" w:name="Tc_Vu6yjRAMv0SeFNkof6wsrw_11_0"/>
      <w:bookmarkStart w:id="73" w:name="Tc_1jIdBoQxo0uQIEoTKpEV3A_10_0"/>
      <w:bookmarkStart w:id="74" w:name="Tc_vUHx6_gnnkWuMnr4xU5_Wg_9_0"/>
      <w:bookmarkStart w:id="75" w:name="Tc_zOWg9Q3x60m_JKH_UTCyZA_8_0"/>
      <w:bookmarkStart w:id="76" w:name="Tc_Cp8rMuzkXUKWGuRLLCIkVQ_7_0"/>
      <w:bookmarkStart w:id="77" w:name="Tc_hOPd8CkoQ0iLZf2BkiU_ow_6_5"/>
      <w:bookmarkStart w:id="78" w:name="Tc_I7f-MyWHIECdlZtRD3PjAg_6_2"/>
      <w:bookmarkStart w:id="79" w:name="Tc_0LtefdtSRUedupVfSeciJg_6_0"/>
      <w:bookmarkStart w:id="80" w:name="Tc_7rH_It-5LEWZY3QBwpHK-Q_5_0"/>
      <w:bookmarkStart w:id="81" w:name="Tc_H1umW9sACk6cKq-KS6hmsw_4_0"/>
      <w:bookmarkStart w:id="82" w:name="Tc_MGNd5vuO8E-V_SsmD8URiw_2_5"/>
      <w:bookmarkStart w:id="83" w:name="Tc_ieyNMl8c306PUBjuui1CZA_2_2"/>
      <w:bookmarkStart w:id="84" w:name="Tc_p_MwCNnEs0ewR7SYJwPkvg_1_5"/>
      <w:bookmarkStart w:id="85" w:name="Tc_COJrlq-huk-f-eRhgGiejw_1_2"/>
      <w:bookmarkStart w:id="86" w:name="_5556d4e9_6610_480d_b26b_1cbcb4cc4023"/>
      <w:bookmarkStart w:id="87" w:name="Tc_MSltTJ9XBUqfjQu4DFRy5A_40_5"/>
      <w:bookmarkStart w:id="88" w:name="Tc_QAglClmbxkybXYZDZVOZAQ_40_2"/>
      <w:bookmarkStart w:id="89" w:name="Tc_j0Kps5DtkUmDmwfZibspLw_40_0"/>
      <w:bookmarkStart w:id="90" w:name="Tc_4tNhl5RP0EiPfxYUAr5Y9g_39_0"/>
      <w:bookmarkStart w:id="91" w:name="Tc_vXlbALtdgEyTsbmzyhw83A_38_0"/>
      <w:bookmarkStart w:id="92" w:name="Tc_FxmwtfQ9DkCSw1m0tqMDcw_37_0"/>
      <w:bookmarkStart w:id="93" w:name="Tc_qwTsgki2MkiQR0dWva_lZg_36_0"/>
      <w:bookmarkStart w:id="94" w:name="Tc_7iA9By1B6kaX8slG0cs6UA_35_0"/>
      <w:bookmarkStart w:id="95" w:name="Tc_vhgmwxM890CXtiJTCrCpfg_34_6"/>
      <w:bookmarkStart w:id="96" w:name="Tc_2tbE5Q2huUah6lPPu30XHQ_34_3"/>
      <w:bookmarkStart w:id="97" w:name="_7c403fb6_4aff_41cc_8ec2_1e46458cd854_3"/>
      <w:bookmarkStart w:id="98" w:name="_7c403fb6_4aff_41cc_8ec2_1e46458cd854_2"/>
      <w:bookmarkStart w:id="99" w:name="_7c403fb6_4aff_41cc_8ec2_1e46458cd854"/>
      <w:bookmarkStart w:id="100" w:name="Tc_XU4ECjhz40-ZoE48efYABA_34_0"/>
      <w:bookmarkStart w:id="101" w:name="Tc_Txo1LJ7lf0KL6ESWD_dNhw_33_0"/>
      <w:bookmarkStart w:id="102" w:name="Tc_x_ye6ZmyDk6NKrfJvt61Lw_32_0"/>
      <w:bookmarkStart w:id="103" w:name="Tc_r3PlD_pWzk69fYCMFKn09Q_31_0"/>
      <w:bookmarkStart w:id="104" w:name="Tc_QPkgGNTOzkueJRQYW31wdA_30_0"/>
      <w:bookmarkStart w:id="105" w:name="Tc_gono_T72wU6wxK0aRy_9Mg_29_0"/>
      <w:bookmarkStart w:id="106" w:name="Tc_OgMRVLVwQUehFeCJEfPt7Q_28_0"/>
      <w:bookmarkStart w:id="107" w:name="Tc_5lwW8q27E06kRzKcwdcGUA_27_0"/>
      <w:bookmarkStart w:id="108" w:name="Tc_nJVbrAg6ZUSy8q5MGTSk9w_26_0"/>
      <w:bookmarkStart w:id="109" w:name="Tc_lgNQMOOJB0ex5x5tINLxng_25_0"/>
      <w:bookmarkStart w:id="110" w:name="Tc_re06HMDsr0iDAw8fqTQAMA_24_3"/>
      <w:bookmarkStart w:id="111" w:name="Tc_Au9vpR8jR06nt17NgCCzDA_24_0"/>
      <w:bookmarkStart w:id="112" w:name="Tc_CUA9VBpxfEiRaakj9TVgVg_23_6"/>
      <w:bookmarkStart w:id="113" w:name="Tc_2DoL7pKPCkikmUnOD9ffVA_23_0"/>
      <w:bookmarkStart w:id="114" w:name="Tc_Yd7kSkUu0kOjDMbky8uJrg_22_0"/>
      <w:bookmarkStart w:id="115" w:name="Tc_rLlZX0B5XUO-UmUQ77LtmQ_21_0"/>
      <w:bookmarkStart w:id="116" w:name="Tc_JmyKADg7nE2jlTn1lTC3Kg_20_5"/>
      <w:bookmarkStart w:id="117" w:name="Tc_QGk5h6U2AEG2PnpfYULaqA_20_2"/>
      <w:bookmarkStart w:id="118" w:name="Tc_rKpfVvshQkiJQgXZBCnD-g_20_0"/>
      <w:bookmarkStart w:id="119" w:name="Tc_0wTSZ3_L506qxeKe5L7YKA_19_0"/>
      <w:bookmarkStart w:id="120" w:name="Tc_CKBuzTS6eEeNpG0T3Bh7QQ_18_0"/>
      <w:bookmarkStart w:id="121" w:name="Tc_Dp8cG30jIU61gmhGdxmx7g_17_5"/>
      <w:bookmarkStart w:id="122" w:name="Tc_oQaRuxZQTEaG1u4Sroee1Q_17_2"/>
      <w:bookmarkStart w:id="123" w:name="Tc_qup3L9Da0UevTbArv2otcg_17_0"/>
      <w:bookmarkStart w:id="124" w:name="Tc_E3Frwr1eokKfk564HTW94g_16_0"/>
      <w:bookmarkStart w:id="125" w:name="Tc_H8p7Gj0wpEyK7fviQWbUzw_15_0"/>
      <w:bookmarkStart w:id="126" w:name="Tc_8KvyBBMPSEyVynR4SQ98dg_14_0"/>
      <w:bookmarkStart w:id="127" w:name="Tc_Qdj8xI440Uq-XjGcRG15Cg_13_0"/>
      <w:bookmarkStart w:id="128" w:name="Tc_zl5h4yfYb0mNLbLCXIehcw_12_0"/>
      <w:bookmarkStart w:id="129" w:name="Tc_Vu6yjRAMv0SeFNkof6wsrw_11_0"/>
      <w:bookmarkStart w:id="130" w:name="Tc_1jIdBoQxo0uQIEoTKpEV3A_10_0"/>
      <w:bookmarkStart w:id="131" w:name="Tc_vUHx6_gnnkWuMnr4xU5_Wg_9_0"/>
      <w:bookmarkStart w:id="132" w:name="Tc_zOWg9Q3x60m_JKH_UTCyZA_8_0"/>
      <w:bookmarkStart w:id="133" w:name="Tc_Cp8rMuzkXUKWGuRLLCIkVQ_7_0"/>
      <w:bookmarkStart w:id="134" w:name="Tc_hOPd8CkoQ0iLZf2BkiU_ow_6_5"/>
      <w:bookmarkStart w:id="135" w:name="Tc_I7f-MyWHIECdlZtRD3PjAg_6_2"/>
      <w:bookmarkStart w:id="136" w:name="Tc_0LtefdtSRUedupVfSeciJg_6_0"/>
      <w:bookmarkStart w:id="137" w:name="Tc_7rH_It-5LEWZY3QBwpHK-Q_5_0"/>
      <w:bookmarkStart w:id="138" w:name="Tc_H1umW9sACk6cKq-KS6hmsw_4_0"/>
      <w:bookmarkStart w:id="139" w:name="Tc_MGNd5vuO8E-V_SsmD8URiw_2_5"/>
      <w:bookmarkStart w:id="140" w:name="Tc_ieyNMl8c306PUBjuui1CZA_2_2"/>
      <w:bookmarkStart w:id="141" w:name="Tc_p_MwCNnEs0ewR7SYJwPkvg_1_5"/>
      <w:bookmarkStart w:id="142" w:name="Tc_COJrlq-huk-f-eRhgGiejw_1_2"/>
      <w:bookmarkStart w:id="143" w:name="_5556d4e9_6610_480d_b26b_1cbcb4cc402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7276"/>
        <w:gridCol w:w="326"/>
        <w:gridCol w:w="196"/>
        <w:gridCol w:w="907"/>
        <w:gridCol w:w="326"/>
        <w:gridCol w:w="198"/>
        <w:gridCol w:w="976"/>
      </w:tblGrid>
      <w:tr>
        <w:trPr/>
        <w:tc>
          <w:tcPr>
            <w:tcW w:w="7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0260" cy="175260"/>
                      <wp:effectExtent l="0" t="0" r="0" b="0"/>
                      <wp:wrapNone/>
                      <wp:docPr id="1" name="Frame1"/>
                      <a:graphic xmlns:a="http://schemas.openxmlformats.org/drawingml/2006/main">
                        <a:graphicData uri="http://schemas.microsoft.com/office/word/2010/wordprocessingShape">
                          <wps:wsp>
                            <wps:cNvSpPr txBox="1"/>
                            <wps:spPr>
                              <a:xfrm>
                                <a:off x="0" y="0"/>
                                <a:ext cx="462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75945" cy="175260"/>
                      <wp:effectExtent l="0" t="0" r="0" b="0"/>
                      <wp:wrapNone/>
                      <wp:docPr id="4" name="Frame4"/>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5730" cy="175260"/>
                      <wp:effectExtent l="0" t="0" r="0" b="0"/>
                      <wp:wrapNone/>
                      <wp:docPr id="6" name="Frame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9760" cy="175260"/>
                      <wp:effectExtent l="0" t="0" r="0" b="0"/>
                      <wp:wrapNone/>
                      <wp:docPr id="7" name="Frame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0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1"/>
              <w:ind w:left="0" w:right="0" w:hanging="0"/>
              <w:jc w:val="center"/>
              <w:rPr/>
            </w:pPr>
            <w:r>
              <w:rPr/>
              <w:t>​</w:t>
            </w:r>
          </w:p>
        </w:tc>
        <w:tc>
          <w:tcPr>
            <w:tcW w:w="1174"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center"/>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8"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  </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135,586</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89,137</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155,444</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231,428</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26,122</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18,512</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18,872</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18,741</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24,656</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16,382</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360,680</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374,200</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3,262</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3,477</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5,747</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6,174</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2,220</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7,326</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372,733</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392,273</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Convertible Preferred Stock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15,982</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12,328</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69,185</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62,658</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current liability - LG Chem</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37,704</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1,286</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royalty obligation, current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3,778</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1,541</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129,455</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115,517</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royalty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106,014</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108,269</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 non-current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3,681</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3,938</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239,150</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227,724</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Series A convertible preferred stock, $0.001</w:t>
            </w:r>
            <w:r>
              <w:rPr>
                <w:rFonts w:ascii="Times New Roman;Times;serif" w:hAnsi="Times New Roman;Times;serif"/>
                <w:sz w:val="20"/>
              </w:rPr>
              <w:t xml:space="preserve"> </w:t>
            </w:r>
            <w:r>
              <w:rPr>
                <w:rFonts w:ascii="Times New Roman;Times;serif" w:hAnsi="Times New Roman;Times;serif"/>
                <w:sz w:val="18"/>
              </w:rPr>
              <w:t>par value: 150,000</w:t>
            </w:r>
            <w:r>
              <w:rPr>
                <w:rFonts w:ascii="Times New Roman;Times;serif" w:hAnsi="Times New Roman;Times;serif"/>
                <w:sz w:val="20"/>
              </w:rPr>
              <w:t xml:space="preserve"> </w:t>
            </w:r>
            <w:r>
              <w:rPr>
                <w:rFonts w:ascii="Times New Roman;Times;serif" w:hAnsi="Times New Roman;Times;serif"/>
                <w:sz w:val="18"/>
              </w:rPr>
              <w:t>shares authorized; 150,000</w:t>
            </w:r>
            <w:r>
              <w:rPr>
                <w:rFonts w:ascii="Times New Roman;Times;serif" w:hAnsi="Times New Roman;Times;serif"/>
                <w:sz w:val="20"/>
              </w:rPr>
              <w:t xml:space="preserve"> </w:t>
            </w:r>
            <w:r>
              <w:rPr>
                <w:rFonts w:ascii="Times New Roman;Times;serif" w:hAnsi="Times New Roman;Times;serif"/>
                <w:sz w:val="18"/>
              </w:rPr>
              <w:t>and 150,000</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2025 and December 31, 2024, respectively. Liquidation preference of $150,000</w:t>
            </w:r>
            <w:r>
              <w:rPr>
                <w:rFonts w:ascii="Times New Roman;Times;serif" w:hAnsi="Times New Roman;Times;serif"/>
                <w:sz w:val="20"/>
              </w:rPr>
              <w:t xml:space="preserve"> </w:t>
            </w:r>
            <w:r>
              <w:rPr>
                <w:rFonts w:ascii="Times New Roman;Times;serif" w:hAnsi="Times New Roman;Times;serif"/>
                <w:sz w:val="18"/>
              </w:rPr>
              <w:t>as of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145,491</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142,820</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$0.001 par value: 10,000,000 shares authorized; no shares issued and outstanding at June 30, 2025 and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$0.001</w:t>
            </w:r>
            <w:r>
              <w:rPr>
                <w:rFonts w:ascii="Times New Roman;Times;serif" w:hAnsi="Times New Roman;Times;serif"/>
                <w:sz w:val="20"/>
              </w:rPr>
              <w:t xml:space="preserve"> </w:t>
            </w:r>
            <w:r>
              <w:rPr>
                <w:rFonts w:ascii="Times New Roman;Times;serif" w:hAnsi="Times New Roman;Times;serif"/>
                <w:sz w:val="18"/>
              </w:rPr>
              <w:t>par value: 120,000,000</w:t>
            </w:r>
            <w:r>
              <w:rPr>
                <w:rFonts w:ascii="Times New Roman;Times;serif" w:hAnsi="Times New Roman;Times;serif"/>
                <w:sz w:val="20"/>
              </w:rPr>
              <w:t xml:space="preserve"> </w:t>
            </w:r>
            <w:r>
              <w:rPr>
                <w:rFonts w:ascii="Times New Roman;Times;serif" w:hAnsi="Times New Roman;Times;serif"/>
                <w:sz w:val="18"/>
              </w:rPr>
              <w:t>shares authorized; 63,913,185</w:t>
            </w:r>
            <w:r>
              <w:rPr>
                <w:rFonts w:ascii="Times New Roman;Times;serif" w:hAnsi="Times New Roman;Times;serif"/>
                <w:sz w:val="20"/>
              </w:rPr>
              <w:t xml:space="preserve"> </w:t>
            </w:r>
            <w:r>
              <w:rPr>
                <w:rFonts w:ascii="Times New Roman;Times;serif" w:hAnsi="Times New Roman;Times;serif"/>
                <w:sz w:val="18"/>
              </w:rPr>
              <w:t>and 62,390,654</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1,241,744</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1,177,045</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(2,248)</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(1,251,468)</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(1,155,338)</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(11,908)</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21,729</w:t>
            </w:r>
          </w:p>
        </w:tc>
      </w:tr>
      <w:tr>
        <w:trPr/>
        <w:tc>
          <w:tcPr>
            <w:tcW w:w="7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convertible preferred stock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372,733</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392,273</w:t>
            </w:r>
          </w:p>
        </w:tc>
      </w:tr>
      <w:tr>
        <w:trPr/>
        <w:tc>
          <w:tcPr>
            <w:tcW w:w="7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80"/>
        <w:ind w:left="0" w:right="0" w:hanging="0"/>
        <w:jc w:val="center"/>
        <w:rPr>
          <w:rFonts w:ascii="Times New Roman;Times;serif" w:hAnsi="Times New Roman;Times;serif"/>
          <w:b/>
          <w:sz w:val="20"/>
        </w:rPr>
      </w:pPr>
      <w:bookmarkStart w:id="144" w:name="_d80590bd_4824_46c5_901f_982c282bcdeb"/>
      <w:bookmarkEnd w:id="144"/>
      <w:r>
        <w:rPr>
          <w:rFonts w:ascii="Times New Roman;Times;serif" w:hAnsi="Times New Roman;Times;serif"/>
          <w:b/>
          <w:sz w:val="20"/>
        </w:rPr>
        <w:t>Rhythm Pharmaceuticals, Inc.</w:t>
      </w:r>
    </w:p>
    <w:p>
      <w:pPr>
        <w:pStyle w:val="TextBody"/>
        <w:bidi w:val="0"/>
        <w:spacing w:before="0" w:after="180"/>
        <w:ind w:left="0" w:right="0" w:firstLine="720"/>
        <w:jc w:val="center"/>
        <w:rPr>
          <w:rFonts w:ascii="Times New Roman;Times;serif" w:hAnsi="Times New Roman;Times;serif"/>
          <w:b/>
          <w:sz w:val="20"/>
        </w:rPr>
      </w:pPr>
      <w:bookmarkStart w:id="145" w:name="OPERATIONSANDCOMPREHENSIVELOSS_760126"/>
      <w:bookmarkEnd w:id="145"/>
      <w:r>
        <w:rPr>
          <w:rFonts w:ascii="Times New Roman;Times;serif" w:hAnsi="Times New Roman;Times;serif"/>
          <w:b/>
          <w:sz w:val="20"/>
        </w:rPr>
        <w:t>Condensed Consolidated Statements of Operations and Comprehensive Loss</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6" w:name="Tc_blrYLivNHkOp6X1Jc01pKg_33_10"/>
      <w:bookmarkStart w:id="147" w:name="Tc_4cRLyGAHz0WCWmgOHJNLvw_33_7"/>
      <w:bookmarkStart w:id="148" w:name="Tc_mK_kP8qoQEa-ru1vKR6Q2Q_33_4"/>
      <w:bookmarkStart w:id="149" w:name="Tc_tkVX-x7QOU6G6uOkRktMWA_33_1"/>
      <w:bookmarkStart w:id="150" w:name="Tc_bHuoBX_lL0KRU99yKW1WDw_33_0"/>
      <w:bookmarkStart w:id="151" w:name="Tc__0WiNX7K0U2Z0Oltd95v1Q_32_0"/>
      <w:bookmarkStart w:id="152" w:name="Tc_oOPKoVavz0-X6YMVFLt3Hw_31_0"/>
      <w:bookmarkStart w:id="153" w:name="Tc_ccFegaMmjkqxjJRR98LnaQ_30_10"/>
      <w:bookmarkStart w:id="154" w:name="Tc_q3SXNawEUkqvho4YpLTn1w_30_7"/>
      <w:bookmarkStart w:id="155" w:name="Tc_600H8PDWmESBASRzrQqyRw_30_4"/>
      <w:bookmarkStart w:id="156" w:name="Tc_eV3-h9HBnEe_6S5ABAPV6g_30_1"/>
      <w:bookmarkStart w:id="157" w:name="Tc_v0QXhuZml0igIdjfJnVAvg_30_0"/>
      <w:bookmarkStart w:id="158" w:name="Tc_iFD-2QrBMU2AtBdpUNEz4g_29_0"/>
      <w:bookmarkStart w:id="159" w:name="Tc_-oHckBryOUidWSJxTWUJ-Q_27_0"/>
      <w:bookmarkStart w:id="160" w:name="Tc_FI7fHSAzwEiX6keU37N8SA_25_10"/>
      <w:bookmarkStart w:id="161" w:name="Tc_oPX6LBTAekO8smKhMqZhKA_25_7"/>
      <w:bookmarkStart w:id="162" w:name="Tc_zrdQVIhO-kS6GoJWlfoIrw_25_4"/>
      <w:bookmarkStart w:id="163" w:name="Tc_97ey3I_qE0eh7nTAvEWoKw_25_1"/>
      <w:bookmarkStart w:id="164" w:name="Tc_34mhp2GYW0CFXFxUi7Wn8g_25_0"/>
      <w:bookmarkStart w:id="165" w:name="Tc_D5LdMcU0EU6mFiZ3yiFRog_24_10"/>
      <w:bookmarkStart w:id="166" w:name="Tc_ZKeCJxWxxUOpsxWrSw83Rg_24_7"/>
      <w:bookmarkStart w:id="167" w:name="Tc_aQQnFCVBRkuigFINIKlJZg_24_4"/>
      <w:bookmarkStart w:id="168" w:name="Tc_ArYUf-Iu7kml0YCeSNY8MA_24_1"/>
      <w:bookmarkStart w:id="169" w:name="Tc_LBH6ukxwvE6S1Ap7b7Y8zw_24_0"/>
      <w:bookmarkStart w:id="170" w:name="Tc_3IahRhpsDUu6eYgGrRioNg_23_0"/>
      <w:bookmarkStart w:id="171" w:name="Tc_TMcbXpDnyEOYZ4nU4U3H5A_22_10"/>
      <w:bookmarkStart w:id="172" w:name="Tc_C7eRPVe1hEe0USkZQ5xidA_22_7"/>
      <w:bookmarkStart w:id="173" w:name="Tc_SF-nrDliP06cnl0Ww-grZg_22_4"/>
      <w:bookmarkStart w:id="174" w:name="Tc_T38eblDY1Eq82l9MZC-BWQ_22_1"/>
      <w:bookmarkStart w:id="175" w:name="Tc_wEkZnxr60ESiISwu1ihmsg_22_0"/>
      <w:bookmarkStart w:id="176" w:name="Tc_bXrx-AWOLEyQooxdLKnwvQ_21_0"/>
      <w:bookmarkStart w:id="177" w:name="Tc_CZ6dnS-E8Eq6u0yu9C469Q_20_0"/>
      <w:bookmarkStart w:id="178" w:name="Tc_zi3NTckbske24bAiRKJxkA_19_0"/>
      <w:bookmarkStart w:id="179" w:name="Tc_RE0bEVxVw0mbjXvuC25PPg_18_0"/>
      <w:bookmarkStart w:id="180" w:name="Tc_YRzIs1HSwkaRt73G-ZHPEQ_17_0"/>
      <w:bookmarkStart w:id="181" w:name="Tc_kvJ6JSKOg0GmJC0A9u1F-w_16_8"/>
      <w:bookmarkStart w:id="182" w:name="Tc_KZGj1h5yR0OdxJ7ezvROQA_16_2"/>
      <w:bookmarkStart w:id="183" w:name="Tc_QY72iZvXkEKdzytImsetAw_16_0"/>
      <w:bookmarkStart w:id="184" w:name="Tc_6AkFy8tcEkuGQBQPFG901Q_15_0"/>
      <w:bookmarkStart w:id="185" w:name="Tc_k0sx_p00cUWZeexyXiunzg_14_0"/>
      <w:bookmarkStart w:id="186" w:name="Tc_4qcGFINlLEyu5k1K4yDfjg_13_0"/>
      <w:bookmarkStart w:id="187" w:name="Tc_1XdbWFmIo0yxSooWcfN-Qw_12_0"/>
      <w:bookmarkStart w:id="188" w:name="Tc_0edGKcrPkUGzD5L9F7-5nQ_11_0"/>
      <w:bookmarkStart w:id="189" w:name="Tc_sWOOrQtEVEG0wOzD_Gc3PQ_10_0"/>
      <w:bookmarkStart w:id="190" w:name="Tc_8oM4biSIa0-JPxQyd2OeGQ_9_0"/>
      <w:bookmarkStart w:id="191" w:name="Tc_Mf4YJof9cEeYNE9Jq1oLMA_8_0"/>
      <w:bookmarkStart w:id="192" w:name="Tc_5RjYX336gkKGRJ6kTPEbmw_7_0"/>
      <w:bookmarkStart w:id="193" w:name="Tc_I1AxhGWBTEON3879q4RXLg_6_11"/>
      <w:bookmarkStart w:id="194" w:name="Tc_IJSxwOhH60mukQjc58nJZw_6_5"/>
      <w:bookmarkStart w:id="195" w:name="Tc_fDMky8-wc0ynyPhPAHWUvQ_6_2"/>
      <w:bookmarkStart w:id="196" w:name="Tc_aahV21aaGE6TAyKZa-P2AA_6_0"/>
      <w:bookmarkStart w:id="197" w:name="Tc_5wrKf48iBEO7DHODpjQx3g_5_10"/>
      <w:bookmarkStart w:id="198" w:name="Tc_N3YnAglWtUSskgLCoaY8kw_5_7"/>
      <w:bookmarkStart w:id="199" w:name="Tc_YXI0I4XYs0eV2uyeZMRcjA_5_4"/>
      <w:bookmarkStart w:id="200" w:name="Tc_snXJaO0drke0DTWJwK_mCg_5_1"/>
      <w:bookmarkStart w:id="201" w:name="Tc_Q-n4vo9wmkWpv5d5mX4gTA_5_0"/>
      <w:bookmarkStart w:id="202" w:name="Tc_GNy3hWvO9kWkxeh3FKdmUg_4_0"/>
      <w:bookmarkStart w:id="203" w:name="Tc_YywNQ2StYEelel4zEQMVgQ_3_10"/>
      <w:bookmarkStart w:id="204" w:name="Tc_08EknL0990K9Ey2-kezBvw_3_7"/>
      <w:bookmarkStart w:id="205" w:name="Tc_8MiIB9VGwUSHrlvjzkQx3Q_3_4"/>
      <w:bookmarkStart w:id="206" w:name="Tc_GQ9q928az0ig3Pgdhmdnlg_3_1"/>
      <w:bookmarkStart w:id="207" w:name="Tc_ewN6ocNdgkW8xuSIhpjmXA_2_7"/>
      <w:bookmarkStart w:id="208" w:name="Tc_BhpaDot9EkWZkR0jxlMP9A_2_1"/>
      <w:bookmarkStart w:id="209" w:name="_3f6dcd4a_2b20_4b17_a2f4_8b98bb1f754e"/>
      <w:bookmarkStart w:id="210" w:name="_06fd1098_872f_4c83_b7bc_92bde209cfeb"/>
      <w:bookmarkStart w:id="211" w:name="Tc_blrYLivNHkOp6X1Jc01pKg_33_10"/>
      <w:bookmarkStart w:id="212" w:name="Tc_4cRLyGAHz0WCWmgOHJNLvw_33_7"/>
      <w:bookmarkStart w:id="213" w:name="Tc_mK_kP8qoQEa-ru1vKR6Q2Q_33_4"/>
      <w:bookmarkStart w:id="214" w:name="Tc_tkVX-x7QOU6G6uOkRktMWA_33_1"/>
      <w:bookmarkStart w:id="215" w:name="Tc_bHuoBX_lL0KRU99yKW1WDw_33_0"/>
      <w:bookmarkStart w:id="216" w:name="Tc__0WiNX7K0U2Z0Oltd95v1Q_32_0"/>
      <w:bookmarkStart w:id="217" w:name="Tc_oOPKoVavz0-X6YMVFLt3Hw_31_0"/>
      <w:bookmarkStart w:id="218" w:name="Tc_ccFegaMmjkqxjJRR98LnaQ_30_10"/>
      <w:bookmarkStart w:id="219" w:name="Tc_q3SXNawEUkqvho4YpLTn1w_30_7"/>
      <w:bookmarkStart w:id="220" w:name="Tc_600H8PDWmESBASRzrQqyRw_30_4"/>
      <w:bookmarkStart w:id="221" w:name="Tc_eV3-h9HBnEe_6S5ABAPV6g_30_1"/>
      <w:bookmarkStart w:id="222" w:name="Tc_v0QXhuZml0igIdjfJnVAvg_30_0"/>
      <w:bookmarkStart w:id="223" w:name="Tc_iFD-2QrBMU2AtBdpUNEz4g_29_0"/>
      <w:bookmarkStart w:id="224" w:name="Tc_-oHckBryOUidWSJxTWUJ-Q_27_0"/>
      <w:bookmarkStart w:id="225" w:name="Tc_FI7fHSAzwEiX6keU37N8SA_25_10"/>
      <w:bookmarkStart w:id="226" w:name="Tc_oPX6LBTAekO8smKhMqZhKA_25_7"/>
      <w:bookmarkStart w:id="227" w:name="Tc_zrdQVIhO-kS6GoJWlfoIrw_25_4"/>
      <w:bookmarkStart w:id="228" w:name="Tc_97ey3I_qE0eh7nTAvEWoKw_25_1"/>
      <w:bookmarkStart w:id="229" w:name="Tc_34mhp2GYW0CFXFxUi7Wn8g_25_0"/>
      <w:bookmarkStart w:id="230" w:name="Tc_D5LdMcU0EU6mFiZ3yiFRog_24_10"/>
      <w:bookmarkStart w:id="231" w:name="Tc_ZKeCJxWxxUOpsxWrSw83Rg_24_7"/>
      <w:bookmarkStart w:id="232" w:name="Tc_aQQnFCVBRkuigFINIKlJZg_24_4"/>
      <w:bookmarkStart w:id="233" w:name="Tc_ArYUf-Iu7kml0YCeSNY8MA_24_1"/>
      <w:bookmarkStart w:id="234" w:name="Tc_LBH6ukxwvE6S1Ap7b7Y8zw_24_0"/>
      <w:bookmarkStart w:id="235" w:name="Tc_3IahRhpsDUu6eYgGrRioNg_23_0"/>
      <w:bookmarkStart w:id="236" w:name="Tc_TMcbXpDnyEOYZ4nU4U3H5A_22_10"/>
      <w:bookmarkStart w:id="237" w:name="Tc_C7eRPVe1hEe0USkZQ5xidA_22_7"/>
      <w:bookmarkStart w:id="238" w:name="Tc_SF-nrDliP06cnl0Ww-grZg_22_4"/>
      <w:bookmarkStart w:id="239" w:name="Tc_T38eblDY1Eq82l9MZC-BWQ_22_1"/>
      <w:bookmarkStart w:id="240" w:name="Tc_wEkZnxr60ESiISwu1ihmsg_22_0"/>
      <w:bookmarkStart w:id="241" w:name="Tc_bXrx-AWOLEyQooxdLKnwvQ_21_0"/>
      <w:bookmarkStart w:id="242" w:name="Tc_CZ6dnS-E8Eq6u0yu9C469Q_20_0"/>
      <w:bookmarkStart w:id="243" w:name="Tc_zi3NTckbske24bAiRKJxkA_19_0"/>
      <w:bookmarkStart w:id="244" w:name="Tc_RE0bEVxVw0mbjXvuC25PPg_18_0"/>
      <w:bookmarkStart w:id="245" w:name="Tc_YRzIs1HSwkaRt73G-ZHPEQ_17_0"/>
      <w:bookmarkStart w:id="246" w:name="Tc_kvJ6JSKOg0GmJC0A9u1F-w_16_8"/>
      <w:bookmarkStart w:id="247" w:name="Tc_KZGj1h5yR0OdxJ7ezvROQA_16_2"/>
      <w:bookmarkStart w:id="248" w:name="Tc_QY72iZvXkEKdzytImsetAw_16_0"/>
      <w:bookmarkStart w:id="249" w:name="Tc_6AkFy8tcEkuGQBQPFG901Q_15_0"/>
      <w:bookmarkStart w:id="250" w:name="Tc_k0sx_p00cUWZeexyXiunzg_14_0"/>
      <w:bookmarkStart w:id="251" w:name="Tc_4qcGFINlLEyu5k1K4yDfjg_13_0"/>
      <w:bookmarkStart w:id="252" w:name="Tc_1XdbWFmIo0yxSooWcfN-Qw_12_0"/>
      <w:bookmarkStart w:id="253" w:name="Tc_0edGKcrPkUGzD5L9F7-5nQ_11_0"/>
      <w:bookmarkStart w:id="254" w:name="Tc_sWOOrQtEVEG0wOzD_Gc3PQ_10_0"/>
      <w:bookmarkStart w:id="255" w:name="Tc_8oM4biSIa0-JPxQyd2OeGQ_9_0"/>
      <w:bookmarkStart w:id="256" w:name="Tc_Mf4YJof9cEeYNE9Jq1oLMA_8_0"/>
      <w:bookmarkStart w:id="257" w:name="Tc_5RjYX336gkKGRJ6kTPEbmw_7_0"/>
      <w:bookmarkStart w:id="258" w:name="Tc_I1AxhGWBTEON3879q4RXLg_6_11"/>
      <w:bookmarkStart w:id="259" w:name="Tc_IJSxwOhH60mukQjc58nJZw_6_5"/>
      <w:bookmarkStart w:id="260" w:name="Tc_fDMky8-wc0ynyPhPAHWUvQ_6_2"/>
      <w:bookmarkStart w:id="261" w:name="Tc_aahV21aaGE6TAyKZa-P2AA_6_0"/>
      <w:bookmarkStart w:id="262" w:name="Tc_5wrKf48iBEO7DHODpjQx3g_5_10"/>
      <w:bookmarkStart w:id="263" w:name="Tc_N3YnAglWtUSskgLCoaY8kw_5_7"/>
      <w:bookmarkStart w:id="264" w:name="Tc_YXI0I4XYs0eV2uyeZMRcjA_5_4"/>
      <w:bookmarkStart w:id="265" w:name="Tc_snXJaO0drke0DTWJwK_mCg_5_1"/>
      <w:bookmarkStart w:id="266" w:name="Tc_Q-n4vo9wmkWpv5d5mX4gTA_5_0"/>
      <w:bookmarkStart w:id="267" w:name="Tc_GNy3hWvO9kWkxeh3FKdmUg_4_0"/>
      <w:bookmarkStart w:id="268" w:name="Tc_YywNQ2StYEelel4zEQMVgQ_3_10"/>
      <w:bookmarkStart w:id="269" w:name="Tc_08EknL0990K9Ey2-kezBvw_3_7"/>
      <w:bookmarkStart w:id="270" w:name="Tc_8MiIB9VGwUSHrlvjzkQx3Q_3_4"/>
      <w:bookmarkStart w:id="271" w:name="Tc_GQ9q928az0ig3Pgdhmdnlg_3_1"/>
      <w:bookmarkStart w:id="272" w:name="Tc_ewN6ocNdgkW8xuSIhpjmXA_2_7"/>
      <w:bookmarkStart w:id="273" w:name="Tc_BhpaDot9EkWZkR0jxlMP9A_2_1"/>
      <w:bookmarkStart w:id="274" w:name="_3f6dcd4a_2b20_4b17_a2f4_8b98bb1f754e"/>
      <w:bookmarkStart w:id="275" w:name="_06fd1098_872f_4c83_b7bc_92bde209cfeb"/>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10205" w:type="dxa"/>
        <w:jc w:val="left"/>
        <w:tblInd w:w="0" w:type="dxa"/>
        <w:tblLayout w:type="fixed"/>
        <w:tblCellMar>
          <w:top w:w="0" w:type="dxa"/>
          <w:left w:w="0" w:type="dxa"/>
          <w:bottom w:w="0" w:type="dxa"/>
          <w:right w:w="0" w:type="dxa"/>
        </w:tblCellMar>
      </w:tblPr>
      <w:tblGrid>
        <w:gridCol w:w="4194"/>
        <w:gridCol w:w="211"/>
        <w:gridCol w:w="1036"/>
        <w:gridCol w:w="326"/>
        <w:gridCol w:w="211"/>
        <w:gridCol w:w="1036"/>
        <w:gridCol w:w="326"/>
        <w:gridCol w:w="211"/>
        <w:gridCol w:w="1036"/>
        <w:gridCol w:w="326"/>
        <w:gridCol w:w="211"/>
        <w:gridCol w:w="1081"/>
      </w:tblGrid>
      <w:tr>
        <w:trPr/>
        <w:tc>
          <w:tcPr>
            <w:tcW w:w="4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63190" cy="175260"/>
                      <wp:effectExtent l="0" t="0" r="0" b="0"/>
                      <wp:wrapNone/>
                      <wp:docPr id="8" name="Frame8"/>
                      <a:graphic xmlns:a="http://schemas.openxmlformats.org/drawingml/2006/main">
                        <a:graphicData uri="http://schemas.microsoft.com/office/word/2010/wordprocessingShape">
                          <wps:wsp>
                            <wps:cNvSpPr txBox="1"/>
                            <wps:spPr>
                              <a:xfrm>
                                <a:off x="0" y="0"/>
                                <a:ext cx="266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86435" cy="175260"/>
                      <wp:effectExtent l="0" t="0" r="0" b="0"/>
                      <wp:wrapNone/>
                      <wp:docPr id="19" name="Frame1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94"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r>
      <w:tr>
        <w:trPr/>
        <w:tc>
          <w:tcPr>
            <w:tcW w:w="4194"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center"/>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194"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158,858</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70,797</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235,408</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(180,363)</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  </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settlement of forward contract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(9,358)</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7,143</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7,509</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(172,854)</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(173,633)</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dividends on convertible preferred stock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(174,935)</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4194"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63,684,359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61,011,824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63,373,489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60,577,691</w:t>
            </w:r>
          </w:p>
        </w:tc>
      </w:tr>
      <w:tr>
        <w:trPr/>
        <w:tc>
          <w:tcPr>
            <w:tcW w:w="4194"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(174,935)</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41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net on marketable securities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41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(175,686)</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276" w:name="_7182da41_bf76_403c_bff9_702db8e1977a"/>
      <w:bookmarkEnd w:id="276"/>
      <w:r>
        <w:rPr>
          <w:rFonts w:ascii="Times New Roman;Times;serif" w:hAnsi="Times New Roman;Times;serif"/>
          <w:b/>
          <w:sz w:val="16"/>
        </w:rPr>
        <w:t>Rhythm Pharmaceuticals, Inc.</w:t>
      </w:r>
    </w:p>
    <w:p>
      <w:pPr>
        <w:pStyle w:val="TextBody"/>
        <w:bidi w:val="0"/>
        <w:spacing w:before="0" w:after="0"/>
        <w:ind w:left="0" w:right="0" w:hanging="0"/>
        <w:jc w:val="center"/>
        <w:rPr>
          <w:rFonts w:ascii="Times New Roman;Times;serif" w:hAnsi="Times New Roman;Times;serif"/>
          <w:b/>
          <w:sz w:val="16"/>
        </w:rPr>
      </w:pPr>
      <w:bookmarkStart w:id="277" w:name="Equity"/>
      <w:bookmarkEnd w:id="277"/>
      <w:r>
        <w:rPr>
          <w:rFonts w:ascii="Times New Roman;Times;serif" w:hAnsi="Times New Roman;Times;serif"/>
          <w:b/>
          <w:sz w:val="16"/>
        </w:rPr>
        <w:t>Condensed Consolidated Statements of Convertible Preferred Stock &amp; Stockholders’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8" w:name="Tc_tS3pKhk--kq_xJt_freVdw_42_21"/>
      <w:bookmarkStart w:id="279" w:name="Tc_QzHQf6sRp0WyFDSNtwC6ZA_42_18"/>
      <w:bookmarkStart w:id="280" w:name="Tc_R-ekmGe9lECrWwXNNeMjkA_42_15"/>
      <w:bookmarkStart w:id="281" w:name="Tc_aQQXEeSAkkaj9m0lSJJqqA_42_12"/>
      <w:bookmarkStart w:id="282" w:name="Tc_wPz4wQ1HZEi08PFyzXbBrg_42_9"/>
      <w:bookmarkStart w:id="283" w:name="Tc_HMpmY-JS5Euvkt8L0MXdKw_42_4"/>
      <w:bookmarkStart w:id="284" w:name="Tc_9p_Av-iz3ke11WBHB7ulmQ_42_0"/>
      <w:bookmarkStart w:id="285" w:name="Tc_o90ucehusk2ifY_VHhoudQ_41_16"/>
      <w:bookmarkStart w:id="286" w:name="Tc_vxaPD3qhkUiu4fdlSIhMEQ_41_13"/>
      <w:bookmarkStart w:id="287" w:name="Tc_vuIBEWMLeEmi23FtYeNL2Q_41_10"/>
      <w:bookmarkStart w:id="288" w:name="Tc_dPcSk2iE6k-YOk-vMGVfQg_41_7"/>
      <w:bookmarkStart w:id="289" w:name="Tc_fhA8iStVTkS0ICHtUqYPOQ_41_5"/>
      <w:bookmarkStart w:id="290" w:name="Tc_MpsHT6KOfkKe9Eo7WvZhpA_41_2"/>
      <w:bookmarkStart w:id="291" w:name="Tc_1X7ii4bgakm2i5SjCGFcFQ_41_0"/>
      <w:bookmarkStart w:id="292" w:name="Tc_l-0QZQLLD063y3C8bFKH2A_40_19"/>
      <w:bookmarkStart w:id="293" w:name="Tc_fY_weNFoykeJSU6YPLP0TA_40_13"/>
      <w:bookmarkStart w:id="294" w:name="Tc_GWWgopQiKEKDfOiCqZPtgA_40_10"/>
      <w:bookmarkStart w:id="295" w:name="Tc_jlMLPQ1sPU-mP1S4L7iRDQ_40_7"/>
      <w:bookmarkStart w:id="296" w:name="Tc_6hL7keIm7UWpFW50I9BNRg_40_5"/>
      <w:bookmarkStart w:id="297" w:name="Tc_JRojXoxGw0uDNBcC81-ucg_40_2"/>
      <w:bookmarkStart w:id="298" w:name="Tc_xI3lIMh8rkaL2MFkef13Tw_40_0"/>
      <w:bookmarkStart w:id="299" w:name="Tc_shvIjXw7O06EqGNP3xCs_g_39_19"/>
      <w:bookmarkStart w:id="300" w:name="Tc_pgRh9TMGpE2dvoR1PkLEGQ_39_13"/>
      <w:bookmarkStart w:id="301" w:name="Tc_pGZMopOO3ke-Ywtfxn22ew_39_10"/>
      <w:bookmarkStart w:id="302" w:name="Tc_fs43TE0YjEWV6o2etPKbag_39_7"/>
      <w:bookmarkStart w:id="303" w:name="Tc_HeUwPzwunE-PP575YrMEjQ_39_5"/>
      <w:bookmarkStart w:id="304" w:name="Tc_tvZTrdXTyUS4ESt_k3cwiw_39_2"/>
      <w:bookmarkStart w:id="305" w:name="Tc_Z03k1qBa1k-8cYsdDikJzA_39_0"/>
      <w:bookmarkStart w:id="306" w:name="Tc_YDTFp7Hz-0iQ9ayK15Omhg_38_19"/>
      <w:bookmarkStart w:id="307" w:name="Tc_gl4UxZAiuUKHiCa4pPDMuQ_38_16"/>
      <w:bookmarkStart w:id="308" w:name="Tc_3Knzrbd160iE22Ss4Xgz7g_38_10"/>
      <w:bookmarkStart w:id="309" w:name="Tc_2Qqe4JZCdUKwY3IxhjstDw_38_7"/>
      <w:bookmarkStart w:id="310" w:name="Tc_CD2XOsgB0UqwVuoKXJBb3A_38_2"/>
      <w:bookmarkStart w:id="311" w:name="Tc_lloDKXTS_k2uf4M1T8h6eg_38_0"/>
      <w:bookmarkStart w:id="312" w:name="Tc_238V2ksme0yqOjstU-hdKg_37_22"/>
      <w:bookmarkStart w:id="313" w:name="Tc_24pSohxYVkuXaUIGZQwvsA_37_19"/>
      <w:bookmarkStart w:id="314" w:name="Tc_eTKFB1EoSkK7V76ehYAKIw_37_16"/>
      <w:bookmarkStart w:id="315" w:name="Tc_um7lLMdPx0-3fKHxduyAEA_37_13"/>
      <w:bookmarkStart w:id="316" w:name="Tc_E6OTp4xQxkyClOcgSDnpwQ_37_10"/>
      <w:bookmarkStart w:id="317" w:name="Tc_4lRSJP6bnkiNuXCRs54QLg_37_7"/>
      <w:bookmarkStart w:id="318" w:name="Tc_EQKvC4UZZUGTkJ8xd8HNaw_37_5"/>
      <w:bookmarkStart w:id="319" w:name="Tc_R_XCAqKxT0Su_P6SSBl0Hg_37_2"/>
      <w:bookmarkStart w:id="320" w:name="Tc_4u8bKMPUNEOfmbEuyRe-OA_37_0"/>
      <w:bookmarkStart w:id="321" w:name="Tc_0xl-h_OII0uiH7cPk0oJWQ_36_19"/>
      <w:bookmarkStart w:id="322" w:name="Tc_wSQwhlvsLkeuoa06dqHq_A_36_16"/>
      <w:bookmarkStart w:id="323" w:name="Tc_Gxrj-hxXf0aXeZ48qO_t7A_36_10"/>
      <w:bookmarkStart w:id="324" w:name="Tc_GKj6049P0U6EO-1qgNbIoA_36_5"/>
      <w:bookmarkStart w:id="325" w:name="Tc_beD_sBJuj0K9SJVfosPq6Q_36_2"/>
      <w:bookmarkStart w:id="326" w:name="Tc_uXbo7sVhXE6Gs3cLcZE-CA_36_0"/>
      <w:bookmarkStart w:id="327" w:name="Tc_Ao8UskdGHUWkXtO9xPDgsg_35_22"/>
      <w:bookmarkStart w:id="328" w:name="Tc_hO_oriPdZU6_Neo2JxDR1w_35_19"/>
      <w:bookmarkStart w:id="329" w:name="Tc_ZQnoB9yZiEWVA894yNw5Xg_35_16"/>
      <w:bookmarkStart w:id="330" w:name="Tc_pp7nxnzoHEO2LCpFywvF6w_35_13"/>
      <w:bookmarkStart w:id="331" w:name="Tc_LrBs_u5OZU-CLRExxs3D6g_35_10"/>
      <w:bookmarkStart w:id="332" w:name="Tc_cqgENqI7TkemIw0D3xda4A_35_7"/>
      <w:bookmarkStart w:id="333" w:name="Tc_X9uGmMoQ4UKUPceEvDdxSA_35_5"/>
      <w:bookmarkStart w:id="334" w:name="Tc_l74sxn854kW4Ro7QoFME-A_35_2"/>
      <w:bookmarkStart w:id="335" w:name="Tc_brGFYI8EDEe9BiXWcEh1sw_35_0"/>
      <w:bookmarkStart w:id="336" w:name="Tc_lRqVTKEx_kKajC7pfBIUaw_34_19"/>
      <w:bookmarkStart w:id="337" w:name="Tc_BjnwfRYhxUaB_aMuSnXQRQ_34_16"/>
      <w:bookmarkStart w:id="338" w:name="Tc_fzFdhprp3UeszYzKZ3aKYg_34_10"/>
      <w:bookmarkStart w:id="339" w:name="Tc_cW3dgYAjHkKSiPVm3nMbzQ_34_7"/>
      <w:bookmarkStart w:id="340" w:name="Tc_UYTNbe9lnkWEBtJid6qvLA_34_5"/>
      <w:bookmarkStart w:id="341" w:name="Tc_8CMdHA3-XUy6tcHI--aK3g_34_2"/>
      <w:bookmarkStart w:id="342" w:name="Tc_Idz4uxSGAEmEnKSm2rMDIw_34_0"/>
      <w:bookmarkStart w:id="343" w:name="Tc_JnY6vNoPNUyzTtwMmRM0TQ_33_22"/>
      <w:bookmarkStart w:id="344" w:name="Tc_AbBJ00nN1kOxQ2iOzMAfAw_33_19"/>
      <w:bookmarkStart w:id="345" w:name="Tc_gHn7hjxihE-kKKbKjK1KAg_33_16"/>
      <w:bookmarkStart w:id="346" w:name="Tc_eEqZl7EKAEyZuS9DwM27eA_33_13"/>
      <w:bookmarkStart w:id="347" w:name="Tc_uUv4vW4fWUmk6f9l281NRg_33_10"/>
      <w:bookmarkStart w:id="348" w:name="Tc_6Eeasgz060qzVnzw3mIbHA_33_7"/>
      <w:bookmarkStart w:id="349" w:name="Tc_vVlNADMLMU6St44BAnPrDw_33_0"/>
      <w:bookmarkStart w:id="350" w:name="Tc_-3dJxmw4qkKCdJ0MbGl9_g_32_21"/>
      <w:bookmarkStart w:id="351" w:name="Tc_e1ez0gnPQkiufD7Aw-fUNQ_32_18"/>
      <w:bookmarkStart w:id="352" w:name="Tc_e9jaDxSa_kWsSpdxPFDtPQ_32_15"/>
      <w:bookmarkStart w:id="353" w:name="Tc_m12jv2IBF0OIEjhyjfJ84w_32_12"/>
      <w:bookmarkStart w:id="354" w:name="Tc_JVB_rPwQk0-DfMH34_epEQ_32_9"/>
      <w:bookmarkStart w:id="355" w:name="Tc_MEIsbX60pU-HqntG3PfdkQ_32_5"/>
      <w:bookmarkStart w:id="356" w:name="Tc_epCbsd1RV0ymCRy8e_HfOw_32_4"/>
      <w:bookmarkStart w:id="357" w:name="Tc_mydzce5u_UWKA_bxPhxIBg_32_2"/>
      <w:bookmarkStart w:id="358" w:name="Tc_fldXKiqbKku0dAfpRkXtBQ_32_0"/>
      <w:bookmarkStart w:id="359" w:name="Tc_RhyhNJA8G0W6FmYaqa7O2Q_31_16"/>
      <w:bookmarkStart w:id="360" w:name="Tc_pF3Z1zIbjEuks7Myx4E3Jg_31_13"/>
      <w:bookmarkStart w:id="361" w:name="Tc_WoYqFlWKYEqnxdNt9jeBQQ_31_10"/>
      <w:bookmarkStart w:id="362" w:name="Tc_8t0-qCv_WUq-7Pi34sKGyQ_31_7"/>
      <w:bookmarkStart w:id="363" w:name="Tc_NbUi069JrEabXDcjcVldgQ_31_5"/>
      <w:bookmarkStart w:id="364" w:name="Tc_inHbJBwvTkGE8BVyRC6c6g_31_2"/>
      <w:bookmarkStart w:id="365" w:name="Tc_fcOCsPTy2EqrqMnMxA0xLw_31_0"/>
      <w:bookmarkStart w:id="366" w:name="Tc_Jq69tDQzhkWlcvFN9TmOdA_30_19"/>
      <w:bookmarkStart w:id="367" w:name="Tc_xWYqltRRakOpOU9guHMI-A_30_13"/>
      <w:bookmarkStart w:id="368" w:name="Tc_xrvjBsnp8E681hXfSF1cuQ_30_10"/>
      <w:bookmarkStart w:id="369" w:name="Tc_qkc_DWKrtEOR1jDxT3c_MQ_30_7"/>
      <w:bookmarkStart w:id="370" w:name="Tc_ClyW8rym9UiXf4w507xeCw_30_5"/>
      <w:bookmarkStart w:id="371" w:name="Tc_t5ZJZWTNaU2sxnhZc9dMCw_30_2"/>
      <w:bookmarkStart w:id="372" w:name="Tc_56-6GRLc50u6yyGBeWITPg_30_0"/>
      <w:bookmarkStart w:id="373" w:name="Tc_p4KVOPesD0-LBBKp-m42BA_29_19"/>
      <w:bookmarkStart w:id="374" w:name="Tc_6kqgDqeJV0SB2R8CzddtOw_29_13"/>
      <w:bookmarkStart w:id="375" w:name="Tc_PBsezZbusEGNI3c_jO21-g_29_10"/>
      <w:bookmarkStart w:id="376" w:name="Tc_gnEQ-RGFMECcIJgWrMyfag_29_7"/>
      <w:bookmarkStart w:id="377" w:name="Tc_WuNdOdCGA0GOuUBDgEeVdA_29_5"/>
      <w:bookmarkStart w:id="378" w:name="Tc_gmBlqOsNT0SKeDiarGNxGg_29_2"/>
      <w:bookmarkStart w:id="379" w:name="Tc_TGaIA3lI_02Ey_3EML_0xw_29_0"/>
      <w:bookmarkStart w:id="380" w:name="Tc_7NexV5ENekqxZFaTBEpqEQ_28_19"/>
      <w:bookmarkStart w:id="381" w:name="Tc_2FDKP-NUNECBah-K5NMjHA_28_16"/>
      <w:bookmarkStart w:id="382" w:name="Tc_1r8VlXollE6vNUcU6Fv6kA_28_10"/>
      <w:bookmarkStart w:id="383" w:name="Tc_OxAOn4LJOUGVVg2-jUhQlw_28_5"/>
      <w:bookmarkStart w:id="384" w:name="Tc_TVT0wRztYUWg2p8YomKpZQ_28_2"/>
      <w:bookmarkStart w:id="385" w:name="Tc_qoEzVinhsEaj3hgEM76OTg_28_0"/>
      <w:bookmarkStart w:id="386" w:name="Tc_Sp4H7tJPmkKQq1iWte6EHA_27_19"/>
      <w:bookmarkStart w:id="387" w:name="Tc_uG6g5ClE1EiVDwCBim--9A_27_16"/>
      <w:bookmarkStart w:id="388" w:name="Tc_j67gMULDh0Wn1kTlayxsYA_27_5"/>
      <w:bookmarkStart w:id="389" w:name="Tc_7u1iwxi8D0a5ZzlG3VcBpQ_27_2"/>
      <w:bookmarkStart w:id="390" w:name="Tc_mRRftKAy1U-6HNeWGyIgYQ_27_0"/>
      <w:bookmarkStart w:id="391" w:name="Tc_OptFXapXokOOKwUhQ5wXhg_26_19"/>
      <w:bookmarkStart w:id="392" w:name="Tc_y2ypEXlpnU-JGrcOcWBVOA_26_16"/>
      <w:bookmarkStart w:id="393" w:name="Tc_kAWhjSVvdkuDnDvHJecOIw_26_10"/>
      <w:bookmarkStart w:id="394" w:name="Tc_RKG2Gzb9CUC1vqKQjeOUvw_26_5"/>
      <w:bookmarkStart w:id="395" w:name="Tc_yqkmlm3oxEyDmyuQgdA4ug_26_2"/>
      <w:bookmarkStart w:id="396" w:name="Tc_Nl_woBW0mk-dnewpPfKp3A_26_0"/>
      <w:bookmarkStart w:id="397" w:name="Tc_Xxd9axens0u6Svz-2fqoTQ_25_19"/>
      <w:bookmarkStart w:id="398" w:name="Tc_jqT1xrEMD0CAvS7iIiaO-A_25_16"/>
      <w:bookmarkStart w:id="399" w:name="Tc_LdkuFWZ_M0WwRrnGVLLiDw_25_10"/>
      <w:bookmarkStart w:id="400" w:name="Tc_O56VUbOE_E-JJYbwhsQ1bw_25_7"/>
      <w:bookmarkStart w:id="401" w:name="Tc_JEpMegMbQ0aInwKnr2Uoww_25_5"/>
      <w:bookmarkStart w:id="402" w:name="Tc_ZNz1vaz4V0qHifEsY2LM-A_25_2"/>
      <w:bookmarkStart w:id="403" w:name="Tc_sNo1e1VBXUeKSjeyBeRBSA_25_0"/>
      <w:bookmarkStart w:id="404" w:name="Tc_hif8KDwJskOeIcZ0XcwLGw_24_21"/>
      <w:bookmarkStart w:id="405" w:name="Tc_OvRRZa9ik0G0YQXzrEEt1g_24_18"/>
      <w:bookmarkStart w:id="406" w:name="Tc_pTKWJyjih0GHI8j1nGrMmQ_24_15"/>
      <w:bookmarkStart w:id="407" w:name="Tc_l6zjgb-elEulclyIh4ZxRw_24_12"/>
      <w:bookmarkStart w:id="408" w:name="Tc_4KzNSR4kXU6CFwKRTDCiTA_24_9"/>
      <w:bookmarkStart w:id="409" w:name="Tc_kT635PI22Eqs2Pyi8skyCQ_24_5"/>
      <w:bookmarkStart w:id="410" w:name="Tc_N13uHaPRlUWjG85Cml9JBQ_24_2"/>
      <w:bookmarkStart w:id="411" w:name="Tc_n9q8GRw3tEuhneMwZQv7kA_24_0"/>
      <w:bookmarkStart w:id="412" w:name="Tc_-1rcQM6-DE6GbO4Mav-t7g_22_21"/>
      <w:bookmarkStart w:id="413" w:name="Tc_Yu510DcjRkeRCdPyAAdAIg_22_18"/>
      <w:bookmarkStart w:id="414" w:name="Tc_w_8akl4E4EKvxeFwIINVUg_22_15"/>
      <w:bookmarkStart w:id="415" w:name="Tc_6snlgtxIM0CMI2ddZvHDgw_22_12"/>
      <w:bookmarkStart w:id="416" w:name="Tc_dQMKFS65QUepSoU5B6VTkQ_22_9"/>
      <w:bookmarkStart w:id="417" w:name="Tc_kZMg1L4CXkKQgfNzJrBtMA_22_4"/>
      <w:bookmarkStart w:id="418" w:name="Tc_rnL5yZNGLEKLLpt_UVw_Vg_22_0"/>
      <w:bookmarkStart w:id="419" w:name="Tc_xEwjLBOK7EWMu10oOkHlTA_21_16"/>
      <w:bookmarkStart w:id="420" w:name="Tc_RdKsRmzlLku0shRsbnNohg_21_13"/>
      <w:bookmarkStart w:id="421" w:name="Tc_sWaNHBfEYU-q8T0GPint5Q_21_10"/>
      <w:bookmarkStart w:id="422" w:name="Tc_phEY3dlzxkGJ5DgC1obYgA_21_7"/>
      <w:bookmarkStart w:id="423" w:name="Tc_zBFeM-Js5kayMIkoQ2UZDA_21_5"/>
      <w:bookmarkStart w:id="424" w:name="Tc_Z2FVrHBEZEqaDZ8kacVp6w_21_2"/>
      <w:bookmarkStart w:id="425" w:name="Tc_pDpq0EBiek65m8OSt8247A_21_0"/>
      <w:bookmarkStart w:id="426" w:name="Tc_M2zV_u1JOU242fnKg_rA0Q_20_19"/>
      <w:bookmarkStart w:id="427" w:name="Tc_FEnCZ32fVEOEKV6G8mWhpA_20_13"/>
      <w:bookmarkStart w:id="428" w:name="Tc_2NJJJATc50e5d6igwaGzvg_20_10"/>
      <w:bookmarkStart w:id="429" w:name="Tc_pvQGIBSwj0OxWV_-JPVykw_20_7"/>
      <w:bookmarkStart w:id="430" w:name="Tc_YV5SvyuSdEelR-EZLMSBkg_20_5"/>
      <w:bookmarkStart w:id="431" w:name="Tc_GWdX-d45dEWWVtpO6WLKBA_20_2"/>
      <w:bookmarkStart w:id="432" w:name="Tc_W1vo973LkEaL1dHo9ZK6fg_20_0"/>
      <w:bookmarkStart w:id="433" w:name="Tc_IAP1cVxVk0OMHZKAk4UBkQ_19_19"/>
      <w:bookmarkStart w:id="434" w:name="Tc_bkoOWZPCv0GEjnLPUBVcLw_19_13"/>
      <w:bookmarkStart w:id="435" w:name="Tc_VS7pkdcwNkiJzcLdKvYRrA_19_10"/>
      <w:bookmarkStart w:id="436" w:name="Tc_HOhgJKchVkG5gQh6ijT-Xg_19_7"/>
      <w:bookmarkStart w:id="437" w:name="Tc_BbLZfHDFP06FvHrhcUxNkQ_19_5"/>
      <w:bookmarkStart w:id="438" w:name="Tc_opOD4MyU0EOGmpphfxrTpw_19_2"/>
      <w:bookmarkStart w:id="439" w:name="Tc_Ff4EmifrJU2oxj5khHUZsw_19_0"/>
      <w:bookmarkStart w:id="440" w:name="Tc_ba8gsj1qtUmmTISdVCg6Og_18_19"/>
      <w:bookmarkStart w:id="441" w:name="Tc_GXnFnKeORU6GPUETh0TLbw_18_16"/>
      <w:bookmarkStart w:id="442" w:name="Tc_uagMuFDJ0EGgmo5EsvTnqg_18_10"/>
      <w:bookmarkStart w:id="443" w:name="Tc_QumWvGgvQkOuM3-lbp2IlQ_18_7"/>
      <w:bookmarkStart w:id="444" w:name="Tc_yVdGJsDEDE6UtC-vWjbUmg_18_2"/>
      <w:bookmarkStart w:id="445" w:name="Tc_8mWREBgk9EW1vyuvSOElRg_18_0"/>
      <w:bookmarkStart w:id="446" w:name="Tc_PFTAsiFIxUy7aZlfE0nvyA_17_19"/>
      <w:bookmarkStart w:id="447" w:name="Tc_lQlOUlQh-EKTdV8BHxnBuQ_17_16"/>
      <w:bookmarkStart w:id="448" w:name="Tc_VqEAKARKt0qK7gxW_UhX_g_17_5"/>
      <w:bookmarkStart w:id="449" w:name="Tc_qa2TSj5bxEeHnhsS_9cksQ_17_2"/>
      <w:bookmarkStart w:id="450" w:name="Tc_Gbqit9TD30O0dGkjTXP6-w_17_0"/>
      <w:bookmarkStart w:id="451" w:name="Tc_IiG1O-Z4LUuZPVuk0X8H2g_16_22"/>
      <w:bookmarkStart w:id="452" w:name="Tc_3R3qoQuO00OiXctA4PnhKQ_16_19"/>
      <w:bookmarkStart w:id="453" w:name="Tc_owVLZoDvbU2sabh7O0LJCg_16_16"/>
      <w:bookmarkStart w:id="454" w:name="Tc_Ncvd0iIpk0KaAIz7E6gN-Q_16_13"/>
      <w:bookmarkStart w:id="455" w:name="Tc_vwRz3pN0p0atu_r19XPUew_16_10"/>
      <w:bookmarkStart w:id="456" w:name="Tc_TxiilniDOk-r5ICJLBfE6Q_16_7"/>
      <w:bookmarkStart w:id="457" w:name="Tc_9YDszUQNlkuZ05mRyawJIQ_16_5"/>
      <w:bookmarkStart w:id="458" w:name="Tc_f2g0-s86NE6GeFh_haKilQ_16_2"/>
      <w:bookmarkStart w:id="459" w:name="Tc_OM_Qr4-omk6P_8qWBRk4nA_16_0"/>
      <w:bookmarkStart w:id="460" w:name="Tc_0Iox90vKjUW-8QM5_dDM0A_15_19"/>
      <w:bookmarkStart w:id="461" w:name="Tc_bMxVMjeoq0-7gdzdCq2kQg_15_16"/>
      <w:bookmarkStart w:id="462" w:name="Tc_dhbkWizafkiAjEeBpwtUHg_15_10"/>
      <w:bookmarkStart w:id="463" w:name="Tc_Xz-AhkrHDke8r76eQ_yYUQ_15_7"/>
      <w:bookmarkStart w:id="464" w:name="Tc_EZu4RfLc-Uq-3xR0o6N_WQ_15_5"/>
      <w:bookmarkStart w:id="465" w:name="Tc_Icq3t91P9UG0RfOucfX4DQ_15_2"/>
      <w:bookmarkStart w:id="466" w:name="Tc_ZwjW5cbD8E-g-SjCHHJXTQ_15_0"/>
      <w:bookmarkStart w:id="467" w:name="Tc_Cs7HxTOcWEOG7OL7FiAM-A_14_21"/>
      <w:bookmarkStart w:id="468" w:name="Tc_lyUbiE0my0WF45VpMSpfUw_14_18"/>
      <w:bookmarkStart w:id="469" w:name="Tc_PPxpjAyGxU6eepMI-SPfcw_14_15"/>
      <w:bookmarkStart w:id="470" w:name="Tc_D15--43nREKF_lo1_U7SYg_14_12"/>
      <w:bookmarkStart w:id="471" w:name="Tc_s45_uReS60uRXBZUQX_i1A_14_9"/>
      <w:bookmarkStart w:id="472" w:name="Tc_ryC1V4AMuky-PQCyTkv33Q_14_4"/>
      <w:bookmarkStart w:id="473" w:name="Tc_2VbuhJci-Uu6M6wjWe1nXg_14_0"/>
      <w:bookmarkStart w:id="474" w:name="Tc_FruGUkrUXUOq1e1blBpaaw_13_16"/>
      <w:bookmarkStart w:id="475" w:name="Tc_ilE_cac_hECXPnhgdHUC1g_13_13"/>
      <w:bookmarkStart w:id="476" w:name="Tc_2bwTMQnl-UqrzB5qxjIZ2Q_13_10"/>
      <w:bookmarkStart w:id="477" w:name="Tc_TVyNAAU8fE-U692Js5APHg_13_7"/>
      <w:bookmarkStart w:id="478" w:name="Tc_yp4CLcb0BUe_TQ9I7gk86w_13_5"/>
      <w:bookmarkStart w:id="479" w:name="Tc_d4fz3gOAwE6-VtgzWTTQGg_13_2"/>
      <w:bookmarkStart w:id="480" w:name="Tc_kObHG_ArkEKk9UJIxUqSTA_13_0"/>
      <w:bookmarkStart w:id="481" w:name="Tc_7H0UdlOm2ECGYzZ6WwvwlQ_12_19"/>
      <w:bookmarkStart w:id="482" w:name="Tc_eldrWgvNKEm1OtMgz3J3Ug_12_13"/>
      <w:bookmarkStart w:id="483" w:name="Tc_gtaOx8c3IUWaZIwINfbvwQ_12_10"/>
      <w:bookmarkStart w:id="484" w:name="Tc_2t13-jb6w0WsNYfnF9-j_g_12_7"/>
      <w:bookmarkStart w:id="485" w:name="Tc_50Sz9rM-Y0u173_O9xAJDA_12_5"/>
      <w:bookmarkStart w:id="486" w:name="Tc_rbXhwXpHgkSxj1OGxKvRvA_12_2"/>
      <w:bookmarkStart w:id="487" w:name="Tc_hQqR1YCzZkKqMcmQzST8Fg_12_0"/>
      <w:bookmarkStart w:id="488" w:name="Tc_GaK-JndTZEOd5DXYMmVogw_11_19"/>
      <w:bookmarkStart w:id="489" w:name="Tc_rXYGuOLdOkaW_vUQUTQf1A_11_13"/>
      <w:bookmarkStart w:id="490" w:name="Tc_FzR1HahPNUCCa1XuSVxHeA_11_10"/>
      <w:bookmarkStart w:id="491" w:name="Tc_Z6vZJqwV7U2T9umxl7cbrQ_11_7"/>
      <w:bookmarkStart w:id="492" w:name="Tc_p8orxGn0EUK1PEv4O1zTeQ_11_5"/>
      <w:bookmarkStart w:id="493" w:name="Tc_PZtcgn7tR0qrbWXPezptzw_11_2"/>
      <w:bookmarkStart w:id="494" w:name="Tc_YhlW-lMahker89JLqFZdqw_11_0"/>
      <w:bookmarkStart w:id="495" w:name="Tc_MF9x0Iux50CKITTXsGEXfg_10_19"/>
      <w:bookmarkStart w:id="496" w:name="Tc_dQbLZHVjcUCZrdCTEKOgOw_10_16"/>
      <w:bookmarkStart w:id="497" w:name="Tc_RtB_PX5DPUqjiPLar9Ylzw_10_10"/>
      <w:bookmarkStart w:id="498" w:name="Tc_A4R3OKVNn0qoUg0mD5citw_10_7"/>
      <w:bookmarkStart w:id="499" w:name="Tc_glk5yprRUUybtu6vhQ6HYw_10_2"/>
      <w:bookmarkStart w:id="500" w:name="Tc_zrNDb_dZ-km-MjTtp8OEjg_10_0"/>
      <w:bookmarkStart w:id="501" w:name="Tc_GTze41qC00SV3Flfcrzxug_9_19"/>
      <w:bookmarkStart w:id="502" w:name="Tc_0Ey-nCrRA0q0BhawLWzPBg_9_16"/>
      <w:bookmarkStart w:id="503" w:name="Tc_h1eLh-9tg0aeVEUB2n4Kkw_9_10"/>
      <w:bookmarkStart w:id="504" w:name="Tc_S0AEegS0bkWu19dhPZgsjw_9_5"/>
      <w:bookmarkStart w:id="505" w:name="Tc_FxZII1-eR0Gg5t-B_BEp4A_9_2"/>
      <w:bookmarkStart w:id="506" w:name="Tc_NySD1pztokmX59bTbm8ESQ_9_0"/>
      <w:bookmarkStart w:id="507" w:name="Tc_x6jPk8xr5UCLEwYM3ys3Ng_8_19"/>
      <w:bookmarkStart w:id="508" w:name="Tc_8Z--OYANvUmGFPk8d0nFvw_8_16"/>
      <w:bookmarkStart w:id="509" w:name="Tc_wxo_VdiUckyVwuFnlVcxXA_8_5"/>
      <w:bookmarkStart w:id="510" w:name="Tc_fZ430Y8SxUCnhYjI7mf4cg_8_2"/>
      <w:bookmarkStart w:id="511" w:name="Tc_SK6W7LcKt0af-ZOsgFPacQ_8_0"/>
      <w:bookmarkStart w:id="512" w:name="Tc_RthMsB6KM0eW4oEpCby-hg_7_19"/>
      <w:bookmarkStart w:id="513" w:name="Tc_bqL_ISn-M0qczb1BbOIA1g_7_16"/>
      <w:bookmarkStart w:id="514" w:name="Tc_ES8D9Iv1dk2R7ro6A1lEiA_7_10"/>
      <w:bookmarkStart w:id="515" w:name="Tc_hYu5XpwrJk2yupo1m1okqA_7_5"/>
      <w:bookmarkStart w:id="516" w:name="Tc_etVChRz0uEC2jbP6Cxd8zQ_7_2"/>
      <w:bookmarkStart w:id="517" w:name="Tc_3q2TzwLcj0KN39u47cXYbQ_7_0"/>
      <w:bookmarkStart w:id="518" w:name="Tc_BHC8X4YQrEWtt2t7n6iHXQ_6_19"/>
      <w:bookmarkStart w:id="519" w:name="Tc_kdUhVno-Vk-hAVwGkLK2DQ_6_16"/>
      <w:bookmarkStart w:id="520" w:name="Tc_8sdYajRr30aONAYbpOxRRw_6_10"/>
      <w:bookmarkStart w:id="521" w:name="Tc_VEdvPQvfyUmYM_HgY39puw_6_7"/>
      <w:bookmarkStart w:id="522" w:name="Tc_H15nOHxG7kO1X0zlHa7Vng_6_5"/>
      <w:bookmarkStart w:id="523" w:name="Tc_ny0JDDSgF0-jRq7YfMCllw_6_2"/>
      <w:bookmarkStart w:id="524" w:name="Tc_uffhmGz8AEOPu_dbalV2fQ_6_0"/>
      <w:bookmarkStart w:id="525" w:name="Tc_TpRS55RXvU2rGxNoj3wFGA_5_21"/>
      <w:bookmarkStart w:id="526" w:name="Tc_EeJXUF2wqEeYZwx4_o5lKg_5_18"/>
      <w:bookmarkStart w:id="527" w:name="Tc_BpaOULq2Xkq6muY0t_43iw_5_15"/>
      <w:bookmarkStart w:id="528" w:name="Tc_Fe2hKFjjHk-kjrym06o02w_5_12"/>
      <w:bookmarkStart w:id="529" w:name="Tc_8MdTO-ZEKkW0gZwExauhpw_5_9"/>
      <w:bookmarkStart w:id="530" w:name="Tc_TERvUlxVckOiiWdTFJpidA_5_4"/>
      <w:bookmarkStart w:id="531" w:name="Tc_CqjLmIoHJEKgq6xDk9cEkA_5_0"/>
      <w:bookmarkStart w:id="532" w:name="Tc_8ZMBcRRCwESajCovnWi6fw_4_21"/>
      <w:bookmarkStart w:id="533" w:name="Tc_-cSxIz_ok0GJQDc-kHn2DQ_4_18"/>
      <w:bookmarkStart w:id="534" w:name="Tc_BYkP2d321kOYhwy-S65JNg_4_15"/>
      <w:bookmarkStart w:id="535" w:name="Tc_6ZLFjnSoB0iOuUY6PjjLKQ_4_12"/>
      <w:bookmarkStart w:id="536" w:name="Tc_cVk76CaVxUGzT0ymrevpdg_4_9"/>
      <w:bookmarkStart w:id="537" w:name="Tc_jyOu35M1mU6mpNgF6jnJEg_4_7"/>
      <w:bookmarkStart w:id="538" w:name="Tc_zQjSXN7b_0Wg1XsZvXnBuw_4_4"/>
      <w:bookmarkStart w:id="539" w:name="Tc_2Z1kMQAGokqywYIzpqkeMw_4_2"/>
      <w:bookmarkStart w:id="540" w:name="Tc_YfI47Zs2T06C4dqLc5qV2w_3_21"/>
      <w:bookmarkStart w:id="541" w:name="Tc_xKguZokzk0OI6zfXl1-yUA_3_18"/>
      <w:bookmarkStart w:id="542" w:name="Tc_3IYWuQ8HPEi-LvHBxdGFrQ_3_15"/>
      <w:bookmarkStart w:id="543" w:name="Tc_apHvvIIH2ESaXiTxhB6R1w_3_12"/>
      <w:bookmarkStart w:id="544" w:name="Tc_rMpcDCJtQUuu1zMHMLVGSA_3_7"/>
      <w:bookmarkStart w:id="545" w:name="Tc_ORJ5CfsWv0iFB-Q3R-n7sg_3_2"/>
      <w:bookmarkStart w:id="546" w:name="Tc_-pNrYaS_fkGXGTjuJ5D9EA_2_21"/>
      <w:bookmarkStart w:id="547" w:name="Tc_BHPJ5BxQgUOV3rEJfnq2YQ_2_15"/>
      <w:bookmarkStart w:id="548" w:name="Tc_86G0eccQA0CTxmr_6qqC0g_2_12"/>
      <w:bookmarkStart w:id="549" w:name="Tc_BYQpU5ED306MtL3BgL2bkg_2_2"/>
      <w:bookmarkStart w:id="550" w:name="Tc_Y4eZJ7mSKUyoTaXAb3OlSg_1_15"/>
      <w:bookmarkStart w:id="551" w:name="_c611fd70_3369_42de_86f3_f0e09bc80e4e"/>
      <w:bookmarkStart w:id="552" w:name="Tc_tS3pKhk--kq_xJt_freVdw_42_21"/>
      <w:bookmarkStart w:id="553" w:name="Tc_QzHQf6sRp0WyFDSNtwC6ZA_42_18"/>
      <w:bookmarkStart w:id="554" w:name="Tc_R-ekmGe9lECrWwXNNeMjkA_42_15"/>
      <w:bookmarkStart w:id="555" w:name="Tc_aQQXEeSAkkaj9m0lSJJqqA_42_12"/>
      <w:bookmarkStart w:id="556" w:name="Tc_wPz4wQ1HZEi08PFyzXbBrg_42_9"/>
      <w:bookmarkStart w:id="557" w:name="Tc_HMpmY-JS5Euvkt8L0MXdKw_42_4"/>
      <w:bookmarkStart w:id="558" w:name="Tc_9p_Av-iz3ke11WBHB7ulmQ_42_0"/>
      <w:bookmarkStart w:id="559" w:name="Tc_o90ucehusk2ifY_VHhoudQ_41_16"/>
      <w:bookmarkStart w:id="560" w:name="Tc_vxaPD3qhkUiu4fdlSIhMEQ_41_13"/>
      <w:bookmarkStart w:id="561" w:name="Tc_vuIBEWMLeEmi23FtYeNL2Q_41_10"/>
      <w:bookmarkStart w:id="562" w:name="Tc_dPcSk2iE6k-YOk-vMGVfQg_41_7"/>
      <w:bookmarkStart w:id="563" w:name="Tc_fhA8iStVTkS0ICHtUqYPOQ_41_5"/>
      <w:bookmarkStart w:id="564" w:name="Tc_MpsHT6KOfkKe9Eo7WvZhpA_41_2"/>
      <w:bookmarkStart w:id="565" w:name="Tc_1X7ii4bgakm2i5SjCGFcFQ_41_0"/>
      <w:bookmarkStart w:id="566" w:name="Tc_l-0QZQLLD063y3C8bFKH2A_40_19"/>
      <w:bookmarkStart w:id="567" w:name="Tc_fY_weNFoykeJSU6YPLP0TA_40_13"/>
      <w:bookmarkStart w:id="568" w:name="Tc_GWWgopQiKEKDfOiCqZPtgA_40_10"/>
      <w:bookmarkStart w:id="569" w:name="Tc_jlMLPQ1sPU-mP1S4L7iRDQ_40_7"/>
      <w:bookmarkStart w:id="570" w:name="Tc_6hL7keIm7UWpFW50I9BNRg_40_5"/>
      <w:bookmarkStart w:id="571" w:name="Tc_JRojXoxGw0uDNBcC81-ucg_40_2"/>
      <w:bookmarkStart w:id="572" w:name="Tc_xI3lIMh8rkaL2MFkef13Tw_40_0"/>
      <w:bookmarkStart w:id="573" w:name="Tc_shvIjXw7O06EqGNP3xCs_g_39_19"/>
      <w:bookmarkStart w:id="574" w:name="Tc_pgRh9TMGpE2dvoR1PkLEGQ_39_13"/>
      <w:bookmarkStart w:id="575" w:name="Tc_pGZMopOO3ke-Ywtfxn22ew_39_10"/>
      <w:bookmarkStart w:id="576" w:name="Tc_fs43TE0YjEWV6o2etPKbag_39_7"/>
      <w:bookmarkStart w:id="577" w:name="Tc_HeUwPzwunE-PP575YrMEjQ_39_5"/>
      <w:bookmarkStart w:id="578" w:name="Tc_tvZTrdXTyUS4ESt_k3cwiw_39_2"/>
      <w:bookmarkStart w:id="579" w:name="Tc_Z03k1qBa1k-8cYsdDikJzA_39_0"/>
      <w:bookmarkStart w:id="580" w:name="Tc_YDTFp7Hz-0iQ9ayK15Omhg_38_19"/>
      <w:bookmarkStart w:id="581" w:name="Tc_gl4UxZAiuUKHiCa4pPDMuQ_38_16"/>
      <w:bookmarkStart w:id="582" w:name="Tc_3Knzrbd160iE22Ss4Xgz7g_38_10"/>
      <w:bookmarkStart w:id="583" w:name="Tc_2Qqe4JZCdUKwY3IxhjstDw_38_7"/>
      <w:bookmarkStart w:id="584" w:name="Tc_CD2XOsgB0UqwVuoKXJBb3A_38_2"/>
      <w:bookmarkStart w:id="585" w:name="Tc_lloDKXTS_k2uf4M1T8h6eg_38_0"/>
      <w:bookmarkStart w:id="586" w:name="Tc_238V2ksme0yqOjstU-hdKg_37_22"/>
      <w:bookmarkStart w:id="587" w:name="Tc_24pSohxYVkuXaUIGZQwvsA_37_19"/>
      <w:bookmarkStart w:id="588" w:name="Tc_eTKFB1EoSkK7V76ehYAKIw_37_16"/>
      <w:bookmarkStart w:id="589" w:name="Tc_um7lLMdPx0-3fKHxduyAEA_37_13"/>
      <w:bookmarkStart w:id="590" w:name="Tc_E6OTp4xQxkyClOcgSDnpwQ_37_10"/>
      <w:bookmarkStart w:id="591" w:name="Tc_4lRSJP6bnkiNuXCRs54QLg_37_7"/>
      <w:bookmarkStart w:id="592" w:name="Tc_EQKvC4UZZUGTkJ8xd8HNaw_37_5"/>
      <w:bookmarkStart w:id="593" w:name="Tc_R_XCAqKxT0Su_P6SSBl0Hg_37_2"/>
      <w:bookmarkStart w:id="594" w:name="Tc_4u8bKMPUNEOfmbEuyRe-OA_37_0"/>
      <w:bookmarkStart w:id="595" w:name="Tc_0xl-h_OII0uiH7cPk0oJWQ_36_19"/>
      <w:bookmarkStart w:id="596" w:name="Tc_wSQwhlvsLkeuoa06dqHq_A_36_16"/>
      <w:bookmarkStart w:id="597" w:name="Tc_Gxrj-hxXf0aXeZ48qO_t7A_36_10"/>
      <w:bookmarkStart w:id="598" w:name="Tc_GKj6049P0U6EO-1qgNbIoA_36_5"/>
      <w:bookmarkStart w:id="599" w:name="Tc_beD_sBJuj0K9SJVfosPq6Q_36_2"/>
      <w:bookmarkStart w:id="600" w:name="Tc_uXbo7sVhXE6Gs3cLcZE-CA_36_0"/>
      <w:bookmarkStart w:id="601" w:name="Tc_Ao8UskdGHUWkXtO9xPDgsg_35_22"/>
      <w:bookmarkStart w:id="602" w:name="Tc_hO_oriPdZU6_Neo2JxDR1w_35_19"/>
      <w:bookmarkStart w:id="603" w:name="Tc_ZQnoB9yZiEWVA894yNw5Xg_35_16"/>
      <w:bookmarkStart w:id="604" w:name="Tc_pp7nxnzoHEO2LCpFywvF6w_35_13"/>
      <w:bookmarkStart w:id="605" w:name="Tc_LrBs_u5OZU-CLRExxs3D6g_35_10"/>
      <w:bookmarkStart w:id="606" w:name="Tc_cqgENqI7TkemIw0D3xda4A_35_7"/>
      <w:bookmarkStart w:id="607" w:name="Tc_X9uGmMoQ4UKUPceEvDdxSA_35_5"/>
      <w:bookmarkStart w:id="608" w:name="Tc_l74sxn854kW4Ro7QoFME-A_35_2"/>
      <w:bookmarkStart w:id="609" w:name="Tc_brGFYI8EDEe9BiXWcEh1sw_35_0"/>
      <w:bookmarkStart w:id="610" w:name="Tc_lRqVTKEx_kKajC7pfBIUaw_34_19"/>
      <w:bookmarkStart w:id="611" w:name="Tc_BjnwfRYhxUaB_aMuSnXQRQ_34_16"/>
      <w:bookmarkStart w:id="612" w:name="Tc_fzFdhprp3UeszYzKZ3aKYg_34_10"/>
      <w:bookmarkStart w:id="613" w:name="Tc_cW3dgYAjHkKSiPVm3nMbzQ_34_7"/>
      <w:bookmarkStart w:id="614" w:name="Tc_UYTNbe9lnkWEBtJid6qvLA_34_5"/>
      <w:bookmarkStart w:id="615" w:name="Tc_8CMdHA3-XUy6tcHI--aK3g_34_2"/>
      <w:bookmarkStart w:id="616" w:name="Tc_Idz4uxSGAEmEnKSm2rMDIw_34_0"/>
      <w:bookmarkStart w:id="617" w:name="Tc_JnY6vNoPNUyzTtwMmRM0TQ_33_22"/>
      <w:bookmarkStart w:id="618" w:name="Tc_AbBJ00nN1kOxQ2iOzMAfAw_33_19"/>
      <w:bookmarkStart w:id="619" w:name="Tc_gHn7hjxihE-kKKbKjK1KAg_33_16"/>
      <w:bookmarkStart w:id="620" w:name="Tc_eEqZl7EKAEyZuS9DwM27eA_33_13"/>
      <w:bookmarkStart w:id="621" w:name="Tc_uUv4vW4fWUmk6f9l281NRg_33_10"/>
      <w:bookmarkStart w:id="622" w:name="Tc_6Eeasgz060qzVnzw3mIbHA_33_7"/>
      <w:bookmarkStart w:id="623" w:name="Tc_vVlNADMLMU6St44BAnPrDw_33_0"/>
      <w:bookmarkStart w:id="624" w:name="Tc_-3dJxmw4qkKCdJ0MbGl9_g_32_21"/>
      <w:bookmarkStart w:id="625" w:name="Tc_e1ez0gnPQkiufD7Aw-fUNQ_32_18"/>
      <w:bookmarkStart w:id="626" w:name="Tc_e9jaDxSa_kWsSpdxPFDtPQ_32_15"/>
      <w:bookmarkStart w:id="627" w:name="Tc_m12jv2IBF0OIEjhyjfJ84w_32_12"/>
      <w:bookmarkStart w:id="628" w:name="Tc_JVB_rPwQk0-DfMH34_epEQ_32_9"/>
      <w:bookmarkStart w:id="629" w:name="Tc_MEIsbX60pU-HqntG3PfdkQ_32_5"/>
      <w:bookmarkStart w:id="630" w:name="Tc_epCbsd1RV0ymCRy8e_HfOw_32_4"/>
      <w:bookmarkStart w:id="631" w:name="Tc_mydzce5u_UWKA_bxPhxIBg_32_2"/>
      <w:bookmarkStart w:id="632" w:name="Tc_fldXKiqbKku0dAfpRkXtBQ_32_0"/>
      <w:bookmarkStart w:id="633" w:name="Tc_RhyhNJA8G0W6FmYaqa7O2Q_31_16"/>
      <w:bookmarkStart w:id="634" w:name="Tc_pF3Z1zIbjEuks7Myx4E3Jg_31_13"/>
      <w:bookmarkStart w:id="635" w:name="Tc_WoYqFlWKYEqnxdNt9jeBQQ_31_10"/>
      <w:bookmarkStart w:id="636" w:name="Tc_8t0-qCv_WUq-7Pi34sKGyQ_31_7"/>
      <w:bookmarkStart w:id="637" w:name="Tc_NbUi069JrEabXDcjcVldgQ_31_5"/>
      <w:bookmarkStart w:id="638" w:name="Tc_inHbJBwvTkGE8BVyRC6c6g_31_2"/>
      <w:bookmarkStart w:id="639" w:name="Tc_fcOCsPTy2EqrqMnMxA0xLw_31_0"/>
      <w:bookmarkStart w:id="640" w:name="Tc_Jq69tDQzhkWlcvFN9TmOdA_30_19"/>
      <w:bookmarkStart w:id="641" w:name="Tc_xWYqltRRakOpOU9guHMI-A_30_13"/>
      <w:bookmarkStart w:id="642" w:name="Tc_xrvjBsnp8E681hXfSF1cuQ_30_10"/>
      <w:bookmarkStart w:id="643" w:name="Tc_qkc_DWKrtEOR1jDxT3c_MQ_30_7"/>
      <w:bookmarkStart w:id="644" w:name="Tc_ClyW8rym9UiXf4w507xeCw_30_5"/>
      <w:bookmarkStart w:id="645" w:name="Tc_t5ZJZWTNaU2sxnhZc9dMCw_30_2"/>
      <w:bookmarkStart w:id="646" w:name="Tc_56-6GRLc50u6yyGBeWITPg_30_0"/>
      <w:bookmarkStart w:id="647" w:name="Tc_p4KVOPesD0-LBBKp-m42BA_29_19"/>
      <w:bookmarkStart w:id="648" w:name="Tc_6kqgDqeJV0SB2R8CzddtOw_29_13"/>
      <w:bookmarkStart w:id="649" w:name="Tc_PBsezZbusEGNI3c_jO21-g_29_10"/>
      <w:bookmarkStart w:id="650" w:name="Tc_gnEQ-RGFMECcIJgWrMyfag_29_7"/>
      <w:bookmarkStart w:id="651" w:name="Tc_WuNdOdCGA0GOuUBDgEeVdA_29_5"/>
      <w:bookmarkStart w:id="652" w:name="Tc_gmBlqOsNT0SKeDiarGNxGg_29_2"/>
      <w:bookmarkStart w:id="653" w:name="Tc_TGaIA3lI_02Ey_3EML_0xw_29_0"/>
      <w:bookmarkStart w:id="654" w:name="Tc_7NexV5ENekqxZFaTBEpqEQ_28_19"/>
      <w:bookmarkStart w:id="655" w:name="Tc_2FDKP-NUNECBah-K5NMjHA_28_16"/>
      <w:bookmarkStart w:id="656" w:name="Tc_1r8VlXollE6vNUcU6Fv6kA_28_10"/>
      <w:bookmarkStart w:id="657" w:name="Tc_OxAOn4LJOUGVVg2-jUhQlw_28_5"/>
      <w:bookmarkStart w:id="658" w:name="Tc_TVT0wRztYUWg2p8YomKpZQ_28_2"/>
      <w:bookmarkStart w:id="659" w:name="Tc_qoEzVinhsEaj3hgEM76OTg_28_0"/>
      <w:bookmarkStart w:id="660" w:name="Tc_Sp4H7tJPmkKQq1iWte6EHA_27_19"/>
      <w:bookmarkStart w:id="661" w:name="Tc_uG6g5ClE1EiVDwCBim--9A_27_16"/>
      <w:bookmarkStart w:id="662" w:name="Tc_j67gMULDh0Wn1kTlayxsYA_27_5"/>
      <w:bookmarkStart w:id="663" w:name="Tc_7u1iwxi8D0a5ZzlG3VcBpQ_27_2"/>
      <w:bookmarkStart w:id="664" w:name="Tc_mRRftKAy1U-6HNeWGyIgYQ_27_0"/>
      <w:bookmarkStart w:id="665" w:name="Tc_OptFXapXokOOKwUhQ5wXhg_26_19"/>
      <w:bookmarkStart w:id="666" w:name="Tc_y2ypEXlpnU-JGrcOcWBVOA_26_16"/>
      <w:bookmarkStart w:id="667" w:name="Tc_kAWhjSVvdkuDnDvHJecOIw_26_10"/>
      <w:bookmarkStart w:id="668" w:name="Tc_RKG2Gzb9CUC1vqKQjeOUvw_26_5"/>
      <w:bookmarkStart w:id="669" w:name="Tc_yqkmlm3oxEyDmyuQgdA4ug_26_2"/>
      <w:bookmarkStart w:id="670" w:name="Tc_Nl_woBW0mk-dnewpPfKp3A_26_0"/>
      <w:bookmarkStart w:id="671" w:name="Tc_Xxd9axens0u6Svz-2fqoTQ_25_19"/>
      <w:bookmarkStart w:id="672" w:name="Tc_jqT1xrEMD0CAvS7iIiaO-A_25_16"/>
      <w:bookmarkStart w:id="673" w:name="Tc_LdkuFWZ_M0WwRrnGVLLiDw_25_10"/>
      <w:bookmarkStart w:id="674" w:name="Tc_O56VUbOE_E-JJYbwhsQ1bw_25_7"/>
      <w:bookmarkStart w:id="675" w:name="Tc_JEpMegMbQ0aInwKnr2Uoww_25_5"/>
      <w:bookmarkStart w:id="676" w:name="Tc_ZNz1vaz4V0qHifEsY2LM-A_25_2"/>
      <w:bookmarkStart w:id="677" w:name="Tc_sNo1e1VBXUeKSjeyBeRBSA_25_0"/>
      <w:bookmarkStart w:id="678" w:name="Tc_hif8KDwJskOeIcZ0XcwLGw_24_21"/>
      <w:bookmarkStart w:id="679" w:name="Tc_OvRRZa9ik0G0YQXzrEEt1g_24_18"/>
      <w:bookmarkStart w:id="680" w:name="Tc_pTKWJyjih0GHI8j1nGrMmQ_24_15"/>
      <w:bookmarkStart w:id="681" w:name="Tc_l6zjgb-elEulclyIh4ZxRw_24_12"/>
      <w:bookmarkStart w:id="682" w:name="Tc_4KzNSR4kXU6CFwKRTDCiTA_24_9"/>
      <w:bookmarkStart w:id="683" w:name="Tc_kT635PI22Eqs2Pyi8skyCQ_24_5"/>
      <w:bookmarkStart w:id="684" w:name="Tc_N13uHaPRlUWjG85Cml9JBQ_24_2"/>
      <w:bookmarkStart w:id="685" w:name="Tc_n9q8GRw3tEuhneMwZQv7kA_24_0"/>
      <w:bookmarkStart w:id="686" w:name="Tc_-1rcQM6-DE6GbO4Mav-t7g_22_21"/>
      <w:bookmarkStart w:id="687" w:name="Tc_Yu510DcjRkeRCdPyAAdAIg_22_18"/>
      <w:bookmarkStart w:id="688" w:name="Tc_w_8akl4E4EKvxeFwIINVUg_22_15"/>
      <w:bookmarkStart w:id="689" w:name="Tc_6snlgtxIM0CMI2ddZvHDgw_22_12"/>
      <w:bookmarkStart w:id="690" w:name="Tc_dQMKFS65QUepSoU5B6VTkQ_22_9"/>
      <w:bookmarkStart w:id="691" w:name="Tc_kZMg1L4CXkKQgfNzJrBtMA_22_4"/>
      <w:bookmarkStart w:id="692" w:name="Tc_rnL5yZNGLEKLLpt_UVw_Vg_22_0"/>
      <w:bookmarkStart w:id="693" w:name="Tc_xEwjLBOK7EWMu10oOkHlTA_21_16"/>
      <w:bookmarkStart w:id="694" w:name="Tc_RdKsRmzlLku0shRsbnNohg_21_13"/>
      <w:bookmarkStart w:id="695" w:name="Tc_sWaNHBfEYU-q8T0GPint5Q_21_10"/>
      <w:bookmarkStart w:id="696" w:name="Tc_phEY3dlzxkGJ5DgC1obYgA_21_7"/>
      <w:bookmarkStart w:id="697" w:name="Tc_zBFeM-Js5kayMIkoQ2UZDA_21_5"/>
      <w:bookmarkStart w:id="698" w:name="Tc_Z2FVrHBEZEqaDZ8kacVp6w_21_2"/>
      <w:bookmarkStart w:id="699" w:name="Tc_pDpq0EBiek65m8OSt8247A_21_0"/>
      <w:bookmarkStart w:id="700" w:name="Tc_M2zV_u1JOU242fnKg_rA0Q_20_19"/>
      <w:bookmarkStart w:id="701" w:name="Tc_FEnCZ32fVEOEKV6G8mWhpA_20_13"/>
      <w:bookmarkStart w:id="702" w:name="Tc_2NJJJATc50e5d6igwaGzvg_20_10"/>
      <w:bookmarkStart w:id="703" w:name="Tc_pvQGIBSwj0OxWV_-JPVykw_20_7"/>
      <w:bookmarkStart w:id="704" w:name="Tc_YV5SvyuSdEelR-EZLMSBkg_20_5"/>
      <w:bookmarkStart w:id="705" w:name="Tc_GWdX-d45dEWWVtpO6WLKBA_20_2"/>
      <w:bookmarkStart w:id="706" w:name="Tc_W1vo973LkEaL1dHo9ZK6fg_20_0"/>
      <w:bookmarkStart w:id="707" w:name="Tc_IAP1cVxVk0OMHZKAk4UBkQ_19_19"/>
      <w:bookmarkStart w:id="708" w:name="Tc_bkoOWZPCv0GEjnLPUBVcLw_19_13"/>
      <w:bookmarkStart w:id="709" w:name="Tc_VS7pkdcwNkiJzcLdKvYRrA_19_10"/>
      <w:bookmarkStart w:id="710" w:name="Tc_HOhgJKchVkG5gQh6ijT-Xg_19_7"/>
      <w:bookmarkStart w:id="711" w:name="Tc_BbLZfHDFP06FvHrhcUxNkQ_19_5"/>
      <w:bookmarkStart w:id="712" w:name="Tc_opOD4MyU0EOGmpphfxrTpw_19_2"/>
      <w:bookmarkStart w:id="713" w:name="Tc_Ff4EmifrJU2oxj5khHUZsw_19_0"/>
      <w:bookmarkStart w:id="714" w:name="Tc_ba8gsj1qtUmmTISdVCg6Og_18_19"/>
      <w:bookmarkStart w:id="715" w:name="Tc_GXnFnKeORU6GPUETh0TLbw_18_16"/>
      <w:bookmarkStart w:id="716" w:name="Tc_uagMuFDJ0EGgmo5EsvTnqg_18_10"/>
      <w:bookmarkStart w:id="717" w:name="Tc_QumWvGgvQkOuM3-lbp2IlQ_18_7"/>
      <w:bookmarkStart w:id="718" w:name="Tc_yVdGJsDEDE6UtC-vWjbUmg_18_2"/>
      <w:bookmarkStart w:id="719" w:name="Tc_8mWREBgk9EW1vyuvSOElRg_18_0"/>
      <w:bookmarkStart w:id="720" w:name="Tc_PFTAsiFIxUy7aZlfE0nvyA_17_19"/>
      <w:bookmarkStart w:id="721" w:name="Tc_lQlOUlQh-EKTdV8BHxnBuQ_17_16"/>
      <w:bookmarkStart w:id="722" w:name="Tc_VqEAKARKt0qK7gxW_UhX_g_17_5"/>
      <w:bookmarkStart w:id="723" w:name="Tc_qa2TSj5bxEeHnhsS_9cksQ_17_2"/>
      <w:bookmarkStart w:id="724" w:name="Tc_Gbqit9TD30O0dGkjTXP6-w_17_0"/>
      <w:bookmarkStart w:id="725" w:name="Tc_IiG1O-Z4LUuZPVuk0X8H2g_16_22"/>
      <w:bookmarkStart w:id="726" w:name="Tc_3R3qoQuO00OiXctA4PnhKQ_16_19"/>
      <w:bookmarkStart w:id="727" w:name="Tc_owVLZoDvbU2sabh7O0LJCg_16_16"/>
      <w:bookmarkStart w:id="728" w:name="Tc_Ncvd0iIpk0KaAIz7E6gN-Q_16_13"/>
      <w:bookmarkStart w:id="729" w:name="Tc_vwRz3pN0p0atu_r19XPUew_16_10"/>
      <w:bookmarkStart w:id="730" w:name="Tc_TxiilniDOk-r5ICJLBfE6Q_16_7"/>
      <w:bookmarkStart w:id="731" w:name="Tc_9YDszUQNlkuZ05mRyawJIQ_16_5"/>
      <w:bookmarkStart w:id="732" w:name="Tc_f2g0-s86NE6GeFh_haKilQ_16_2"/>
      <w:bookmarkStart w:id="733" w:name="Tc_OM_Qr4-omk6P_8qWBRk4nA_16_0"/>
      <w:bookmarkStart w:id="734" w:name="Tc_0Iox90vKjUW-8QM5_dDM0A_15_19"/>
      <w:bookmarkStart w:id="735" w:name="Tc_bMxVMjeoq0-7gdzdCq2kQg_15_16"/>
      <w:bookmarkStart w:id="736" w:name="Tc_dhbkWizafkiAjEeBpwtUHg_15_10"/>
      <w:bookmarkStart w:id="737" w:name="Tc_Xz-AhkrHDke8r76eQ_yYUQ_15_7"/>
      <w:bookmarkStart w:id="738" w:name="Tc_EZu4RfLc-Uq-3xR0o6N_WQ_15_5"/>
      <w:bookmarkStart w:id="739" w:name="Tc_Icq3t91P9UG0RfOucfX4DQ_15_2"/>
      <w:bookmarkStart w:id="740" w:name="Tc_ZwjW5cbD8E-g-SjCHHJXTQ_15_0"/>
      <w:bookmarkStart w:id="741" w:name="Tc_Cs7HxTOcWEOG7OL7FiAM-A_14_21"/>
      <w:bookmarkStart w:id="742" w:name="Tc_lyUbiE0my0WF45VpMSpfUw_14_18"/>
      <w:bookmarkStart w:id="743" w:name="Tc_PPxpjAyGxU6eepMI-SPfcw_14_15"/>
      <w:bookmarkStart w:id="744" w:name="Tc_D15--43nREKF_lo1_U7SYg_14_12"/>
      <w:bookmarkStart w:id="745" w:name="Tc_s45_uReS60uRXBZUQX_i1A_14_9"/>
      <w:bookmarkStart w:id="746" w:name="Tc_ryC1V4AMuky-PQCyTkv33Q_14_4"/>
      <w:bookmarkStart w:id="747" w:name="Tc_2VbuhJci-Uu6M6wjWe1nXg_14_0"/>
      <w:bookmarkStart w:id="748" w:name="Tc_FruGUkrUXUOq1e1blBpaaw_13_16"/>
      <w:bookmarkStart w:id="749" w:name="Tc_ilE_cac_hECXPnhgdHUC1g_13_13"/>
      <w:bookmarkStart w:id="750" w:name="Tc_2bwTMQnl-UqrzB5qxjIZ2Q_13_10"/>
      <w:bookmarkStart w:id="751" w:name="Tc_TVyNAAU8fE-U692Js5APHg_13_7"/>
      <w:bookmarkStart w:id="752" w:name="Tc_yp4CLcb0BUe_TQ9I7gk86w_13_5"/>
      <w:bookmarkStart w:id="753" w:name="Tc_d4fz3gOAwE6-VtgzWTTQGg_13_2"/>
      <w:bookmarkStart w:id="754" w:name="Tc_kObHG_ArkEKk9UJIxUqSTA_13_0"/>
      <w:bookmarkStart w:id="755" w:name="Tc_7H0UdlOm2ECGYzZ6WwvwlQ_12_19"/>
      <w:bookmarkStart w:id="756" w:name="Tc_eldrWgvNKEm1OtMgz3J3Ug_12_13"/>
      <w:bookmarkStart w:id="757" w:name="Tc_gtaOx8c3IUWaZIwINfbvwQ_12_10"/>
      <w:bookmarkStart w:id="758" w:name="Tc_2t13-jb6w0WsNYfnF9-j_g_12_7"/>
      <w:bookmarkStart w:id="759" w:name="Tc_50Sz9rM-Y0u173_O9xAJDA_12_5"/>
      <w:bookmarkStart w:id="760" w:name="Tc_rbXhwXpHgkSxj1OGxKvRvA_12_2"/>
      <w:bookmarkStart w:id="761" w:name="Tc_hQqR1YCzZkKqMcmQzST8Fg_12_0"/>
      <w:bookmarkStart w:id="762" w:name="Tc_GaK-JndTZEOd5DXYMmVogw_11_19"/>
      <w:bookmarkStart w:id="763" w:name="Tc_rXYGuOLdOkaW_vUQUTQf1A_11_13"/>
      <w:bookmarkStart w:id="764" w:name="Tc_FzR1HahPNUCCa1XuSVxHeA_11_10"/>
      <w:bookmarkStart w:id="765" w:name="Tc_Z6vZJqwV7U2T9umxl7cbrQ_11_7"/>
      <w:bookmarkStart w:id="766" w:name="Tc_p8orxGn0EUK1PEv4O1zTeQ_11_5"/>
      <w:bookmarkStart w:id="767" w:name="Tc_PZtcgn7tR0qrbWXPezptzw_11_2"/>
      <w:bookmarkStart w:id="768" w:name="Tc_YhlW-lMahker89JLqFZdqw_11_0"/>
      <w:bookmarkStart w:id="769" w:name="Tc_MF9x0Iux50CKITTXsGEXfg_10_19"/>
      <w:bookmarkStart w:id="770" w:name="Tc_dQbLZHVjcUCZrdCTEKOgOw_10_16"/>
      <w:bookmarkStart w:id="771" w:name="Tc_RtB_PX5DPUqjiPLar9Ylzw_10_10"/>
      <w:bookmarkStart w:id="772" w:name="Tc_A4R3OKVNn0qoUg0mD5citw_10_7"/>
      <w:bookmarkStart w:id="773" w:name="Tc_glk5yprRUUybtu6vhQ6HYw_10_2"/>
      <w:bookmarkStart w:id="774" w:name="Tc_zrNDb_dZ-km-MjTtp8OEjg_10_0"/>
      <w:bookmarkStart w:id="775" w:name="Tc_GTze41qC00SV3Flfcrzxug_9_19"/>
      <w:bookmarkStart w:id="776" w:name="Tc_0Ey-nCrRA0q0BhawLWzPBg_9_16"/>
      <w:bookmarkStart w:id="777" w:name="Tc_h1eLh-9tg0aeVEUB2n4Kkw_9_10"/>
      <w:bookmarkStart w:id="778" w:name="Tc_S0AEegS0bkWu19dhPZgsjw_9_5"/>
      <w:bookmarkStart w:id="779" w:name="Tc_FxZII1-eR0Gg5t-B_BEp4A_9_2"/>
      <w:bookmarkStart w:id="780" w:name="Tc_NySD1pztokmX59bTbm8ESQ_9_0"/>
      <w:bookmarkStart w:id="781" w:name="Tc_x6jPk8xr5UCLEwYM3ys3Ng_8_19"/>
      <w:bookmarkStart w:id="782" w:name="Tc_8Z--OYANvUmGFPk8d0nFvw_8_16"/>
      <w:bookmarkStart w:id="783" w:name="Tc_wxo_VdiUckyVwuFnlVcxXA_8_5"/>
      <w:bookmarkStart w:id="784" w:name="Tc_fZ430Y8SxUCnhYjI7mf4cg_8_2"/>
      <w:bookmarkStart w:id="785" w:name="Tc_SK6W7LcKt0af-ZOsgFPacQ_8_0"/>
      <w:bookmarkStart w:id="786" w:name="Tc_RthMsB6KM0eW4oEpCby-hg_7_19"/>
      <w:bookmarkStart w:id="787" w:name="Tc_bqL_ISn-M0qczb1BbOIA1g_7_16"/>
      <w:bookmarkStart w:id="788" w:name="Tc_ES8D9Iv1dk2R7ro6A1lEiA_7_10"/>
      <w:bookmarkStart w:id="789" w:name="Tc_hYu5XpwrJk2yupo1m1okqA_7_5"/>
      <w:bookmarkStart w:id="790" w:name="Tc_etVChRz0uEC2jbP6Cxd8zQ_7_2"/>
      <w:bookmarkStart w:id="791" w:name="Tc_3q2TzwLcj0KN39u47cXYbQ_7_0"/>
      <w:bookmarkStart w:id="792" w:name="Tc_BHC8X4YQrEWtt2t7n6iHXQ_6_19"/>
      <w:bookmarkStart w:id="793" w:name="Tc_kdUhVno-Vk-hAVwGkLK2DQ_6_16"/>
      <w:bookmarkStart w:id="794" w:name="Tc_8sdYajRr30aONAYbpOxRRw_6_10"/>
      <w:bookmarkStart w:id="795" w:name="Tc_VEdvPQvfyUmYM_HgY39puw_6_7"/>
      <w:bookmarkStart w:id="796" w:name="Tc_H15nOHxG7kO1X0zlHa7Vng_6_5"/>
      <w:bookmarkStart w:id="797" w:name="Tc_ny0JDDSgF0-jRq7YfMCllw_6_2"/>
      <w:bookmarkStart w:id="798" w:name="Tc_uffhmGz8AEOPu_dbalV2fQ_6_0"/>
      <w:bookmarkStart w:id="799" w:name="Tc_TpRS55RXvU2rGxNoj3wFGA_5_21"/>
      <w:bookmarkStart w:id="800" w:name="Tc_EeJXUF2wqEeYZwx4_o5lKg_5_18"/>
      <w:bookmarkStart w:id="801" w:name="Tc_BpaOULq2Xkq6muY0t_43iw_5_15"/>
      <w:bookmarkStart w:id="802" w:name="Tc_Fe2hKFjjHk-kjrym06o02w_5_12"/>
      <w:bookmarkStart w:id="803" w:name="Tc_8MdTO-ZEKkW0gZwExauhpw_5_9"/>
      <w:bookmarkStart w:id="804" w:name="Tc_TERvUlxVckOiiWdTFJpidA_5_4"/>
      <w:bookmarkStart w:id="805" w:name="Tc_CqjLmIoHJEKgq6xDk9cEkA_5_0"/>
      <w:bookmarkStart w:id="806" w:name="Tc_8ZMBcRRCwESajCovnWi6fw_4_21"/>
      <w:bookmarkStart w:id="807" w:name="Tc_-cSxIz_ok0GJQDc-kHn2DQ_4_18"/>
      <w:bookmarkStart w:id="808" w:name="Tc_BYkP2d321kOYhwy-S65JNg_4_15"/>
      <w:bookmarkStart w:id="809" w:name="Tc_6ZLFjnSoB0iOuUY6PjjLKQ_4_12"/>
      <w:bookmarkStart w:id="810" w:name="Tc_cVk76CaVxUGzT0ymrevpdg_4_9"/>
      <w:bookmarkStart w:id="811" w:name="Tc_jyOu35M1mU6mpNgF6jnJEg_4_7"/>
      <w:bookmarkStart w:id="812" w:name="Tc_zQjSXN7b_0Wg1XsZvXnBuw_4_4"/>
      <w:bookmarkStart w:id="813" w:name="Tc_2Z1kMQAGokqywYIzpqkeMw_4_2"/>
      <w:bookmarkStart w:id="814" w:name="Tc_YfI47Zs2T06C4dqLc5qV2w_3_21"/>
      <w:bookmarkStart w:id="815" w:name="Tc_xKguZokzk0OI6zfXl1-yUA_3_18"/>
      <w:bookmarkStart w:id="816" w:name="Tc_3IYWuQ8HPEi-LvHBxdGFrQ_3_15"/>
      <w:bookmarkStart w:id="817" w:name="Tc_apHvvIIH2ESaXiTxhB6R1w_3_12"/>
      <w:bookmarkStart w:id="818" w:name="Tc_rMpcDCJtQUuu1zMHMLVGSA_3_7"/>
      <w:bookmarkStart w:id="819" w:name="Tc_ORJ5CfsWv0iFB-Q3R-n7sg_3_2"/>
      <w:bookmarkStart w:id="820" w:name="Tc_-pNrYaS_fkGXGTjuJ5D9EA_2_21"/>
      <w:bookmarkStart w:id="821" w:name="Tc_BHPJ5BxQgUOV3rEJfnq2YQ_2_15"/>
      <w:bookmarkStart w:id="822" w:name="Tc_86G0eccQA0CTxmr_6qqC0g_2_12"/>
      <w:bookmarkStart w:id="823" w:name="Tc_BYQpU5ED306MtL3BgL2bkg_2_2"/>
      <w:bookmarkStart w:id="824" w:name="Tc_Y4eZJ7mSKUyoTaXAb3OlSg_1_15"/>
      <w:bookmarkStart w:id="825" w:name="_c611fd70_3369_42de_86f3_f0e09bc80e4e"/>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tbl>
      <w:tblPr>
        <w:tblW w:w="10205" w:type="dxa"/>
        <w:jc w:val="left"/>
        <w:tblInd w:w="0" w:type="dxa"/>
        <w:tblLayout w:type="fixed"/>
        <w:tblCellMar>
          <w:top w:w="0" w:type="dxa"/>
          <w:left w:w="0" w:type="dxa"/>
          <w:bottom w:w="0" w:type="dxa"/>
          <w:right w:w="0" w:type="dxa"/>
        </w:tblCellMar>
      </w:tblPr>
      <w:tblGrid>
        <w:gridCol w:w="2303"/>
        <w:gridCol w:w="326"/>
        <w:gridCol w:w="496"/>
        <w:gridCol w:w="326"/>
        <w:gridCol w:w="166"/>
        <w:gridCol w:w="496"/>
        <w:gridCol w:w="206"/>
        <w:gridCol w:w="646"/>
        <w:gridCol w:w="326"/>
        <w:gridCol w:w="170"/>
        <w:gridCol w:w="356"/>
        <w:gridCol w:w="326"/>
        <w:gridCol w:w="166"/>
        <w:gridCol w:w="586"/>
        <w:gridCol w:w="326"/>
        <w:gridCol w:w="258"/>
        <w:gridCol w:w="658"/>
        <w:gridCol w:w="109"/>
        <w:gridCol w:w="166"/>
        <w:gridCol w:w="643"/>
        <w:gridCol w:w="326"/>
        <w:gridCol w:w="181"/>
        <w:gridCol w:w="643"/>
      </w:tblGrid>
      <w:tr>
        <w:trPr/>
        <w:tc>
          <w:tcPr>
            <w:tcW w:w="2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62405" cy="175260"/>
                      <wp:effectExtent l="0" t="0" r="0" b="0"/>
                      <wp:wrapNone/>
                      <wp:docPr id="20" name="Frame20"/>
                      <a:graphic xmlns:a="http://schemas.openxmlformats.org/drawingml/2006/main">
                        <a:graphicData uri="http://schemas.microsoft.com/office/word/2010/wordprocessingShape">
                          <wps:wsp>
                            <wps:cNvSpPr txBox="1"/>
                            <wps:spPr>
                              <a:xfrm>
                                <a:off x="0" y="0"/>
                                <a:ext cx="146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14960" cy="175260"/>
                      <wp:effectExtent l="0" t="0" r="0" b="0"/>
                      <wp:wrapNone/>
                      <wp:docPr id="22" name="Frame2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5410" cy="175260"/>
                      <wp:effectExtent l="0" t="0" r="0" b="0"/>
                      <wp:wrapNone/>
                      <wp:docPr id="24" name="Frame2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14960" cy="175260"/>
                      <wp:effectExtent l="0" t="0" r="0" b="0"/>
                      <wp:wrapNone/>
                      <wp:docPr id="25" name="Frame2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6" name="Frame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10210" cy="175260"/>
                      <wp:effectExtent l="0" t="0" r="0" b="0"/>
                      <wp:wrapNone/>
                      <wp:docPr id="27" name="Frame2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7950" cy="175260"/>
                      <wp:effectExtent l="0" t="0" r="0" b="0"/>
                      <wp:wrapNone/>
                      <wp:docPr id="29" name="Frame29"/>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6060" cy="175260"/>
                      <wp:effectExtent l="0" t="0" r="0" b="0"/>
                      <wp:wrapNone/>
                      <wp:docPr id="30" name="Frame3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5410" cy="175260"/>
                      <wp:effectExtent l="0" t="0" r="0" b="0"/>
                      <wp:wrapNone/>
                      <wp:docPr id="32" name="Frame3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3830" cy="175260"/>
                      <wp:effectExtent l="0" t="0" r="0" b="0"/>
                      <wp:wrapNone/>
                      <wp:docPr id="35" name="Frame3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7830" cy="175260"/>
                      <wp:effectExtent l="0" t="0" r="0" b="0"/>
                      <wp:wrapNone/>
                      <wp:docPr id="36" name="Frame3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5410" cy="175260"/>
                      <wp:effectExtent l="0" t="0" r="0" b="0"/>
                      <wp:wrapNone/>
                      <wp:docPr id="38" name="Frame3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08305" cy="175260"/>
                      <wp:effectExtent l="0" t="0" r="0" b="0"/>
                      <wp:wrapNone/>
                      <wp:docPr id="39" name="Frame39"/>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8305" cy="175260"/>
                      <wp:effectExtent l="0" t="0" r="0" b="0"/>
                      <wp:wrapNone/>
                      <wp:docPr id="42" name="Frame42"/>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6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4" w:type="dxa"/>
            <w:gridSpan w:val="2"/>
            <w:tcBorders/>
            <w:vAlign w:val="center"/>
          </w:tcPr>
          <w:p>
            <w:pPr>
              <w:pStyle w:val="TableContents"/>
              <w:bidi w:val="0"/>
              <w:spacing w:before="0" w:after="0"/>
              <w:ind w:left="0" w:right="0" w:hanging="0"/>
              <w:jc w:val="center"/>
              <w:rPr/>
            </w:pPr>
            <w:r>
              <w:rPr/>
              <w:t>​</w:t>
            </w:r>
          </w:p>
        </w:tc>
      </w:tr>
      <w:tr>
        <w:trPr/>
        <w:tc>
          <w:tcPr>
            <w:tcW w:w="23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Series A Convertible</w:t>
            </w:r>
          </w:p>
        </w:tc>
        <w:tc>
          <w:tcPr>
            <w:tcW w:w="20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6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4"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3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06" w:type="dxa"/>
            <w:tcBorders/>
            <w:vAlign w:val="center"/>
          </w:tcPr>
          <w:p>
            <w:pPr>
              <w:pStyle w:val="TableContents"/>
              <w:bidi w:val="0"/>
              <w:spacing w:before="0" w:after="0"/>
              <w:ind w:left="0" w:right="0" w:hanging="0"/>
              <w:jc w:val="center"/>
              <w:rPr/>
            </w:pPr>
            <w:r>
              <w:rPr/>
              <w:t>​</w:t>
            </w:r>
          </w:p>
        </w:tc>
        <w:tc>
          <w:tcPr>
            <w:tcW w:w="14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2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109" w:type="dxa"/>
            <w:tcBorders/>
            <w:vAlign w:val="center"/>
          </w:tcPr>
          <w:p>
            <w:pPr>
              <w:pStyle w:val="TableContents"/>
              <w:bidi w:val="0"/>
              <w:spacing w:before="0" w:after="0"/>
              <w:ind w:left="0" w:right="0" w:hanging="0"/>
              <w:jc w:val="center"/>
              <w:rPr/>
            </w:pPr>
            <w:r>
              <w:rPr/>
              <w:t>​</w:t>
            </w:r>
          </w:p>
        </w:tc>
        <w:tc>
          <w:tcPr>
            <w:tcW w:w="809"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vAlign w:val="center"/>
          </w:tcPr>
          <w:p>
            <w:pPr>
              <w:pStyle w:val="TableContents"/>
              <w:bidi w:val="0"/>
              <w:spacing w:before="0" w:after="0"/>
              <w:ind w:left="0" w:right="0" w:hanging="0"/>
              <w:jc w:val="center"/>
              <w:rPr/>
            </w:pPr>
            <w:r>
              <w:rPr/>
              <w:t>​</w:t>
            </w:r>
          </w:p>
        </w:tc>
        <w:tc>
          <w:tcPr>
            <w:tcW w:w="824"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23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vAlign w:val="center"/>
          </w:tcPr>
          <w:p>
            <w:pPr>
              <w:pStyle w:val="TableContents"/>
              <w:bidi w:val="0"/>
              <w:spacing w:before="0" w:after="0"/>
              <w:ind w:left="0" w:right="0" w:hanging="0"/>
              <w:jc w:val="center"/>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vAlign w:val="center"/>
          </w:tcPr>
          <w:p>
            <w:pPr>
              <w:pStyle w:val="TableContents"/>
              <w:bidi w:val="0"/>
              <w:spacing w:before="0" w:after="0"/>
              <w:ind w:left="0" w:right="0" w:hanging="0"/>
              <w:jc w:val="center"/>
              <w:rPr/>
            </w:pPr>
            <w:r>
              <w:rPr/>
              <w:t>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vAlign w:val="center"/>
          </w:tcPr>
          <w:p>
            <w:pPr>
              <w:pStyle w:val="TableContents"/>
              <w:bidi w:val="0"/>
              <w:spacing w:before="0" w:after="0"/>
              <w:ind w:left="0" w:right="0" w:hanging="0"/>
              <w:jc w:val="center"/>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 (Loss)</w:t>
            </w:r>
          </w:p>
        </w:tc>
        <w:tc>
          <w:tcPr>
            <w:tcW w:w="109" w:type="dxa"/>
            <w:tcBorders/>
            <w:vAlign w:val="center"/>
          </w:tcPr>
          <w:p>
            <w:pPr>
              <w:pStyle w:val="TableContents"/>
              <w:bidi w:val="0"/>
              <w:spacing w:before="0" w:after="0"/>
              <w:ind w:left="0" w:right="0" w:hanging="0"/>
              <w:jc w:val="center"/>
              <w:rPr/>
            </w:pPr>
            <w:r>
              <w:rPr/>
              <w:t>​</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vAlign w:val="center"/>
          </w:tcPr>
          <w:p>
            <w:pPr>
              <w:pStyle w:val="TableContents"/>
              <w:bidi w:val="0"/>
              <w:spacing w:before="0" w:after="0"/>
              <w:ind w:left="0" w:right="0" w:hanging="0"/>
              <w:jc w:val="center"/>
              <w:rPr/>
            </w:pPr>
            <w:r>
              <w:rPr/>
              <w:t>    </w:t>
            </w:r>
          </w:p>
        </w:tc>
        <w:tc>
          <w:tcPr>
            <w:tcW w:w="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150,000</w:t>
            </w:r>
          </w:p>
        </w:tc>
        <w:tc>
          <w:tcPr>
            <w:tcW w:w="326"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142,820</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62,390,654</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1,177,045</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(1,155,338)</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21,729</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 compensation expense</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12,862</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12,862</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ESPP</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21,875</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854</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exercise of stock options and vesting of restricted stock units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494,853</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2,225</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2,226</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upon completion of ATM equity offering, net of $739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587,510</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32,108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32,108</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preferred stock dividends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1,322</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(1,322)</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(1,322)</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unrealized loss on marketable securities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(49,498)</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(49,498)</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March 31, 2025</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150,000</w:t>
            </w:r>
          </w:p>
        </w:tc>
        <w:tc>
          <w:tcPr>
            <w:tcW w:w="32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144,142</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63,494,892</w:t>
            </w:r>
          </w:p>
        </w:tc>
        <w:tc>
          <w:tcPr>
            <w:tcW w:w="326" w:type="dxa"/>
            <w:tcBorders/>
            <w:vAlign w:val="center"/>
          </w:tcPr>
          <w:p>
            <w:pPr>
              <w:pStyle w:val="TableContents"/>
              <w:bidi w:val="0"/>
              <w:spacing w:before="0" w:after="0"/>
              <w:ind w:left="0" w:right="0" w:hanging="0"/>
              <w:jc w:val="righ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62</w:t>
            </w:r>
          </w:p>
        </w:tc>
        <w:tc>
          <w:tcPr>
            <w:tcW w:w="32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1,223,772</w:t>
            </w:r>
          </w:p>
        </w:tc>
        <w:tc>
          <w:tcPr>
            <w:tcW w:w="326" w:type="dxa"/>
            <w:tcBorders/>
            <w:vAlign w:val="center"/>
          </w:tcPr>
          <w:p>
            <w:pPr>
              <w:pStyle w:val="TableContents"/>
              <w:bidi w:val="0"/>
              <w:spacing w:before="0" w:after="0"/>
              <w:ind w:left="0" w:right="0" w:hanging="0"/>
              <w:jc w:val="righ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(51)</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(1,204,836)</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18,947</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15,880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15,880</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ESPP</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exercise of stock options and vesting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418,293</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3,441</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3,443</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preferred stock dividends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1,349</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(1,349)</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(1,349)</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(2,104)</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(2,104)</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unrealized loss on marketable securities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(93)</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(93)</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(46,632)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(46,632)</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June 30, 2025</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150,000</w:t>
            </w:r>
          </w:p>
        </w:tc>
        <w:tc>
          <w:tcPr>
            <w:tcW w:w="3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145,491</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63,913,185</w:t>
            </w:r>
          </w:p>
        </w:tc>
        <w:tc>
          <w:tcPr>
            <w:tcW w:w="326" w:type="dxa"/>
            <w:tcBorders/>
            <w:vAlign w:val="center"/>
          </w:tcPr>
          <w:p>
            <w:pPr>
              <w:pStyle w:val="TableContents"/>
              <w:bidi w:val="0"/>
              <w:spacing w:before="0" w:after="0"/>
              <w:ind w:left="0" w:right="0" w:hanging="0"/>
              <w:jc w:val="righ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64</w:t>
            </w:r>
          </w:p>
        </w:tc>
        <w:tc>
          <w:tcPr>
            <w:tcW w:w="32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1,241,744</w:t>
            </w:r>
          </w:p>
        </w:tc>
        <w:tc>
          <w:tcPr>
            <w:tcW w:w="326" w:type="dxa"/>
            <w:tcBorders/>
            <w:vAlign w:val="center"/>
          </w:tcPr>
          <w:p>
            <w:pPr>
              <w:pStyle w:val="TableContents"/>
              <w:bidi w:val="0"/>
              <w:spacing w:before="0" w:after="0"/>
              <w:ind w:left="0" w:right="0" w:hanging="0"/>
              <w:jc w:val="righ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(2,248)</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(1,251,468)</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(11,908)</w:t>
            </w:r>
          </w:p>
        </w:tc>
      </w:tr>
      <w:tr>
        <w:trPr/>
        <w:tc>
          <w:tcPr>
            <w:tcW w:w="230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2023</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59,426,559</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59</w:t>
            </w:r>
          </w:p>
        </w:tc>
        <w:tc>
          <w:tcPr>
            <w:tcW w:w="32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1,064,302</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134</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(894,736)</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169,759</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7,767</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7,767</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ESPP</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28,495</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673</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673</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exercise of stock options and vesting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1,077,271</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6,352</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6,353</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as consideration for LGC license</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432,143</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18,716</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18,716</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Foreign currency translation adjustment </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loss on marketable securities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(244)</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(244)</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(141,372)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(141,372)</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March 31, 2024</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60,964,468</w:t>
            </w:r>
          </w:p>
        </w:tc>
        <w:tc>
          <w:tcPr>
            <w:tcW w:w="326" w:type="dxa"/>
            <w:tcBorders/>
            <w:vAlign w:val="center"/>
          </w:tcPr>
          <w:p>
            <w:pPr>
              <w:pStyle w:val="TableContents"/>
              <w:bidi w:val="0"/>
              <w:spacing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60</w:t>
            </w:r>
          </w:p>
        </w:tc>
        <w:tc>
          <w:tcPr>
            <w:tcW w:w="32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1,097,810</w:t>
            </w:r>
          </w:p>
        </w:tc>
        <w:tc>
          <w:tcPr>
            <w:tcW w:w="32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(181)</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(1,036,108)</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61,581</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Series A Preferred Stock, net of $2,250 of issuance costs </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150,000</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138,850</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10,358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10,358</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ESPP</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exercise of stock options and vesting of restricted stock units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131,481</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1,403</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1,403</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as consideration for LGC license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preferred stock dividends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1,302</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(1,302)</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(1,302)</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Foreign currency translation adjustment </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(302)</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(302)</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Unrealized loss on marketable securities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w:t>
            </w:r>
          </w:p>
        </w:tc>
      </w:tr>
      <w:tr>
        <w:trPr/>
        <w:tc>
          <w:tcPr>
            <w:tcW w:w="230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(32,261)</w:t>
            </w:r>
          </w:p>
        </w:tc>
      </w:tr>
      <w:tr>
        <w:trPr/>
        <w:tc>
          <w:tcPr>
            <w:tcW w:w="2303"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June 30, 2024</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150,000</w:t>
            </w:r>
          </w:p>
        </w:tc>
        <w:tc>
          <w:tcPr>
            <w:tcW w:w="3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140,152</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61,095,949</w:t>
            </w:r>
          </w:p>
        </w:tc>
        <w:tc>
          <w:tcPr>
            <w:tcW w:w="326" w:type="dxa"/>
            <w:tcBorders/>
            <w:vAlign w:val="center"/>
          </w:tcPr>
          <w:p>
            <w:pPr>
              <w:pStyle w:val="TableContents"/>
              <w:bidi w:val="0"/>
              <w:spacing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60</w:t>
            </w:r>
          </w:p>
        </w:tc>
        <w:tc>
          <w:tcPr>
            <w:tcW w:w="3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1,108,269</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(617)</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(1,068,369)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double" w:sz="6" w:space="0" w:color="000000"/>
            </w:tcBorders>
            <w:tcMar>
              <w:bottom w:w="28" w:type="dxa"/>
            </w:tcMar>
            <w:vAlign w:val="center"/>
          </w:tcPr>
          <w:p>
            <w:pPr>
              <w:pStyle w:val="TableContents"/>
              <w:bidi w:val="0"/>
              <w:spacing w:before="0" w:after="0"/>
              <w:ind w:left="0" w:right="40" w:hanging="0"/>
              <w:jc w:val="right"/>
              <w:rPr>
                <w:rFonts w:ascii="Times New Roman;Times;serif" w:hAnsi="Times New Roman;Times;serif"/>
                <w:b/>
                <w:sz w:val="12"/>
              </w:rPr>
            </w:pPr>
            <w:r>
              <w:rPr>
                <w:rFonts w:ascii="Times New Roman;Times;serif" w:hAnsi="Times New Roman;Times;serif"/>
                <w:b/>
                <w:sz w:val="12"/>
              </w:rPr>
              <w:t>39,343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16"/>
        </w:rPr>
      </w:pPr>
      <w:r>
        <w:rPr>
          <w:rFonts w:ascii="Times New Roman;Times;serif" w:hAnsi="Times New Roman;Times;serif"/>
          <w:sz w:val="16"/>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80"/>
        <w:ind w:left="0" w:right="0" w:firstLine="720"/>
        <w:jc w:val="center"/>
        <w:rPr>
          <w:rFonts w:ascii="Times New Roman;Times;serif" w:hAnsi="Times New Roman;Times;serif"/>
          <w:b/>
          <w:sz w:val="20"/>
        </w:rPr>
      </w:pPr>
      <w:bookmarkStart w:id="826" w:name="_a47830f0_e2b0_4b99_b13a_77b699bd401c"/>
      <w:bookmarkEnd w:id="826"/>
      <w:r>
        <w:rPr>
          <w:rFonts w:ascii="Times New Roman;Times;serif" w:hAnsi="Times New Roman;Times;serif"/>
          <w:b/>
          <w:sz w:val="20"/>
        </w:rPr>
        <w:t>Rhythm Pharmaceuticals, Inc.</w:t>
      </w:r>
    </w:p>
    <w:p>
      <w:pPr>
        <w:pStyle w:val="TextBody"/>
        <w:bidi w:val="0"/>
        <w:spacing w:before="0" w:after="180"/>
        <w:ind w:left="0" w:right="0" w:hanging="0"/>
        <w:jc w:val="center"/>
        <w:rPr>
          <w:rFonts w:ascii="Times New Roman;Times;serif" w:hAnsi="Times New Roman;Times;serif"/>
          <w:b/>
          <w:sz w:val="20"/>
        </w:rPr>
      </w:pPr>
      <w:bookmarkStart w:id="827" w:name="CASHFLOWS_680279"/>
      <w:bookmarkEnd w:id="827"/>
      <w:r>
        <w:rPr>
          <w:rFonts w:ascii="Times New Roman;Times;serif" w:hAnsi="Times New Roman;Times;serif"/>
          <w:b/>
          <w:sz w:val="20"/>
        </w:rPr>
        <w:t>Condensed Consolidated Statements of Cash Flows</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28" w:name="Tc_3I2zv7IvykGLsMXcAGlpNA_43_5"/>
      <w:bookmarkStart w:id="829" w:name="Tc_2kq0ov-IJ0uDBGTcqQaQCQ_43_2"/>
      <w:bookmarkStart w:id="830" w:name="Tc_Xy6QjOYlQUuiPcUdAFFH6A_43_0"/>
      <w:bookmarkStart w:id="831" w:name="Tc_MjXE5CgMAk-m0FX85QPfqA_42_5"/>
      <w:bookmarkStart w:id="832" w:name="Tc_MLKykS53QkStJakaTyduJQ_42_3"/>
      <w:bookmarkStart w:id="833" w:name="Tc_5Rrvbtu3_ES0emV_B5Zn8w_42_2"/>
      <w:bookmarkStart w:id="834" w:name="Tc_1T0641E72ECsmu0ZgYvtkw_42_0"/>
      <w:bookmarkStart w:id="835" w:name="Tc_qXmgua_tbkekgHe4LMCe1Q_41_5"/>
      <w:bookmarkStart w:id="836" w:name="Tc_4AQq-dtMckixtB5JpaRVsw_41_3"/>
      <w:bookmarkStart w:id="837" w:name="Tc_7V3I4K6HnUmNEXF9BSitKw_41_2"/>
      <w:bookmarkStart w:id="838" w:name="Tc_70_QSVKisUOlne3r-tDkUg_41_0"/>
      <w:bookmarkStart w:id="839" w:name="Tc_IJfCC0XVV0C17YUV5Ip01A_40_0"/>
      <w:bookmarkStart w:id="840" w:name="Tc_FXGKrpfRR0q8v2Z-uNY1hw_39_5"/>
      <w:bookmarkStart w:id="841" w:name="Tc_NolKnvoyTUK8WeTauJfr1A_39_2"/>
      <w:bookmarkStart w:id="842" w:name="Tc_ZF-f0CVA_ku5NkH1T3BQ3w_39_0"/>
      <w:bookmarkStart w:id="843" w:name="Tc_nfix3LhBi0uU-XKZTpXGXw_38_0"/>
      <w:bookmarkStart w:id="844" w:name="Tc_ox3joORWn0Kbq-xXZYI2Yw_37_0"/>
      <w:bookmarkStart w:id="845" w:name="Tc_DRZD75ZznU2GW0B4B8SohA_36_0"/>
      <w:bookmarkStart w:id="846" w:name="Tc_PKVj5q22rkScoaiKKCca5g_35_0"/>
      <w:bookmarkStart w:id="847" w:name="Tc_IarkAogQ90-Muw2cCUJs9Q_34_6"/>
      <w:bookmarkStart w:id="848" w:name="Tc_mMB3SUdEL0OHeMmw8kU1Cg_34_0"/>
      <w:bookmarkStart w:id="849" w:name="Tc_JpuruOsSgEus64DQVPiVMQ_33_3"/>
      <w:bookmarkStart w:id="850" w:name="Tc_NVn6sBE_A0ysjrWFnk2IZw_33_0"/>
      <w:bookmarkStart w:id="851" w:name="Tc_EJr7WfUI1EOvrV_3ZUCIww_32_3"/>
      <w:bookmarkStart w:id="852" w:name="Tc_ONcXVT-CvkuIy7LttL-txA_32_0"/>
      <w:bookmarkStart w:id="853" w:name="Tc_OMQnl7mNA0iekd0O_88vIA_31_0"/>
      <w:bookmarkStart w:id="854" w:name="Tc_jD294Orq8EG7gSdhpSPCCw_30_0"/>
      <w:bookmarkStart w:id="855" w:name="Tc_TOYOCa3pIEGKECU9h24fXQ_29_0"/>
      <w:bookmarkStart w:id="856" w:name="Tc_HE7zYZkiWUmIOk8EvlfhPg_28_0"/>
      <w:bookmarkStart w:id="857" w:name="Tc_gxYnY-08S0moxZKOSMyGcA_27_0"/>
      <w:bookmarkStart w:id="858" w:name="Tc_5eBJvahS-kypxp4bF0z5Ug_26_3"/>
      <w:bookmarkStart w:id="859" w:name="Tc_gFytAD-wKESP6iBUyKTcJQ_26_0"/>
      <w:bookmarkStart w:id="860" w:name="Tc_ikQ2jsMMMEGEW6Ex4RNLtQ_25_0"/>
      <w:bookmarkStart w:id="861" w:name="Tc_a30XgpMCukitDtJoMUZDuA_24_0"/>
      <w:bookmarkStart w:id="862" w:name="Tc_0QSLP_0EuUinB647liFglg_23_0"/>
      <w:bookmarkStart w:id="863" w:name="Tc_sr8u6JMhikOc8aIYseBZAQ_22_0"/>
      <w:bookmarkStart w:id="864" w:name="Tc_WsmBZIAcUkeqVYOcAph76g_21_0"/>
      <w:bookmarkStart w:id="865" w:name="Tc_jj6D6l-ijkmpfd-nHEPNMw_20_0"/>
      <w:bookmarkStart w:id="866" w:name="Tc_7vccVCBXDEGm51TmO4CycQ_19_6"/>
      <w:bookmarkStart w:id="867" w:name="Tc_jOWTIDPA4k6yYaUUQF_NIA_19_0"/>
      <w:bookmarkStart w:id="868" w:name="Tc_LyAOMyxiBkSsRKWE3QHIVg_18_0"/>
      <w:bookmarkStart w:id="869" w:name="Tc_bPNbIZh1f0K6amDXSwWVsQ_17_0"/>
      <w:bookmarkStart w:id="870" w:name="Tc_GPyC3yAL20uuYnpIlrnHmw_16_0"/>
      <w:bookmarkStart w:id="871" w:name="Tc_-edteu8_Wk2-fbrARYEw9g_15_0"/>
      <w:bookmarkStart w:id="872" w:name="Tc_Zy3UjU4p9U6Pol86nbonwg_14_6"/>
      <w:bookmarkStart w:id="873" w:name="Tc_gwi9sIEn1kyR2pMU4RNcJg_14_0"/>
      <w:bookmarkStart w:id="874" w:name="Tc_lWTWI16JkUWN4Y26Arf9_w_13_3"/>
      <w:bookmarkStart w:id="875" w:name="Tc_YonIU9SpFUie_8Pb6MxUjw_13_0"/>
      <w:bookmarkStart w:id="876" w:name="Tc_OYtnHU-87UWpyGfBjnyt-A_12_3"/>
      <w:bookmarkStart w:id="877" w:name="Tc_zafWHJxXpk2rZ2Fhs5AMrg_12_0"/>
      <w:bookmarkStart w:id="878" w:name="Tc_368tzy6gmEOSMV2g8kw3eA_11_0"/>
      <w:bookmarkStart w:id="879" w:name="Tc_MHmYERo6VUiHl8y6B7jCRA_10_0"/>
      <w:bookmarkStart w:id="880" w:name="Tc_Uel2E_sNWE2z5AV3kXOiww_9_0"/>
      <w:bookmarkStart w:id="881" w:name="Tc_qw8kV-Yz6Umy_HOe4gE-EQ_8_0"/>
      <w:bookmarkStart w:id="882" w:name="Tc_ySdFXZbXm0-OY5oy249qbw_7_0"/>
      <w:bookmarkStart w:id="883" w:name="Tc_iTdnMfKG6keyo2LMa4lUGg_6_0"/>
      <w:bookmarkStart w:id="884" w:name="Tc__pg4pJgxvUeS2XSGVPVdNw_5_0"/>
      <w:bookmarkStart w:id="885" w:name="Tc_xtN5L6ncSEedg07KisMjnw_4_5"/>
      <w:bookmarkStart w:id="886" w:name="Tc_2DQrq0hqX0msUXhDfnJ2qg_4_2"/>
      <w:bookmarkStart w:id="887" w:name="Tc_H83SMUbuikycQ1uCB1IiNQ_4_0"/>
      <w:bookmarkStart w:id="888" w:name="Tc_YSHbYz71e0K_zhvdFBd3lg_3_0"/>
      <w:bookmarkStart w:id="889" w:name="Tc_05zm2h5-rEe9F2lY94c79w_2_5"/>
      <w:bookmarkStart w:id="890" w:name="Tc_02BScntEFUOi4MGDYannsA_2_2"/>
      <w:bookmarkStart w:id="891" w:name="Tc_x6wzWeHNWUiRVhD3JW05RA_1_3"/>
      <w:bookmarkStart w:id="892" w:name="_39300308_487f_4075_aad4_ed1ae042a94e"/>
      <w:bookmarkStart w:id="893" w:name="Tc_3I2zv7IvykGLsMXcAGlpNA_43_5"/>
      <w:bookmarkStart w:id="894" w:name="Tc_2kq0ov-IJ0uDBGTcqQaQCQ_43_2"/>
      <w:bookmarkStart w:id="895" w:name="Tc_Xy6QjOYlQUuiPcUdAFFH6A_43_0"/>
      <w:bookmarkStart w:id="896" w:name="Tc_MjXE5CgMAk-m0FX85QPfqA_42_5"/>
      <w:bookmarkStart w:id="897" w:name="Tc_MLKykS53QkStJakaTyduJQ_42_3"/>
      <w:bookmarkStart w:id="898" w:name="Tc_5Rrvbtu3_ES0emV_B5Zn8w_42_2"/>
      <w:bookmarkStart w:id="899" w:name="Tc_1T0641E72ECsmu0ZgYvtkw_42_0"/>
      <w:bookmarkStart w:id="900" w:name="Tc_qXmgua_tbkekgHe4LMCe1Q_41_5"/>
      <w:bookmarkStart w:id="901" w:name="Tc_4AQq-dtMckixtB5JpaRVsw_41_3"/>
      <w:bookmarkStart w:id="902" w:name="Tc_7V3I4K6HnUmNEXF9BSitKw_41_2"/>
      <w:bookmarkStart w:id="903" w:name="Tc_70_QSVKisUOlne3r-tDkUg_41_0"/>
      <w:bookmarkStart w:id="904" w:name="Tc_IJfCC0XVV0C17YUV5Ip01A_40_0"/>
      <w:bookmarkStart w:id="905" w:name="Tc_FXGKrpfRR0q8v2Z-uNY1hw_39_5"/>
      <w:bookmarkStart w:id="906" w:name="Tc_NolKnvoyTUK8WeTauJfr1A_39_2"/>
      <w:bookmarkStart w:id="907" w:name="Tc_ZF-f0CVA_ku5NkH1T3BQ3w_39_0"/>
      <w:bookmarkStart w:id="908" w:name="Tc_nfix3LhBi0uU-XKZTpXGXw_38_0"/>
      <w:bookmarkStart w:id="909" w:name="Tc_ox3joORWn0Kbq-xXZYI2Yw_37_0"/>
      <w:bookmarkStart w:id="910" w:name="Tc_DRZD75ZznU2GW0B4B8SohA_36_0"/>
      <w:bookmarkStart w:id="911" w:name="Tc_PKVj5q22rkScoaiKKCca5g_35_0"/>
      <w:bookmarkStart w:id="912" w:name="Tc_IarkAogQ90-Muw2cCUJs9Q_34_6"/>
      <w:bookmarkStart w:id="913" w:name="Tc_mMB3SUdEL0OHeMmw8kU1Cg_34_0"/>
      <w:bookmarkStart w:id="914" w:name="Tc_JpuruOsSgEus64DQVPiVMQ_33_3"/>
      <w:bookmarkStart w:id="915" w:name="Tc_NVn6sBE_A0ysjrWFnk2IZw_33_0"/>
      <w:bookmarkStart w:id="916" w:name="Tc_EJr7WfUI1EOvrV_3ZUCIww_32_3"/>
      <w:bookmarkStart w:id="917" w:name="Tc_ONcXVT-CvkuIy7LttL-txA_32_0"/>
      <w:bookmarkStart w:id="918" w:name="Tc_OMQnl7mNA0iekd0O_88vIA_31_0"/>
      <w:bookmarkStart w:id="919" w:name="Tc_jD294Orq8EG7gSdhpSPCCw_30_0"/>
      <w:bookmarkStart w:id="920" w:name="Tc_TOYOCa3pIEGKECU9h24fXQ_29_0"/>
      <w:bookmarkStart w:id="921" w:name="Tc_HE7zYZkiWUmIOk8EvlfhPg_28_0"/>
      <w:bookmarkStart w:id="922" w:name="Tc_gxYnY-08S0moxZKOSMyGcA_27_0"/>
      <w:bookmarkStart w:id="923" w:name="Tc_5eBJvahS-kypxp4bF0z5Ug_26_3"/>
      <w:bookmarkStart w:id="924" w:name="Tc_gFytAD-wKESP6iBUyKTcJQ_26_0"/>
      <w:bookmarkStart w:id="925" w:name="Tc_ikQ2jsMMMEGEW6Ex4RNLtQ_25_0"/>
      <w:bookmarkStart w:id="926" w:name="Tc_a30XgpMCukitDtJoMUZDuA_24_0"/>
      <w:bookmarkStart w:id="927" w:name="Tc_0QSLP_0EuUinB647liFglg_23_0"/>
      <w:bookmarkStart w:id="928" w:name="Tc_sr8u6JMhikOc8aIYseBZAQ_22_0"/>
      <w:bookmarkStart w:id="929" w:name="Tc_WsmBZIAcUkeqVYOcAph76g_21_0"/>
      <w:bookmarkStart w:id="930" w:name="Tc_jj6D6l-ijkmpfd-nHEPNMw_20_0"/>
      <w:bookmarkStart w:id="931" w:name="Tc_7vccVCBXDEGm51TmO4CycQ_19_6"/>
      <w:bookmarkStart w:id="932" w:name="Tc_jOWTIDPA4k6yYaUUQF_NIA_19_0"/>
      <w:bookmarkStart w:id="933" w:name="Tc_LyAOMyxiBkSsRKWE3QHIVg_18_0"/>
      <w:bookmarkStart w:id="934" w:name="Tc_bPNbIZh1f0K6amDXSwWVsQ_17_0"/>
      <w:bookmarkStart w:id="935" w:name="Tc_GPyC3yAL20uuYnpIlrnHmw_16_0"/>
      <w:bookmarkStart w:id="936" w:name="Tc_-edteu8_Wk2-fbrARYEw9g_15_0"/>
      <w:bookmarkStart w:id="937" w:name="Tc_Zy3UjU4p9U6Pol86nbonwg_14_6"/>
      <w:bookmarkStart w:id="938" w:name="Tc_gwi9sIEn1kyR2pMU4RNcJg_14_0"/>
      <w:bookmarkStart w:id="939" w:name="Tc_lWTWI16JkUWN4Y26Arf9_w_13_3"/>
      <w:bookmarkStart w:id="940" w:name="Tc_YonIU9SpFUie_8Pb6MxUjw_13_0"/>
      <w:bookmarkStart w:id="941" w:name="Tc_OYtnHU-87UWpyGfBjnyt-A_12_3"/>
      <w:bookmarkStart w:id="942" w:name="Tc_zafWHJxXpk2rZ2Fhs5AMrg_12_0"/>
      <w:bookmarkStart w:id="943" w:name="Tc_368tzy6gmEOSMV2g8kw3eA_11_0"/>
      <w:bookmarkStart w:id="944" w:name="Tc_MHmYERo6VUiHl8y6B7jCRA_10_0"/>
      <w:bookmarkStart w:id="945" w:name="Tc_Uel2E_sNWE2z5AV3kXOiww_9_0"/>
      <w:bookmarkStart w:id="946" w:name="Tc_qw8kV-Yz6Umy_HOe4gE-EQ_8_0"/>
      <w:bookmarkStart w:id="947" w:name="Tc_ySdFXZbXm0-OY5oy249qbw_7_0"/>
      <w:bookmarkStart w:id="948" w:name="Tc_iTdnMfKG6keyo2LMa4lUGg_6_0"/>
      <w:bookmarkStart w:id="949" w:name="Tc__pg4pJgxvUeS2XSGVPVdNw_5_0"/>
      <w:bookmarkStart w:id="950" w:name="Tc_xtN5L6ncSEedg07KisMjnw_4_5"/>
      <w:bookmarkStart w:id="951" w:name="Tc_2DQrq0hqX0msUXhDfnJ2qg_4_2"/>
      <w:bookmarkStart w:id="952" w:name="Tc_H83SMUbuikycQ1uCB1IiNQ_4_0"/>
      <w:bookmarkStart w:id="953" w:name="Tc_YSHbYz71e0K_zhvdFBd3lg_3_0"/>
      <w:bookmarkStart w:id="954" w:name="Tc_05zm2h5-rEe9F2lY94c79w_2_5"/>
      <w:bookmarkStart w:id="955" w:name="Tc_02BScntEFUOi4MGDYannsA_2_2"/>
      <w:bookmarkStart w:id="956" w:name="Tc_x6wzWeHNWUiRVhD3JW05RA_1_3"/>
      <w:bookmarkStart w:id="957" w:name="_39300308_487f_4075_aad4_ed1ae042a94e"/>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tbl>
      <w:tblPr>
        <w:tblW w:w="8877" w:type="dxa"/>
        <w:jc w:val="left"/>
        <w:tblInd w:w="0" w:type="dxa"/>
        <w:tblLayout w:type="fixed"/>
        <w:tblCellMar>
          <w:top w:w="0" w:type="dxa"/>
          <w:left w:w="0" w:type="dxa"/>
          <w:bottom w:w="0" w:type="dxa"/>
          <w:right w:w="0" w:type="dxa"/>
        </w:tblCellMar>
      </w:tblPr>
      <w:tblGrid>
        <w:gridCol w:w="6061"/>
        <w:gridCol w:w="326"/>
        <w:gridCol w:w="211"/>
        <w:gridCol w:w="796"/>
        <w:gridCol w:w="326"/>
        <w:gridCol w:w="211"/>
        <w:gridCol w:w="946"/>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848735" cy="175260"/>
                      <wp:effectExtent l="0" t="0" r="0" b="0"/>
                      <wp:wrapNone/>
                      <wp:docPr id="43" name="Frame43"/>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46" name="Frame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0710" cy="175260"/>
                      <wp:effectExtent l="0" t="0" r="0" b="0"/>
                      <wp:wrapNone/>
                      <wp:docPr id="49" name="Frame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(173,633)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18,125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Non-cash interest expense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accretion &amp; amortization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(3,562)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rent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 in fair value of embedded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settlement of forward contract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Acquired IPR&amp;D assets classified as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92,385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(63,664)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(69,819)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(66,312)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Maturities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139,322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127,800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Acquisition of IPR&amp;D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21,488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deferred royalty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(5,756)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issuance of common stock from ESPP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Series A Preferred Stock, net of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138,850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settlement of forward contract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ATM equity offering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31,610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150,422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Effect of exchange rates on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101,719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89,601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60,409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162,128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liability issued in exchange for the acquisition of IPR&amp;D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33,669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exchange for IPR&amp;D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18,716</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1,302</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8" w:name="_8dad9cd6_38bd_45ff_8c8b_03da1aac75cc"/>
      <w:bookmarkEnd w:id="958"/>
      <w:r>
        <w:rPr>
          <w:rFonts w:ascii="Times New Roman;Times;serif" w:hAnsi="Times New Roman;Times;serif"/>
          <w:b/>
          <w:sz w:val="20"/>
        </w:rPr>
        <w:t>Rhythm Pharmaceuticals, Inc.</w:t>
      </w:r>
    </w:p>
    <w:p>
      <w:pPr>
        <w:pStyle w:val="TextBody"/>
        <w:bidi w:val="0"/>
        <w:spacing w:before="0" w:after="240"/>
        <w:ind w:left="0" w:right="0" w:hanging="0"/>
        <w:jc w:val="center"/>
        <w:rPr>
          <w:rFonts w:ascii="Times New Roman;Times;serif" w:hAnsi="Times New Roman;Times;serif"/>
          <w:b/>
          <w:sz w:val="20"/>
        </w:rPr>
      </w:pPr>
      <w:bookmarkStart w:id="959" w:name="NotestoUnauditedCondensedFinancialStatem"/>
      <w:bookmarkEnd w:id="959"/>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Rhythm Pharmaceuticals, Inc. (the “Company” or “we”) is a global, commercial-stage biopharmaceutical company dedicated to transforming the lives of patients living with rare neuroendocrine diseases. We are focused on advancing our melanocortin-4 (MC4R) receptor agonists, including our lead asset, IMCIVREE</w:t>
      </w:r>
      <w:r>
        <w:rPr>
          <w:rFonts w:ascii="Times New Roman;Times;serif" w:hAnsi="Times New Roman;Times;serif"/>
          <w:sz w:val="15"/>
        </w:rPr>
        <w:t>®</w:t>
      </w:r>
      <w:r>
        <w:rPr>
          <w:rFonts w:ascii="Times New Roman;Times;serif" w:hAnsi="Times New Roman;Times;serif"/>
          <w:sz w:val="20"/>
        </w:rPr>
        <w:t xml:space="preserve"> (setmelanotide), as a precision medicine designed to treat hyperphagia and severe obesity caused by rare MC4R pathway diseases. While obesity affects hundreds of millions of people worldwide, we are developing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(“HO”) Bardet-Biedl syndrome (BBS) or other diseases caused by impaired MC4R pathway signaling.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and Great Britain, Canada, and other countries and regions.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 Delaware corporation organized in February 2013 under the name Rhythm Metabolic, Inc., and as of October 2015, under the name Rhythm Pharmaceuticals, Inc. The Company has wholly owned subsidiaries in the US, the United Kingdom, the Netherlands, France, Germany, Italy, Spain, Switzerland, Japan and Canada.</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incurred operating losses and experienced negative cash flows from operations since inception. As of June 30, 2025, the Company had an accumulated deficit of $1.3 billion.  The Company has funded these losses primarily from the proceeds from the sales of common and preferred stock, product revenue,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comprised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2025, the Company had $291.0 million of cash and cash equivalents and short-term investments on hand.  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that additional equity or other financing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w:t>
      </w:r>
      <w:r>
        <w:rPr>
          <w:rFonts w:ascii="Times New Roman;Times;serif" w:hAnsi="Times New Roman;Times;serif"/>
          <w:sz w:val="20"/>
          <w:shd w:fill="FFFFFF" w:val="clear"/>
        </w:rPr>
        <w:t>through at least the next twelve months from the filing of this Quarterly Report on Form 10-Q with the SEC</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condensed consolidated balance sheet as of June 30, 2025, the condensed consolidated statements of operations and comprehensive loss for the three and six months ended June 30, 2025 and 2024, the condensed consolidated statements of convertible preferred stock and stockholders’ equity for the three and six months ended June 30, 2025 and 2024 and the condensed consolidated statements of cash flows for the six months ended June 30, 2025 and 2024 and the related footnote disclosures are unaudited. In management's opinion, the unaudited condensed consolidated financial statements have been prepared on the same basis as the audited consolidated financial statements as of and for the year ended December 31, 2024 and include all adjustments, which are all normal recurring adjustments, necessary for the fair presentation of the interim financial statements. The results for the six months ended June 30, 2025 are not necessarily indicative of the results expected for the full fiscal year, any other interim periods, or any future year or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reflect the application of certain significant accounting policies as described below and elsewhere in these notes to the unaudited condensed consolidated financial statements. As of June 30, 2025, there have been no material changes in the Company's significant accounting policies from those that were disclosed in the Company’s Annual Report on Form 10-K for the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include the accounts of Rhythm Pharmaceuticals, Inc. and its wholly-owned subsidiaries. All significant intercompany balances and transactions have been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and Geographic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Disclosure requirements about segments of an enterprise and related information establishes standards for reporting information regarding operating segments in annual financial statements and requires selected information of those segments to be presented in interim financial reports issued to shareholders. Operating segments are defined as components of an enterprise about which separate discrete financial information is available that is evaluated regularly by the chief operating decision maker, or decision-making group, in deciding how to allocate resources and in assessing performance. The Company’s chief operating decision maker is the chief executive officer. The Company and the chief executive officer view the Company’s operations and manage its business as one operating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FASB issued ASU 2023-07 – Segment Reporting (Topic 280) – Improvements to Reportable Segment Disclosures, which improves segment disclosure requirements, primarily through enhanced disclosure 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 </w:t>
      </w:r>
      <w:r>
        <w:rPr>
          <w:rFonts w:ascii="Times New Roman;Times;serif" w:hAnsi="Times New Roman;Times;serif"/>
          <w:i/>
          <w:sz w:val="20"/>
        </w:rPr>
        <w:t>Segment and Geographic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Risk and Concentrations of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risks associated with extending credit to customers related to the sale of products. The Company does not require collateral to secure amounts due from its customers. For the three months ended June 30, 2025 and 2024, approximately 66% and 74% of all of the Company’s revenue was generated from a single customer in the United States. As of June 30, 2025 and December 31, 2024, approximately 48% and 67%, respectively, of the Company’s accounts receivable was outstanding from a single customer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Short-Term Investments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available-for-sale. Accordingly, these investments are recorded at fair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for the decline in value (i.e., any changes to the rating of the security by a rating agency or other adverse conditions specifically related to the security) and management's intended holding period and time horizon for selling. During the three and six months ended June 30, 2025 and 2024, the Company did not recognize any credit losses related to its available-for-sale debt securities. Further, as of June 30, 2025 and December 31, 2024, the Company did not record an allowance for credit losses related to its available-for-sale debt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June 30, 2025 and December 31, 2024, the Company determined an allowance for doubtful accounts was not required based upon our review of contractual payments and our customers’ circumstances.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recognizes revenue in accordance with ASC Topic 606, </w:t>
      </w:r>
      <w:r>
        <w:rPr>
          <w:rFonts w:ascii="Times New Roman;Times;serif" w:hAnsi="Times New Roman;Times;serif"/>
          <w:i/>
          <w:sz w:val="20"/>
        </w:rPr>
        <w:t>Revenue from Contracts with Customers</w:t>
      </w:r>
      <w:r>
        <w:rPr>
          <w:rFonts w:ascii="Times New Roman;Times;serif" w:hAnsi="Times New Roman;Times;serif"/>
          <w:sz w:val="20"/>
        </w:rPr>
        <w:t>, or ASC 606. Under ASC 606, an entity recognizes revenue when its customer obtains control of promised goods or services in an amount that reflects the consideration which the entity expects to receive in exchange for those goods or services.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 “U.S.”), which accounts for the largest portion of our total revenues, the Company sells its product to one specialty pharmacy. The product is distributed through third-party logistics,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Reserves for Variable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the components of variable consideration related to product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Government rebates:</w:t>
      </w:r>
      <w:r>
        <w:rPr>
          <w:rFonts w:ascii="Times New Roman;Times;serif" w:hAnsi="Times New Roman;Times;serif"/>
          <w:sz w:val="20"/>
        </w:rPr>
        <w:t xml:space="preserve">  The Company is subject to discount obligations under government programs, including Medicaid programs, Medicare and Tricare in the United States as well as certain government rebates and pricing adjustments in certain international markets that we operate.  We estimate these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Trade discounts and allowances:</w:t>
      </w:r>
      <w:r>
        <w:rPr>
          <w:rFonts w:ascii="Times New Roman;Times;serif" w:hAnsi="Times New Roman;Times;serif"/>
          <w:sz w:val="20"/>
        </w:rPr>
        <w:t xml:space="preserve">  The Company provides customary invoice discounts on IMCIVREE sales to certain of our customers for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returns:  </w:t>
      </w:r>
      <w:r>
        <w:rPr>
          <w:rFonts w:ascii="Times New Roman;Times;serif" w:hAnsi="Times New Roman;Times;serif"/>
          <w:sz w:val="20"/>
        </w:rPr>
        <w:t>Our customers have limited return rights related to the product’s damage or defect.  The Company estimates the amount of product sales that may be returned and records the estimate as a reduction of revenue and a refund liability in the period the related product revenue is recognized. Based on the distribution model for IMCIVREE, the Company believes there will continue to be minimal returns and these reserves have not been material to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incentives:</w:t>
      </w:r>
      <w:r>
        <w:rPr>
          <w:rFonts w:ascii="Times New Roman;Times;serif" w:hAnsi="Times New Roman;Times;serif"/>
          <w:sz w:val="20"/>
        </w:rPr>
        <w:t xml:space="preserve">  Other incentives include co-payment assistance the Company provides to patients with 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Provisions for trade discounts, and allowances are recorded as reductions to accounts receivable, and returns, government rebates, and other incentives are recorded as a component of accrued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customers may include non-refundable upfront fees, payments upon the exercise of customer options, payments based upon the achievement of defined milestones, and royalties on sales of products and product candidates if they are approved and commercialized.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See Note 12, </w:t>
      </w:r>
      <w:r>
        <w:rPr>
          <w:rFonts w:ascii="Times New Roman;Times;serif" w:hAnsi="Times New Roman;Times;serif"/>
          <w:i/>
          <w:sz w:val="20"/>
        </w:rPr>
        <w:t>Significant Agreements</w:t>
      </w:r>
      <w:r>
        <w:rPr>
          <w:rFonts w:ascii="Times New Roman;Times;serif" w:hAnsi="Times New Roman;Times;serif"/>
          <w:sz w:val="20"/>
        </w:rPr>
        <w:t>, for discussion related to the Company’s accounting for the RareStone Group, Ltd. agreement.</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Deferred Royalty Obligation </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treats the debt obligation to HealthCare Royalty Management, LLC as discussed further in Note 13, </w:t>
      </w:r>
      <w:r>
        <w:rPr>
          <w:rFonts w:ascii="Times New Roman;Times;serif" w:hAnsi="Times New Roman;Times;serif"/>
          <w:i/>
          <w:sz w:val="20"/>
        </w:rPr>
        <w:t>Long-Term Obligations</w:t>
      </w:r>
      <w:r>
        <w:rPr>
          <w:rFonts w:ascii="Times New Roman;Times;serif" w:hAnsi="Times New Roman;Times;serif"/>
          <w:sz w:val="20"/>
        </w:rPr>
        <w:t>,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the Company to make estimates that could impact the classification of such costs, as well as the period over which such costs will be amortized.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Product Sales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and six months ended June 30, 2025 and 2024,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Acquired IPR&amp;D and Milestone Expenses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an asset acquisition, payments incurred prior to regulatory approval to acquire rights to in-process research and development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made to third parties subsequent to regulatory approval are capitalized as intangible assets and amortized to cost of products sold over the remaining useful life of the related product.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Foreign Currency</w:t>
      </w:r>
      <w:r>
        <w:rPr>
          <w:rFonts w:ascii="Times New Roman;Times;serif" w:hAnsi="Times New Roman;Times;serif"/>
          <w:sz w:val="20"/>
        </w:rPr>
        <w:t xml:space="preserve"> </w:t>
      </w:r>
      <w:r>
        <w:rPr>
          <w:rFonts w:ascii="Times New Roman;Times;serif" w:hAnsi="Times New Roman;Times;serif"/>
          <w:b/>
          <w:i/>
          <w:sz w:val="20"/>
        </w:rPr>
        <w:t>Translation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six months ended June 30,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pBdr/>
        <w:bidi w:val="0"/>
        <w:spacing w:before="0" w:after="240"/>
        <w:ind w:left="720" w:right="0" w:hanging="900"/>
        <w:jc w:val="both"/>
        <w:rPr>
          <w:rFonts w:ascii="Times New Roman;Times;serif" w:hAnsi="Times New Roman;Times;serif"/>
          <w:sz w:val="20"/>
        </w:rPr>
      </w:pPr>
      <w:r>
        <w:rPr>
          <w:rFonts w:ascii="Times New Roman;Times;serif" w:hAnsi="Times New Roman;Times;serif"/>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pBdr/>
        <w:bidi w:val="0"/>
        <w:spacing w:before="0" w:after="240"/>
        <w:ind w:left="720" w:right="0" w:hanging="900"/>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fair value of the assets or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cash equivalents and marketable securities and derivative asset as of June 30, 2025 and December 31, 2024 were carried at fair value, determined according to the fair value hierarchy.  See Note 6, </w:t>
      </w:r>
      <w:r>
        <w:rPr>
          <w:rFonts w:ascii="Times New Roman;Times;serif" w:hAnsi="Times New Roman;Times;serif"/>
          <w:i/>
          <w:sz w:val="20"/>
        </w:rPr>
        <w:t>Fair Value of Financial Assets and Liabilities,</w:t>
      </w:r>
      <w:r>
        <w:rPr>
          <w:rFonts w:ascii="Times New Roman;Times;serif" w:hAnsi="Times New Roman;Times;serif"/>
          <w:sz w:val="20"/>
        </w:rPr>
        <w:t xml:space="preserve"> for further discussion.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carrying amounts reflected in the condensed consolidated balance sheets for accounts payable and accrued expenses and other current liabilities approximate their fair values due to their short-term maturities as of June 30, 2025 and December 31, 2024, respectively.</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more dilutive of the if-converted or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60" w:name="Tc_Vw66nrJz6kOF3xC2C58JYg_8_0"/>
      <w:bookmarkStart w:id="961" w:name="Tc_wnRC8fCNY0qkt_TYpBWDpg_7_0"/>
      <w:bookmarkStart w:id="962" w:name="Tc_0N_XJn9CSkq3VuqkNIoqoA_6_11"/>
      <w:bookmarkStart w:id="963" w:name="Tc_R_VTTKTQP0qwHC_J6sU6EA_6_5"/>
      <w:bookmarkStart w:id="964" w:name="Tc_L8ikzB3Dh06FigpisGFYzA_6_0"/>
      <w:bookmarkStart w:id="965" w:name="Tc_D91lWhKVSUS7Cjrj0vLY_Q_5_0"/>
      <w:bookmarkStart w:id="966" w:name="Tc_SpXRCw5bz0uAh0nh1CzR-g_4_0"/>
      <w:bookmarkStart w:id="967" w:name="Tc_fqmkNljaxUWqKL6Ct0apGA_3_10"/>
      <w:bookmarkStart w:id="968" w:name="Tc_rVAwoy0H8UWaqKj1a7JBhA_3_7"/>
      <w:bookmarkStart w:id="969" w:name="Tc_YlNoBb-v90W-DYKw7NtFMw_3_4"/>
      <w:bookmarkStart w:id="970" w:name="Tc_i5FAT7fhTkKwy7fkR2T5Cw_3_1"/>
      <w:bookmarkStart w:id="971" w:name="Tc_3XnaOUJIsk2mjZCDnPZ9oA_2_7"/>
      <w:bookmarkStart w:id="972" w:name="Tc_NDupDnqmCUmCwlfuU8ESTw_2_1"/>
      <w:bookmarkStart w:id="973" w:name="Tc_D2RNOS20zEy51K5SyqPp_A_1_7"/>
      <w:bookmarkStart w:id="974" w:name="Tc__YtGf1iufUSOFcYqLOVIWA_1_1"/>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sz w:val="20"/>
        </w:rPr>
        <w:t xml:space="preserve">The following table includes the potential common shares that were excluded from the computation of diluted net loss per share as their effect would have been anti-dilutive for the periods indicated: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01"/>
        <w:gridCol w:w="146"/>
        <w:gridCol w:w="1036"/>
        <w:gridCol w:w="326"/>
        <w:gridCol w:w="146"/>
        <w:gridCol w:w="1036"/>
        <w:gridCol w:w="109"/>
        <w:gridCol w:w="146"/>
        <w:gridCol w:w="1036"/>
        <w:gridCol w:w="326"/>
        <w:gridCol w:w="146"/>
        <w:gridCol w:w="1151"/>
      </w:tblGrid>
      <w:tr>
        <w:trPr/>
        <w:tc>
          <w:tcPr>
            <w:tcW w:w="4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21635" cy="175260"/>
                      <wp:effectExtent l="0" t="0" r="0" b="0"/>
                      <wp:wrapNone/>
                      <wp:docPr id="50" name="Frame50"/>
                      <a:graphic xmlns:a="http://schemas.openxmlformats.org/drawingml/2006/main">
                        <a:graphicData uri="http://schemas.microsoft.com/office/word/2010/wordprocessingShape">
                          <wps:wsp>
                            <wps:cNvSpPr txBox="1"/>
                            <wps:spPr>
                              <a:xfrm>
                                <a:off x="0" y="0"/>
                                <a:ext cx="292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57860" cy="175260"/>
                      <wp:effectExtent l="0" t="0" r="0" b="0"/>
                      <wp:wrapNone/>
                      <wp:docPr id="52" name="Frame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2710" cy="175260"/>
                      <wp:effectExtent l="0" t="0" r="0" b="0"/>
                      <wp:wrapNone/>
                      <wp:docPr id="54" name="Frame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57860" cy="175260"/>
                      <wp:effectExtent l="0" t="0" r="0" b="0"/>
                      <wp:wrapNone/>
                      <wp:docPr id="55" name="Frame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2710" cy="175260"/>
                      <wp:effectExtent l="0" t="0" r="0" b="0"/>
                      <wp:wrapNone/>
                      <wp:docPr id="57" name="Frame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57860" cy="175260"/>
                      <wp:effectExtent l="0" t="0" r="0" b="0"/>
                      <wp:wrapNone/>
                      <wp:docPr id="58" name="Frame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30885" cy="175260"/>
                      <wp:effectExtent l="0" t="0" r="0" b="0"/>
                      <wp:wrapNone/>
                      <wp:docPr id="61" name="Frame6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1" w:type="dxa"/>
            <w:tcBorders/>
            <w:vAlign w:val="center"/>
          </w:tcPr>
          <w:p>
            <w:pPr>
              <w:pStyle w:val="TableContents"/>
              <w:bidi w:val="0"/>
              <w:spacing w:before="0" w:after="0"/>
              <w:ind w:left="0" w:right="0" w:hanging="0"/>
              <w:jc w:val="left"/>
              <w:rPr/>
            </w:pPr>
            <w:r>
              <w:rPr/>
              <w:t>​</w:t>
            </w:r>
          </w:p>
        </w:tc>
        <w:tc>
          <w:tcPr>
            <w:tcW w:w="26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8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601" w:type="dxa"/>
            <w:tcBorders/>
            <w:vAlign w:val="center"/>
          </w:tcPr>
          <w:p>
            <w:pPr>
              <w:pStyle w:val="TableContents"/>
              <w:bidi w:val="0"/>
              <w:spacing w:before="0" w:after="0"/>
              <w:ind w:left="0" w:right="0" w:hanging="0"/>
              <w:jc w:val="left"/>
              <w:rPr/>
            </w:pPr>
            <w:r>
              <w:rPr/>
              <w:t>​</w:t>
            </w:r>
          </w:p>
        </w:tc>
        <w:tc>
          <w:tcPr>
            <w:tcW w:w="26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01" w:type="dxa"/>
            <w:tcBorders/>
            <w:vAlign w:val="center"/>
          </w:tcPr>
          <w:p>
            <w:pPr>
              <w:pStyle w:val="TableContents"/>
              <w:bidi w:val="0"/>
              <w:spacing w:before="0" w:after="0"/>
              <w:ind w:left="0" w:right="0" w:hanging="0"/>
              <w:jc w:val="left"/>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6,931,178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7,044,823</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6,931,178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7,044,823</w:t>
            </w:r>
          </w:p>
        </w:tc>
      </w:tr>
      <w:tr>
        <w:trPr/>
        <w:tc>
          <w:tcPr>
            <w:tcW w:w="4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2,657,785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2,036,409</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2,657,785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2,036,409</w:t>
            </w:r>
          </w:p>
        </w:tc>
      </w:tr>
      <w:tr>
        <w:trPr/>
        <w:tc>
          <w:tcPr>
            <w:tcW w:w="4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stock units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294,644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294,644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r>
      <w:tr>
        <w:trPr/>
        <w:tc>
          <w:tcPr>
            <w:tcW w:w="4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reserved for the conversion of Series A convertible preferred stock </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3,124,995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3,125,000</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3,124,995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3,125,000</w:t>
            </w:r>
          </w:p>
        </w:tc>
      </w:tr>
      <w:tr>
        <w:trPr/>
        <w:tc>
          <w:tcPr>
            <w:tcW w:w="4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common shares</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13,008,602</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12,206,232</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13,008,602</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12,206,232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Subsequent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Application of New or Revised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or ASU 2023-09. The new guidance requires that an entity, on an annual basis, disclose additional income tax 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We are currently evaluating the impact of the new standard on our consolidated financial statements which is expected to result in enhanced disclosures, however, we do not otherwise expect the adoption of the new guidance to have a material impact on our financial condition or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Asset Acquisitions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LG Chem, Ltd.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January 4, 2024, the Company entered into a license agreement and share issuance agreement with LG Chem, Ltd. (“LGC”).  Under the terms of the license agreement, the Company obtained worldwide rights to LGC’s proprietary compound bivamelagon.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includes an additional $40.0 million license fee payable in 18 months, whose present value at closing was $33.7 million, and $0.8 million of transaction costs which are recorded as selling, general and administrative expenses. The carrying value of the license fee payable is $40.0 million as of June 30, 2025, and is reflected in current liabilities on our condensed consolidated balance sheet. On July 1, 2025, the Company made the final consideration payment of $40.0 million to LGC for the Company’s asset purchase of their proprietary compound bivamelagon from January 2024.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under the terms of the license agreement, we agreed to pay LGC up to $205 million in cash upon achieving various regulatory and sales milestones based on net sales of bivamelagon. In addition, and subject to the completion of Phase 2 development of bivamelagon, the Company has agreed to pay LGC royalties of between low-to-mid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assets acquired were In-Process Research and Development (“IPR&amp;D”) assets.  However, since the IPR&amp;D assets were determined to have no alternative future use, the Company recognized the $92.4 million of purchase consideration as research and development expense in the three months ended March 31,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75" w:name="Tc_0tWaMrNSLkG3LAuee9qNCA_6_5"/>
      <w:bookmarkStart w:id="976" w:name="Tc_51Z9Y4CJ10-q4V1nGRupIg_6_2"/>
      <w:bookmarkStart w:id="977" w:name="Tc_s5_01MDUsEq3gWO1sc02XA_6_0"/>
      <w:bookmarkStart w:id="978" w:name="Tc_tFsgwc57skeMYytEvBkCjA_5_0"/>
      <w:bookmarkStart w:id="979" w:name="Tc_7d9cngfx0ESMO9l6RMJwbA_4_0"/>
      <w:bookmarkStart w:id="980" w:name="Tc_A4Cv1vab-0CzHOG_aaYVdg_3_5"/>
      <w:bookmarkStart w:id="981" w:name="Tc_EDgpVzTDK0aqBRUTPK3dAw_3_2"/>
      <w:bookmarkStart w:id="982" w:name="Tc_ASPNIAFKNE-ddJWa2p0lgw_3_0"/>
      <w:bookmarkStart w:id="983" w:name="Tc_7KO8PpRVE0yCELGUUoT13A_2_5"/>
      <w:bookmarkStart w:id="984" w:name="Tc_xm8aWsESS0my1zrQTfXspA_2_2"/>
      <w:bookmarkStart w:id="985" w:name="Tc_qcuFsWwLpE2kol6OAh_MFw_1_5"/>
      <w:bookmarkStart w:id="986" w:name="Tc_ELl-WqnkCU2FND7KEbUSJQ_1_2"/>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sz w:val="20"/>
        </w:rPr>
        <w:t>4. Inventory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Inventory consists of the following (in thousands):</w:t>
      </w:r>
    </w:p>
    <w:p>
      <w:pPr>
        <w:pStyle w:val="TextBody"/>
        <w:bidi w:val="0"/>
        <w:spacing w:before="0" w:after="0"/>
        <w:ind w:left="0" w:right="0" w:hanging="0"/>
        <w:jc w:val="left"/>
        <w:rPr/>
      </w:pPr>
      <w:r>
        <w:rPr/>
        <w:t>​</w:t>
      </w:r>
    </w:p>
    <w:tbl>
      <w:tblPr>
        <w:tblW w:w="4120" w:type="dxa"/>
        <w:jc w:val="left"/>
        <w:tblInd w:w="0" w:type="dxa"/>
        <w:tblLayout w:type="fixed"/>
        <w:tblCellMar>
          <w:top w:w="0" w:type="dxa"/>
          <w:left w:w="0" w:type="dxa"/>
          <w:bottom w:w="0" w:type="dxa"/>
          <w:right w:w="0" w:type="dxa"/>
        </w:tblCellMar>
      </w:tblPr>
      <w:tblGrid>
        <w:gridCol w:w="1396"/>
        <w:gridCol w:w="326"/>
        <w:gridCol w:w="211"/>
        <w:gridCol w:w="676"/>
        <w:gridCol w:w="326"/>
        <w:gridCol w:w="248"/>
        <w:gridCol w:w="937"/>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886460" cy="175260"/>
                      <wp:effectExtent l="0" t="0" r="0" b="0"/>
                      <wp:wrapNone/>
                      <wp:docPr id="62" name="Frame6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7480" cy="175260"/>
                      <wp:effectExtent l="0" t="0" r="0" b="0"/>
                      <wp:wrapNone/>
                      <wp:docPr id="67" name="Frame6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4995" cy="175260"/>
                      <wp:effectExtent l="0" t="0" r="0" b="0"/>
                      <wp:wrapNone/>
                      <wp:docPr id="68" name="Frame6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WIP</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18,872</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18,741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7" w:name="Tc_qbyZB6lcnkOID7ipasUUOw_9_5"/>
      <w:bookmarkStart w:id="988" w:name="Tc_E2iNAdlDo0K0NASiQ_FbUA_9_2"/>
      <w:bookmarkStart w:id="989" w:name="Tc_TLUmS-DJ1UGFUDluxQoIXw_9_0"/>
      <w:bookmarkStart w:id="990" w:name="Tc_mabkM7X_hEWVcA5gmAgbYA_8_0"/>
      <w:bookmarkStart w:id="991" w:name="Tc_mpGgeEXgVUWALEY61O1fTQ_7_0"/>
      <w:bookmarkStart w:id="992" w:name="Tc_zP81rApWqUyAY1k4qXRREw_6_0"/>
      <w:bookmarkStart w:id="993" w:name="Tc_JJhdiVUNmEuC_Zg4zYzikw_5_0"/>
      <w:bookmarkStart w:id="994" w:name="Tc_hdyoRi5EHk-8FWL-fj_FIw_4_0"/>
      <w:bookmarkStart w:id="995" w:name="Tc_yY8-rI4Xnki2cHqVSFg00Q_3_5"/>
      <w:bookmarkStart w:id="996" w:name="Tc_mTJe1lh4FUyAGaQDONaHiw_3_2"/>
      <w:bookmarkStart w:id="997" w:name="Tc_BSnjdX01RUqYrRSWB8g4Zw_3_0"/>
      <w:bookmarkStart w:id="998" w:name="Tc_hscs7PwcnUONH3OJkVLrZA_2_5"/>
      <w:bookmarkStart w:id="999" w:name="Tc_5KGJkA38QEqU7_BNpMf0zA_2_2"/>
      <w:bookmarkStart w:id="1000" w:name="Tc_6IM08e8N90a3JH04T6CVtQ_1_5"/>
      <w:bookmarkStart w:id="1001" w:name="Tc_Tj_tMHAir0WdhnOB3fIlVA_1_2"/>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b/>
          <w:sz w:val="20"/>
        </w:rPr>
        <w:t>5. Accrued Expenses and Other 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0"/>
        <w:ind w:left="0" w:right="0" w:hanging="0"/>
        <w:jc w:val="left"/>
        <w:rPr/>
      </w:pPr>
      <w:r>
        <w:rPr/>
        <w:t>​</w:t>
      </w:r>
    </w:p>
    <w:tbl>
      <w:tblPr>
        <w:tblW w:w="6550" w:type="dxa"/>
        <w:jc w:val="left"/>
        <w:tblInd w:w="0" w:type="dxa"/>
        <w:tblLayout w:type="fixed"/>
        <w:tblCellMar>
          <w:top w:w="0" w:type="dxa"/>
          <w:left w:w="0" w:type="dxa"/>
          <w:bottom w:w="0" w:type="dxa"/>
          <w:right w:w="0" w:type="dxa"/>
        </w:tblCellMar>
      </w:tblPr>
      <w:tblGrid>
        <w:gridCol w:w="3826"/>
        <w:gridCol w:w="326"/>
        <w:gridCol w:w="211"/>
        <w:gridCol w:w="676"/>
        <w:gridCol w:w="326"/>
        <w:gridCol w:w="268"/>
        <w:gridCol w:w="917"/>
      </w:tblGrid>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related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22,522</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15,850</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69,185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62,658</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Fair Value of Financial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and December 31, 2024, the carrying amount of cash and cash equivalents and short-term investments was $291.0 million and $320.6 million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002" w:name="Tc__O9vw-STJkm8xtjtT1MaGA_12_11"/>
      <w:bookmarkStart w:id="1003" w:name="Tc_czcbLKWtl06ytkKa99H6Cg_12_8"/>
      <w:bookmarkStart w:id="1004" w:name="Tc_atZBWNNYDEij9nabSvtTJQ_12_5"/>
      <w:bookmarkStart w:id="1005" w:name="Tc_TrgFd6KiLk2toC1W8tSORg_12_2"/>
      <w:bookmarkStart w:id="1006" w:name="Tc_Sogzc_EzWE6KjJvlHQFHuw_12_0"/>
      <w:bookmarkStart w:id="1007" w:name="Tc_Rg3OVBnaJ0CUpFy6BCbk3w_11_6"/>
      <w:bookmarkStart w:id="1008" w:name="Tc_7jqWbc-R0EqhgiJRKQE7vA_11_3"/>
      <w:bookmarkStart w:id="1009" w:name="Tc_zAToKlU_bEa0XHTsN8m2SA_11_0"/>
      <w:bookmarkStart w:id="1010" w:name="Tc_gbn0cA6By0S-sjMEm_kG-A_10_9"/>
      <w:bookmarkStart w:id="1011" w:name="Tc_nXnOVK0ww0y1j9mwcVqPEw_10_3"/>
      <w:bookmarkStart w:id="1012" w:name="Tc_3BBxRAvGKEideg1IBon_xg_10_0"/>
      <w:bookmarkStart w:id="1013" w:name="Tc_2ol98PqNVkyCI8BbIcU5Aw_9_9"/>
      <w:bookmarkStart w:id="1014" w:name="Tc_j_DJiQ4QpU-z9Uwczx915A_9_6"/>
      <w:bookmarkStart w:id="1015" w:name="Tc_DUdI58BfkEuGx_fly_qANw_9_0"/>
      <w:bookmarkStart w:id="1016" w:name="Tc_mT65df8ifk2Vjg6iP0iFEg_8_0"/>
      <w:bookmarkStart w:id="1017" w:name="Tc_L7icRAr1x06rCV6Edp8jFQ_7_9"/>
      <w:bookmarkStart w:id="1018" w:name="Tc_yc8GbqRQdEu7ojlx8L9g9A_7_6"/>
      <w:bookmarkStart w:id="1019" w:name="Tc_WWkBMAHbfk6r8uy80QD4Wg_7_0"/>
      <w:bookmarkStart w:id="1020" w:name="Tc_jzgLQ7jbbkaJrsjkoByaTQ_6_11"/>
      <w:bookmarkStart w:id="1021" w:name="Tc_gfI8-W31GU2lETVsbtvpEQ_6_9"/>
      <w:bookmarkStart w:id="1022" w:name="Tc_X7vObE0fSESptkswqrhr6Q_6_8"/>
      <w:bookmarkStart w:id="1023" w:name="Tc_-vG0s_w140CLxb7RO-BC7w_6_5"/>
      <w:bookmarkStart w:id="1024" w:name="Tc_LG4M9Or0lEadcyF-qoCFAw_6_3"/>
      <w:bookmarkStart w:id="1025" w:name="Tc_Wqk-A9tXxUaMOlGN7y45ww_6_2"/>
      <w:bookmarkStart w:id="1026" w:name="Tc_XzGA8y7kCkmqlFE5_48z6g_6_0"/>
      <w:bookmarkStart w:id="1027" w:name="Tc_DM8WEToNi0mt4XFuXnv08g_5_0"/>
      <w:bookmarkStart w:id="1028" w:name="Tc_vkO9o2jniECratDHdnz3-A_4_0"/>
      <w:bookmarkStart w:id="1029" w:name="Tc_vdPNFzpLSEWvw54gekrJOQ_3_11"/>
      <w:bookmarkStart w:id="1030" w:name="Tc_5llh2FrJL0KAk3nhYgv1Ww_3_8"/>
      <w:bookmarkStart w:id="1031" w:name="Tc_avuyqFvdVEidg3lCWlC1Fw_3_5"/>
      <w:bookmarkStart w:id="1032" w:name="Tc_jbxDdA5NF0mccTPSToQnXA_3_2"/>
      <w:bookmarkStart w:id="1033" w:name="Tc_IK8hUFR690S1apnWIxUPQw_2_2"/>
      <w:bookmarkStart w:id="1034" w:name="Tc_5c7_Vl7_hUqjaWiCNEXRNA_1_2"/>
      <w:bookmarkStart w:id="1035" w:name="_2ae39818_7616_496e_9964_6da8d1023210"/>
      <w:bookmarkStart w:id="1036" w:name="Tc_JGz3JdUhR0eNL43wTzsjLQ_12_11"/>
      <w:bookmarkStart w:id="1037" w:name="Tc_PgMnce-I_0S5XkQVvJorOg_12_8"/>
      <w:bookmarkStart w:id="1038" w:name="Tc_qrKlo4pp2kSm52yNGxX_IA_12_5"/>
      <w:bookmarkStart w:id="1039" w:name="Tc_MSjg4yw7RUuYZjKG-4R1NQ_12_2"/>
      <w:bookmarkStart w:id="1040" w:name="Tc_9GQgEmk16E2WXs895z_Vtg_12_0"/>
      <w:bookmarkStart w:id="1041" w:name="Tc_Qvcn6_dATkqXIzgonLsMfQ_11_6"/>
      <w:bookmarkStart w:id="1042" w:name="Tc_NixPKykULEaHRg6dY6VhtQ_11_3"/>
      <w:bookmarkStart w:id="1043" w:name="Tc_blwrq5_hXU-aYwY7vr9LRA_11_0"/>
      <w:bookmarkStart w:id="1044" w:name="Tc_GOc8eTTJdUG3Vh9XtWfILA_10_9"/>
      <w:bookmarkStart w:id="1045" w:name="Tc_01XfQVM9l0ueMCTxdJWkoQ_10_3"/>
      <w:bookmarkStart w:id="1046" w:name="Tc_hUFdfohNmEGt-26Gg0VVDA_10_0"/>
      <w:bookmarkStart w:id="1047" w:name="Tc_4TXPCVLFdkiQT6eEVUslqA_9_9"/>
      <w:bookmarkStart w:id="1048" w:name="Tc_bjLaYh4_ikGfFQBml1TE-Q_9_6"/>
      <w:bookmarkStart w:id="1049" w:name="Tc_udGXj9UvY0GGuybPj8qILA_9_0"/>
      <w:bookmarkStart w:id="1050" w:name="Tc_7tj-RFXljki0FUuebZTiiA_8_0"/>
      <w:bookmarkStart w:id="1051" w:name="Tc_nPW8EoPWikS8Fuc_EDvcqQ_7_9"/>
      <w:bookmarkStart w:id="1052" w:name="Tc_Bz-h8NMGZkSKQTmQbbfsww_7_6"/>
      <w:bookmarkStart w:id="1053" w:name="Tc_O2v1aXwCIESpZqZoNCNzWQ_7_0"/>
      <w:bookmarkStart w:id="1054" w:name="Tc_Gdijrq9gB0muIRZbKgVl2g_6_11"/>
      <w:bookmarkStart w:id="1055" w:name="Tc_CKb7xDIWckWErui1acOEYA_6_9"/>
      <w:bookmarkStart w:id="1056" w:name="Tc_iy_0L-SBjki3CDeWPYjb3w_6_8"/>
      <w:bookmarkStart w:id="1057" w:name="Tc_dzEfngQUtUSt_-1VunYAOQ_6_5"/>
      <w:bookmarkStart w:id="1058" w:name="Tc_0FW-LP9tOk2-fYOklQ06_w_6_3"/>
      <w:bookmarkStart w:id="1059" w:name="Tc_YxqvkNyd4ECvsQPC6fkXPg_6_2"/>
      <w:bookmarkStart w:id="1060" w:name="Tc_DHazgdzXL0u20XHlol9pPg_6_0"/>
      <w:bookmarkStart w:id="1061" w:name="Tc_GkY_Mc7LSkGqxbhtCsF17A_5_0"/>
      <w:bookmarkStart w:id="1062" w:name="Tc_RKqzZlAtz0eA2Em3YIrwGg_4_0"/>
      <w:bookmarkStart w:id="1063" w:name="Tc_keJfV9yHSkyGW4ErkumjWw_3_11"/>
      <w:bookmarkStart w:id="1064" w:name="Tc_ic0z0XGXqkqacA8xmymULg_3_8"/>
      <w:bookmarkStart w:id="1065" w:name="Tc_Razi78Z0n0iyvLZUsRFWqQ_3_5"/>
      <w:bookmarkStart w:id="1066" w:name="Tc_stXXgweQB0aR8Lb2TLTDlA_3_2"/>
      <w:bookmarkStart w:id="1067" w:name="Tc_VDiQScDsFEG3C2qjlkdR-A_2_2"/>
      <w:bookmarkStart w:id="1068" w:name="Tc_1ZOJNG5Xh0GOFwA-LCiYlQ_1_2"/>
      <w:bookmarkStart w:id="1069" w:name="_a4e173c8_1641_446b_b636_b1db74e440b3"/>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sz w:val="20"/>
        </w:rPr>
        <w:t>The following tables present information about the Company's financial assets measured at fair value on a recurring basis and indicate the level of the fair value hierarchy utilized to determine such fair value (in thousands):</w:t>
      </w:r>
    </w:p>
    <w:p>
      <w:pPr>
        <w:pStyle w:val="TextBody"/>
        <w:bidi w:val="0"/>
        <w:spacing w:before="0" w:after="0"/>
        <w:ind w:left="0" w:right="0" w:hanging="0"/>
        <w:jc w:val="left"/>
        <w:rPr/>
      </w:pPr>
      <w:r>
        <w:rPr/>
        <w:t>​</w:t>
      </w:r>
    </w:p>
    <w:tbl>
      <w:tblPr>
        <w:tblW w:w="9003" w:type="dxa"/>
        <w:jc w:val="left"/>
        <w:tblInd w:w="0" w:type="dxa"/>
        <w:tblLayout w:type="fixed"/>
        <w:tblCellMar>
          <w:top w:w="0" w:type="dxa"/>
          <w:left w:w="0" w:type="dxa"/>
          <w:bottom w:w="0" w:type="dxa"/>
          <w:right w:w="0" w:type="dxa"/>
        </w:tblCellMar>
      </w:tblPr>
      <w:tblGrid>
        <w:gridCol w:w="3976"/>
        <w:gridCol w:w="326"/>
        <w:gridCol w:w="211"/>
        <w:gridCol w:w="781"/>
        <w:gridCol w:w="326"/>
        <w:gridCol w:w="211"/>
        <w:gridCol w:w="781"/>
        <w:gridCol w:w="326"/>
        <w:gridCol w:w="211"/>
        <w:gridCol w:w="421"/>
        <w:gridCol w:w="326"/>
        <w:gridCol w:w="211"/>
        <w:gridCol w:w="89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24760" cy="175260"/>
                      <wp:effectExtent l="0" t="0" r="0" b="0"/>
                      <wp:wrapNone/>
                      <wp:docPr id="69" name="Frame6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5935" cy="175260"/>
                      <wp:effectExtent l="0" t="0" r="0" b="0"/>
                      <wp:wrapNone/>
                      <wp:docPr id="75"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7335" cy="175260"/>
                      <wp:effectExtent l="0" t="0" r="0" b="0"/>
                      <wp:wrapNone/>
                      <wp:docPr id="78" name="Frame7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68960" cy="175260"/>
                      <wp:effectExtent l="0" t="0" r="0" b="0"/>
                      <wp:wrapNone/>
                      <wp:docPr id="81" name="Frame8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0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 using:</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281,491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003" w:type="dxa"/>
        <w:jc w:val="left"/>
        <w:tblInd w:w="0" w:type="dxa"/>
        <w:tblLayout w:type="fixed"/>
        <w:tblCellMar>
          <w:top w:w="0" w:type="dxa"/>
          <w:left w:w="0" w:type="dxa"/>
          <w:bottom w:w="0" w:type="dxa"/>
          <w:right w:w="0" w:type="dxa"/>
        </w:tblCellMar>
      </w:tblPr>
      <w:tblGrid>
        <w:gridCol w:w="3976"/>
        <w:gridCol w:w="326"/>
        <w:gridCol w:w="211"/>
        <w:gridCol w:w="781"/>
        <w:gridCol w:w="326"/>
        <w:gridCol w:w="211"/>
        <w:gridCol w:w="781"/>
        <w:gridCol w:w="326"/>
        <w:gridCol w:w="211"/>
        <w:gridCol w:w="421"/>
        <w:gridCol w:w="326"/>
        <w:gridCol w:w="211"/>
        <w:gridCol w:w="89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24760" cy="175260"/>
                      <wp:effectExtent l="0" t="0" r="0" b="0"/>
                      <wp:wrapNone/>
                      <wp:docPr id="82" name="Frame8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5" name="Frame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67335" cy="175260"/>
                      <wp:effectExtent l="0" t="0" r="0" b="0"/>
                      <wp:wrapNone/>
                      <wp:docPr id="91" name="Frame9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8960" cy="175260"/>
                      <wp:effectExtent l="0" t="0" r="0" b="0"/>
                      <wp:wrapNone/>
                      <wp:docPr id="94" name="Frame9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0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 using:</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65,118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166,310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306,016</w:t>
            </w:r>
          </w:p>
        </w:tc>
      </w:tr>
    </w:tbl>
    <w:p>
      <w:pPr>
        <w:pStyle w:val="TextBody"/>
        <w:bidi w:val="0"/>
        <w:spacing w:before="0" w:after="0"/>
        <w:ind w:left="72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estimated fair value of the derivative asset relates to our Royalty Interest Financing Agreement (RIFA) with HealthCare Royalty Partners was determined using Level 3 inputs. The fair value measurement of the derivative asset is sensitive to changes in the unobservable inputs used to value the financial instrument. Changes in the inputs could result in changes to the fair value of each financial instrument.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embedded derivative asset associated with our deferred royalty obligation, as discussed further in Note 13, </w:t>
      </w:r>
      <w:r>
        <w:rPr>
          <w:rFonts w:ascii="Times New Roman;Times;serif" w:hAnsi="Times New Roman;Times;serif"/>
          <w:i/>
          <w:sz w:val="20"/>
        </w:rPr>
        <w:t>Long-Term Obligations</w:t>
      </w:r>
      <w:r>
        <w:rPr>
          <w:rFonts w:ascii="Times New Roman;Times;serif" w:hAnsi="Times New Roman;Times;serif"/>
          <w:sz w:val="20"/>
        </w:rPr>
        <w:t>, is measured at fair value using an option pricing Monte Carlo simulation model and is included as a component of the deferred royalty obligation on the condensed consolidated balance sheets. The embedded derivative asset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070" w:name="Tc_2YPO27IkrkOLRL-j8waXjA_8_11"/>
      <w:bookmarkStart w:id="1071" w:name="Tc_oEPhttT4PEmF1ng2y_zRig_8_8"/>
      <w:bookmarkStart w:id="1072" w:name="Tc_K-6RlTD5QkSmOag_-vnqOA_8_5"/>
      <w:bookmarkStart w:id="1073" w:name="Tc_10I3W7H3skSomI0UNj4lOw_8_2"/>
      <w:bookmarkStart w:id="1074" w:name="Tc_pd8GIQKhKkmvm9q6yyrgMA_7_0"/>
      <w:bookmarkStart w:id="1075" w:name="Tc_EbdJlCu4h0-KVpX4DpZ1zw_6_11"/>
      <w:bookmarkStart w:id="1076" w:name="Tc_9CyCsh0yAE2Il28FCj1smA_6_8"/>
      <w:bookmarkStart w:id="1077" w:name="Tc_66eV6UbCw0Kpi6MisB8nWw_6_5"/>
      <w:bookmarkStart w:id="1078" w:name="Tc_u6dpCd08QU2eBYS4I-G5SA_6_2"/>
      <w:bookmarkStart w:id="1079" w:name="Tc_eQFf9p7pGkiF0bcij-v4bg_6_0"/>
      <w:bookmarkStart w:id="1080" w:name="Tc_ToJRZh5urECV7BKORcni-w_5_0"/>
      <w:bookmarkStart w:id="1081" w:name="Tc_ztID_Cc0gEebCWkPHuEdWg_4_11"/>
      <w:bookmarkStart w:id="1082" w:name="Tc_wSz1iVXb60C8btqCn5pF-g_4_8"/>
      <w:bookmarkStart w:id="1083" w:name="Tc_O6WWTBnAD0GOVDPjEjhoYg_4_5"/>
      <w:bookmarkStart w:id="1084" w:name="Tc_zljqvIFGhU2xMB1IRbqM7w_4_2"/>
      <w:bookmarkStart w:id="1085" w:name="Tc_J7Ri1T2TxU6pIV92EmcBdg_3_11"/>
      <w:bookmarkStart w:id="1086" w:name="Tc_W_iYsiWAHEq5TNa51tVImA_3_8"/>
      <w:bookmarkStart w:id="1087" w:name="Tc_n20keyqaq0KETT70oOthDw_3_5"/>
      <w:bookmarkStart w:id="1088" w:name="Tc_FfHSBM00WEy8PX_nr-cbsQ_3_2"/>
      <w:bookmarkStart w:id="1089" w:name="Tc_f1NNMYuYtk2vX6LTi1aKVg_2_8"/>
      <w:bookmarkStart w:id="1090" w:name="Tc_EGl8Jdw3XEG9jcLdP2J0jQ_2_5"/>
      <w:bookmarkStart w:id="1091" w:name="Tc_O0l1IDMzYUGGjAWNC5W9oA_1_2"/>
      <w:bookmarkStart w:id="1092" w:name="_d5124986_0e8e_416e_8754_7dc339c4c167"/>
      <w:bookmarkStart w:id="1093" w:name="Tc_MaBSLbcVEEyt139yejwABQ_8_11"/>
      <w:bookmarkStart w:id="1094" w:name="Tc_uq7TlBX660W53VFF4J0YTg_8_8"/>
      <w:bookmarkStart w:id="1095" w:name="Tc_063EmnNv6UCeRp7DZZIvTQ_8_5"/>
      <w:bookmarkStart w:id="1096" w:name="Tc_IaagyiWfG0Knk5g-SKTdsw_8_2"/>
      <w:bookmarkStart w:id="1097" w:name="Tc_TYFGwXjXZk-GD_3RnTizTQ_7_0"/>
      <w:bookmarkStart w:id="1098" w:name="Tc_OP70jHT_ik2SAECL8uemPg_6_11"/>
      <w:bookmarkStart w:id="1099" w:name="Tc_XfpOmtoTa0ez9SCVlbhqBQ_6_8"/>
      <w:bookmarkStart w:id="1100" w:name="Tc_u9Vb9naiM02JvwkrXoF2dw_6_5"/>
      <w:bookmarkStart w:id="1101" w:name="Tc_qA8eSc3Aw0uaaeuvREjbZg_6_2"/>
      <w:bookmarkStart w:id="1102" w:name="Tc_O8Z9uXEmokCl2KdOUUI-qQ_6_0"/>
      <w:bookmarkStart w:id="1103" w:name="Tc_L66veqG6Tk-svWXnSEGxBA_5_0"/>
      <w:bookmarkStart w:id="1104" w:name="Tc_ggmHRU1dSEuzKQnHvOQrEw_4_11"/>
      <w:bookmarkStart w:id="1105" w:name="Tc_nJAvCtrbDE21IsZDr36FoA_4_8"/>
      <w:bookmarkStart w:id="1106" w:name="Tc_ocr8wa-E1ku41JjlY-Hs5g_4_5"/>
      <w:bookmarkStart w:id="1107" w:name="Tc_WRV0uvekjEOZmYPZzyF3LA_4_2"/>
      <w:bookmarkStart w:id="1108" w:name="Tc_v6JMR_-jMUyy4Apnbd7P5w_3_11"/>
      <w:bookmarkStart w:id="1109" w:name="Tc_w6V03hPRIEORVeD_u_E5Qw_3_8"/>
      <w:bookmarkStart w:id="1110" w:name="Tc_2PVXwHQuFUWu6p_2WF0ehA_3_5"/>
      <w:bookmarkStart w:id="1111" w:name="Tc_nWwwZ81qjU-6d05Pei3_iQ_3_2"/>
      <w:bookmarkStart w:id="1112" w:name="Tc_1GToG5kFykiL12_u_gfUAw_2_8"/>
      <w:bookmarkStart w:id="1113" w:name="Tc_Dl6rVDM360e1-ZpsQyklAA_2_5"/>
      <w:bookmarkStart w:id="1114" w:name="Tc_828SbusTaUSAzeZQ8a0SOg_1_2"/>
      <w:bookmarkStart w:id="1115" w:name="_124d0cd5_3c89_43cb_a977_9e8756788846"/>
      <w:bookmarkStart w:id="1116" w:name="Tc__9Qu3Omxt0u30V5gUnml4w_8_5"/>
      <w:bookmarkStart w:id="1117" w:name="Tc_tgVCqzm63UKkyH9I2teGiQ_8_2"/>
      <w:bookmarkStart w:id="1118" w:name="Tc_lVpFjWGuJU606DB8M9jwfQ_8_0"/>
      <w:bookmarkStart w:id="1119" w:name="Tc_wby65YZ7I0qkBt3FAmYXeg_7_3"/>
      <w:bookmarkStart w:id="1120" w:name="Tc_ory8DTBmfE-CC3JxTmCwfw_7_0"/>
      <w:bookmarkStart w:id="1121" w:name="Tc_0JqUzkZSvEysMVL4FbflkQ_6_3"/>
      <w:bookmarkStart w:id="1122" w:name="Tc_g6oiJvZEJE-vMdCrHnoA-w_6_0"/>
      <w:bookmarkStart w:id="1123" w:name="Tc_Mb42N5ir5km4mAa4PK_Lhg_5_0"/>
      <w:bookmarkStart w:id="1124" w:name="Tc_InyU72c-HUqjegQmWbYP0w_4_5"/>
      <w:bookmarkStart w:id="1125" w:name="Tc_HfjWKHa7R0mbDEz1msxgdA_4_2"/>
      <w:bookmarkStart w:id="1126" w:name="Tc_KAGmaCZuuEelWmfQlP-nOw_4_0"/>
      <w:bookmarkStart w:id="1127" w:name="Tc_of2_YA6yeE2H_Hfm74favA_3_5"/>
      <w:bookmarkStart w:id="1128" w:name="Tc_0nFq0ZlhxE-nxAkAf-5fhw_3_2"/>
      <w:bookmarkStart w:id="1129" w:name="Tc_05R--xJioUeWKZYHZsU7rA_2_2"/>
      <w:bookmarkStart w:id="1130" w:name="Tc_CDlSCwCc2UKLHsWcO-h4TA_1_2"/>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sz w:val="20"/>
        </w:rPr>
        <w:t>The following tables set forth a summary of the changes in the estimated fair value of our embedded derivative liability (asset) (in thousands):</w:t>
      </w:r>
    </w:p>
    <w:p>
      <w:pPr>
        <w:pStyle w:val="TextBody"/>
        <w:bidi w:val="0"/>
        <w:spacing w:before="0" w:after="0"/>
        <w:ind w:left="0" w:right="0" w:hanging="0"/>
        <w:jc w:val="left"/>
        <w:rPr/>
      </w:pPr>
      <w:r>
        <w:rPr/>
        <w:t>​</w:t>
      </w:r>
    </w:p>
    <w:tbl>
      <w:tblPr>
        <w:tblW w:w="7745" w:type="dxa"/>
        <w:jc w:val="left"/>
        <w:tblInd w:w="0" w:type="dxa"/>
        <w:tblLayout w:type="fixed"/>
        <w:tblCellMar>
          <w:top w:w="0" w:type="dxa"/>
          <w:left w:w="0" w:type="dxa"/>
          <w:bottom w:w="0" w:type="dxa"/>
          <w:right w:w="0" w:type="dxa"/>
        </w:tblCellMar>
      </w:tblPr>
      <w:tblGrid>
        <w:gridCol w:w="5611"/>
        <w:gridCol w:w="326"/>
        <w:gridCol w:w="211"/>
        <w:gridCol w:w="541"/>
        <w:gridCol w:w="109"/>
        <w:gridCol w:w="211"/>
        <w:gridCol w:w="736"/>
      </w:tblGrid>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43535" cy="175260"/>
                      <wp:effectExtent l="0" t="0" r="0" b="0"/>
                      <wp:wrapNone/>
                      <wp:docPr id="97" name="Frame9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67360" cy="175260"/>
                      <wp:effectExtent l="0" t="0" r="0" b="0"/>
                      <wp:wrapNone/>
                      <wp:docPr id="100" name="Frame1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aggregate estimated fair value of Level 3 liability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forward contract - Series A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Settlement of forward contract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aggregate estimated fair value of Level 3 liability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Company's marketable securities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30"/>
        <w:gridCol w:w="326"/>
        <w:gridCol w:w="211"/>
        <w:gridCol w:w="781"/>
        <w:gridCol w:w="326"/>
        <w:gridCol w:w="354"/>
        <w:gridCol w:w="532"/>
        <w:gridCol w:w="326"/>
        <w:gridCol w:w="318"/>
        <w:gridCol w:w="568"/>
        <w:gridCol w:w="326"/>
        <w:gridCol w:w="211"/>
        <w:gridCol w:w="896"/>
      </w:tblGrid>
      <w:tr>
        <w:trPr/>
        <w:tc>
          <w:tcPr>
            <w:tcW w:w="5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194050" cy="175260"/>
                      <wp:effectExtent l="0" t="0" r="0" b="0"/>
                      <wp:wrapNone/>
                      <wp:docPr id="101" name="Frame101"/>
                      <a:graphic xmlns:a="http://schemas.openxmlformats.org/drawingml/2006/main">
                        <a:graphicData uri="http://schemas.microsoft.com/office/word/2010/wordprocessingShape">
                          <wps:wsp>
                            <wps:cNvSpPr txBox="1"/>
                            <wps:spPr>
                              <a:xfrm>
                                <a:off x="0" y="0"/>
                                <a:ext cx="319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4790" cy="175260"/>
                      <wp:effectExtent l="0" t="0" r="0" b="0"/>
                      <wp:wrapNone/>
                      <wp:docPr id="106" name="Frame10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37820" cy="175260"/>
                      <wp:effectExtent l="0" t="0" r="0" b="0"/>
                      <wp:wrapNone/>
                      <wp:docPr id="107" name="Frame107"/>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1930" cy="175260"/>
                      <wp:effectExtent l="0" t="0" r="0" b="0"/>
                      <wp:wrapNone/>
                      <wp:docPr id="109" name="Frame10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0680" cy="175260"/>
                      <wp:effectExtent l="0" t="0" r="0" b="0"/>
                      <wp:wrapNone/>
                      <wp:docPr id="110" name="Frame110"/>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68960" cy="175260"/>
                      <wp:effectExtent l="0" t="0" r="0" b="0"/>
                      <wp:wrapNone/>
                      <wp:docPr id="113" name="Frame11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5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5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5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5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 (due within 1 year)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102,060</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102,035</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53,389</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53,409</w:t>
            </w:r>
          </w:p>
        </w:tc>
      </w:tr>
      <w:tr>
        <w:trPr/>
        <w:tc>
          <w:tcPr>
            <w:tcW w:w="5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155,449</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155,444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30"/>
        <w:gridCol w:w="326"/>
        <w:gridCol w:w="211"/>
        <w:gridCol w:w="781"/>
        <w:gridCol w:w="326"/>
        <w:gridCol w:w="295"/>
        <w:gridCol w:w="591"/>
        <w:gridCol w:w="326"/>
        <w:gridCol w:w="270"/>
        <w:gridCol w:w="616"/>
        <w:gridCol w:w="326"/>
        <w:gridCol w:w="211"/>
        <w:gridCol w:w="896"/>
      </w:tblGrid>
      <w:tr>
        <w:trPr/>
        <w:tc>
          <w:tcPr>
            <w:tcW w:w="5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194050" cy="175260"/>
                      <wp:effectExtent l="0" t="0" r="0" b="0"/>
                      <wp:wrapNone/>
                      <wp:docPr id="114" name="Frame114"/>
                      <a:graphic xmlns:a="http://schemas.openxmlformats.org/drawingml/2006/main">
                        <a:graphicData uri="http://schemas.microsoft.com/office/word/2010/wordprocessingShape">
                          <wps:wsp>
                            <wps:cNvSpPr txBox="1"/>
                            <wps:spPr>
                              <a:xfrm>
                                <a:off x="0" y="0"/>
                                <a:ext cx="319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7325" cy="175260"/>
                      <wp:effectExtent l="0" t="0" r="0" b="0"/>
                      <wp:wrapNone/>
                      <wp:docPr id="119" name="Frame11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75285" cy="175260"/>
                      <wp:effectExtent l="0" t="0" r="0" b="0"/>
                      <wp:wrapNone/>
                      <wp:docPr id="120" name="Frame12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1450" cy="175260"/>
                      <wp:effectExtent l="0" t="0" r="0" b="0"/>
                      <wp:wrapNone/>
                      <wp:docPr id="122" name="Frame12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91160" cy="175260"/>
                      <wp:effectExtent l="0" t="0" r="0" b="0"/>
                      <wp:wrapNone/>
                      <wp:docPr id="123" name="Frame12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8960" cy="175260"/>
                      <wp:effectExtent l="0" t="0" r="0" b="0"/>
                      <wp:wrapNone/>
                      <wp:docPr id="126" name="Frame12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5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5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5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 (due within 1 year)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166,255</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166,310</w:t>
            </w:r>
          </w:p>
        </w:tc>
      </w:tr>
      <w:tr>
        <w:trPr/>
        <w:tc>
          <w:tcPr>
            <w:tcW w:w="5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65,074</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65,118</w:t>
            </w:r>
          </w:p>
        </w:tc>
      </w:tr>
      <w:tr>
        <w:trPr/>
        <w:tc>
          <w:tcPr>
            <w:tcW w:w="5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231,329</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231,428</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131" w:name="Tc_UogvjCa9z06eBLsPO37H1w_4_19"/>
      <w:bookmarkStart w:id="1132" w:name="Tc_T4atfF7sI0auC71jEt0erQ_4_16"/>
      <w:bookmarkStart w:id="1133" w:name="Tc_GMYcIUldh0SiwZ05MmCdRA_4_13"/>
      <w:bookmarkStart w:id="1134" w:name="Tc_sLI1X-R-7k-GHSLlYNCX-A_4_10"/>
      <w:bookmarkStart w:id="1135" w:name="Tc_QYjVNmosC0yFfA0pnqAdmg_4_7"/>
      <w:bookmarkStart w:id="1136" w:name="Tc_xXiGUdC8EEicH5YC0umhrw_4_4"/>
      <w:bookmarkStart w:id="1137" w:name="Tc_q0FhJyxFc0G6yAcZxiXrLw_4_0"/>
      <w:bookmarkStart w:id="1138" w:name="Tc_myBC26IfTEiETYEpwFPSoA_2_19"/>
      <w:bookmarkStart w:id="1139" w:name="Tc_hbDzL8kunUyTTv08aSRzKA_2_16"/>
      <w:bookmarkStart w:id="1140" w:name="Tc_xTgbrfJrY0S1wDZfZgKtyQ_2_13"/>
      <w:bookmarkStart w:id="1141" w:name="Tc_QLYH9kOzFUWiG26Izsf2cQ_2_10"/>
      <w:bookmarkStart w:id="1142" w:name="Tc_VFf5tuSOZEepogd100ilDg_2_7"/>
      <w:bookmarkStart w:id="1143" w:name="Tc_pFevcer0NU-WQpOtysgI9w_2_4"/>
      <w:bookmarkStart w:id="1144" w:name="Tc_enZa7rfqp0eziLVdsPKe3w_2_2"/>
      <w:bookmarkStart w:id="1145" w:name="Tc_23AXQ8-8N0m-miWdHlS2vg_1_13"/>
      <w:bookmarkStart w:id="1146" w:name="Tc_AiNJsMOTG0WMPz6auoJKwA_1_4"/>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Times New Roman;Times;serif" w:hAnsi="Times New Roman;Times;serif"/>
          <w:b/>
          <w:sz w:val="20"/>
        </w:rPr>
        <w:t xml:space="preserve">7. Intangible Assets </w:t>
      </w:r>
    </w:p>
    <w:p>
      <w:pPr>
        <w:pStyle w:val="TextBody"/>
        <w:bidi w:val="0"/>
        <w:spacing w:before="0" w:after="0"/>
        <w:ind w:left="0" w:right="0" w:hanging="0"/>
        <w:jc w:val="left"/>
        <w:rPr/>
      </w:pPr>
      <w:r>
        <w:rPr/>
        <w:t>​</w:t>
      </w:r>
    </w:p>
    <w:tbl>
      <w:tblPr>
        <w:tblW w:w="10344" w:type="dxa"/>
        <w:jc w:val="left"/>
        <w:tblInd w:w="0" w:type="dxa"/>
        <w:tblLayout w:type="fixed"/>
        <w:tblCellMar>
          <w:top w:w="0" w:type="dxa"/>
          <w:left w:w="0" w:type="dxa"/>
          <w:bottom w:w="0" w:type="dxa"/>
          <w:right w:w="0" w:type="dxa"/>
        </w:tblCellMar>
      </w:tblPr>
      <w:tblGrid>
        <w:gridCol w:w="1066"/>
        <w:gridCol w:w="326"/>
        <w:gridCol w:w="1591"/>
        <w:gridCol w:w="326"/>
        <w:gridCol w:w="211"/>
        <w:gridCol w:w="571"/>
        <w:gridCol w:w="326"/>
        <w:gridCol w:w="270"/>
        <w:gridCol w:w="811"/>
        <w:gridCol w:w="326"/>
        <w:gridCol w:w="211"/>
        <w:gridCol w:w="571"/>
        <w:gridCol w:w="326"/>
        <w:gridCol w:w="211"/>
        <w:gridCol w:w="571"/>
        <w:gridCol w:w="326"/>
        <w:gridCol w:w="270"/>
        <w:gridCol w:w="811"/>
        <w:gridCol w:w="326"/>
        <w:gridCol w:w="211"/>
        <w:gridCol w:w="68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76910" cy="175895"/>
                      <wp:effectExtent l="0" t="0" r="0" b="0"/>
                      <wp:wrapNone/>
                      <wp:docPr id="127" name="Frame127"/>
                      <a:graphic xmlns:a="http://schemas.openxmlformats.org/drawingml/2006/main">
                        <a:graphicData uri="http://schemas.microsoft.com/office/word/2010/wordprocessingShape">
                          <wps:wsp>
                            <wps:cNvSpPr txBox="1"/>
                            <wps:spPr>
                              <a:xfrm>
                                <a:off x="0" y="0"/>
                                <a:ext cx="676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895"/>
                      <wp:effectExtent l="0" t="0" r="0" b="0"/>
                      <wp:wrapNone/>
                      <wp:docPr id="128" name="Frame12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010285" cy="175895"/>
                      <wp:effectExtent l="0" t="0" r="0" b="0"/>
                      <wp:wrapNone/>
                      <wp:docPr id="129" name="Frame129"/>
                      <a:graphic xmlns:a="http://schemas.openxmlformats.org/drawingml/2006/main">
                        <a:graphicData uri="http://schemas.microsoft.com/office/word/2010/wordprocessingShape">
                          <wps:wsp>
                            <wps:cNvSpPr txBox="1"/>
                            <wps:spPr>
                              <a:xfrm>
                                <a:off x="0" y="0"/>
                                <a:ext cx="1010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895"/>
                      <wp:effectExtent l="0" t="0" r="0" b="0"/>
                      <wp:wrapNone/>
                      <wp:docPr id="130" name="Frame13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895"/>
                      <wp:effectExtent l="0" t="0" r="0" b="0"/>
                      <wp:wrapNone/>
                      <wp:docPr id="131" name="Frame13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895"/>
                      <wp:effectExtent l="0" t="0" r="0" b="0"/>
                      <wp:wrapNone/>
                      <wp:docPr id="132" name="Frame13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895"/>
                      <wp:effectExtent l="0" t="0" r="0" b="0"/>
                      <wp:wrapNone/>
                      <wp:docPr id="133" name="Frame13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1450" cy="175895"/>
                      <wp:effectExtent l="0" t="0" r="0" b="0"/>
                      <wp:wrapNone/>
                      <wp:docPr id="134" name="Frame134"/>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14985" cy="175895"/>
                      <wp:effectExtent l="0" t="0" r="0" b="0"/>
                      <wp:wrapNone/>
                      <wp:docPr id="135" name="Frame135"/>
                      <a:graphic xmlns:a="http://schemas.openxmlformats.org/drawingml/2006/main">
                        <a:graphicData uri="http://schemas.microsoft.com/office/word/2010/wordprocessingShape">
                          <wps:wsp>
                            <wps:cNvSpPr txBox="1"/>
                            <wps:spPr>
                              <a:xfrm>
                                <a:off x="0" y="0"/>
                                <a:ext cx="514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895"/>
                      <wp:effectExtent l="0" t="0" r="0" b="0"/>
                      <wp:wrapNone/>
                      <wp:docPr id="136" name="Frame13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895"/>
                      <wp:effectExtent l="0" t="0" r="0" b="0"/>
                      <wp:wrapNone/>
                      <wp:docPr id="137" name="Frame13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895"/>
                      <wp:effectExtent l="0" t="0" r="0" b="0"/>
                      <wp:wrapNone/>
                      <wp:docPr id="138" name="Frame138"/>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895"/>
                      <wp:effectExtent l="0" t="0" r="0" b="0"/>
                      <wp:wrapNone/>
                      <wp:docPr id="139" name="Frame13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895"/>
                      <wp:effectExtent l="0" t="0" r="0" b="0"/>
                      <wp:wrapNone/>
                      <wp:docPr id="140" name="Frame14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2585" cy="175895"/>
                      <wp:effectExtent l="0" t="0" r="0" b="0"/>
                      <wp:wrapNone/>
                      <wp:docPr id="141" name="Frame141"/>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895"/>
                      <wp:effectExtent l="0" t="0" r="0" b="0"/>
                      <wp:wrapNone/>
                      <wp:docPr id="142" name="Frame14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1450" cy="175895"/>
                      <wp:effectExtent l="0" t="0" r="0" b="0"/>
                      <wp:wrapNone/>
                      <wp:docPr id="143" name="Frame143"/>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14985" cy="175895"/>
                      <wp:effectExtent l="0" t="0" r="0" b="0"/>
                      <wp:wrapNone/>
                      <wp:docPr id="144" name="Frame144"/>
                      <a:graphic xmlns:a="http://schemas.openxmlformats.org/drawingml/2006/main">
                        <a:graphicData uri="http://schemas.microsoft.com/office/word/2010/wordprocessingShape">
                          <wps:wsp>
                            <wps:cNvSpPr txBox="1"/>
                            <wps:spPr>
                              <a:xfrm>
                                <a:off x="0" y="0"/>
                                <a:ext cx="514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895"/>
                      <wp:effectExtent l="0" t="0" r="0" b="0"/>
                      <wp:wrapNone/>
                      <wp:docPr id="145" name="Frame14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895"/>
                      <wp:effectExtent l="0" t="0" r="0" b="0"/>
                      <wp:wrapNone/>
                      <wp:docPr id="146" name="Frame14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5610" cy="175895"/>
                      <wp:effectExtent l="0" t="0" r="0" b="0"/>
                      <wp:wrapNone/>
                      <wp:docPr id="147" name="Frame147"/>
                      <a:graphic xmlns:a="http://schemas.openxmlformats.org/drawingml/2006/main">
                        <a:graphicData uri="http://schemas.microsoft.com/office/word/2010/wordprocessingShape">
                          <wps:wsp>
                            <wps:cNvSpPr txBox="1"/>
                            <wps:spPr>
                              <a:xfrm>
                                <a:off x="0" y="0"/>
                                <a:ext cx="435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59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3297"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c>
          <w:tcPr>
            <w:tcW w:w="326" w:type="dxa"/>
            <w:tcBorders/>
            <w:vAlign w:val="center"/>
          </w:tcPr>
          <w:p>
            <w:pPr>
              <w:pStyle w:val="TableContents"/>
              <w:bidi w:val="0"/>
              <w:spacing w:before="1" w:after="1"/>
              <w:ind w:left="0" w:right="0" w:hanging="0"/>
              <w:jc w:val="left"/>
              <w:rPr/>
            </w:pPr>
            <w:r>
              <w:rPr/>
              <w:t>​</w:t>
            </w:r>
          </w:p>
        </w:tc>
        <w:tc>
          <w:tcPr>
            <w:tcW w:w="3412"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Estimated life (years)</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1"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1"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26" w:type="dxa"/>
            <w:tcBorders/>
            <w:vAlign w:val="center"/>
          </w:tcPr>
          <w:p>
            <w:pPr>
              <w:pStyle w:val="TableContents"/>
              <w:bidi w:val="0"/>
              <w:spacing w:before="1" w:after="1"/>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59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86" w:type="dxa"/>
            <w:tcBorders/>
            <w:vAlign w:val="center"/>
          </w:tcPr>
          <w:p>
            <w:pPr>
              <w:pStyle w:val="TableContents"/>
              <w:bidi w:val="0"/>
              <w:spacing w:before="1" w:after="1"/>
              <w:ind w:left="0" w:right="0" w:hanging="0"/>
              <w:jc w:val="center"/>
              <w:rPr/>
            </w:pPr>
            <w:r>
              <w:rPr/>
              <w:t>​</w:t>
            </w:r>
          </w:p>
        </w:tc>
      </w:tr>
      <w:tr>
        <w:trPr/>
        <w:tc>
          <w:tcPr>
            <w:tcW w:w="10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Capitalized Milestones</w:t>
            </w:r>
          </w:p>
        </w:tc>
        <w:tc>
          <w:tcPr>
            <w:tcW w:w="326" w:type="dxa"/>
            <w:tcBorders/>
            <w:shd w:fill="CCEEFF" w:val="clear"/>
            <w:vAlign w:val="center"/>
          </w:tcPr>
          <w:p>
            <w:pPr>
              <w:pStyle w:val="TableContents"/>
              <w:bidi w:val="0"/>
              <w:spacing w:before="1" w:after="1"/>
              <w:ind w:left="0" w:right="0" w:hanging="0"/>
              <w:jc w:val="left"/>
              <w:rPr/>
            </w:pPr>
            <w:r>
              <w:rPr/>
              <w:t>​</w:t>
            </w:r>
          </w:p>
        </w:tc>
        <w:tc>
          <w:tcPr>
            <w:tcW w:w="1591" w:type="dxa"/>
            <w:tcBorders/>
            <w:shd w:fill="CCEEFF" w:val="cle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(3,253)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(2,826)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6,174</w:t>
            </w:r>
          </w:p>
        </w:tc>
      </w:tr>
    </w:tbl>
    <w:p>
      <w:pPr>
        <w:pStyle w:val="TextBody"/>
        <w:bidi w:val="0"/>
        <w:spacing w:before="100" w:after="10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2025, the Company’s finite-lived net intangible assets, which totaled $5.7 million, resulted from the capitalization of certain milestone payments made to </w:t>
      </w:r>
      <w:r>
        <w:rPr>
          <w:rFonts w:ascii="Times New Roman;Times;serif" w:hAnsi="Times New Roman;Times;serif"/>
          <w:sz w:val="20"/>
          <w:shd w:fill="FFFFFF" w:val="clear"/>
        </w:rPr>
        <w:t>Ipsen Pharma, S.A.S., or Ipsen, in accordance with the terms of the Company’s license agreement with Ipsen, in</w:t>
      </w:r>
      <w:r>
        <w:rPr>
          <w:rFonts w:ascii="Times New Roman;Times;serif" w:hAnsi="Times New Roman;Times;serif"/>
          <w:sz w:val="20"/>
        </w:rPr>
        <w:t xml:space="preserve"> connection with the Company’s first commercial sale of IMCIVREE in the U.S. in March 2021 and in France in March 2022. </w:t>
      </w:r>
    </w:p>
    <w:p>
      <w:pPr>
        <w:pStyle w:val="TextBody"/>
        <w:bidi w:val="0"/>
        <w:spacing w:before="100" w:after="100"/>
        <w:ind w:left="0" w:right="0" w:firstLine="720"/>
        <w:jc w:val="both"/>
        <w:rPr/>
      </w:pPr>
      <w:r>
        <w:rPr/>
        <w:t>​</w:t>
      </w:r>
    </w:p>
    <w:p>
      <w:pPr>
        <w:pStyle w:val="TextBody"/>
        <w:bidi w:val="0"/>
        <w:spacing w:before="100" w:after="10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147" w:name="Tc_jl4ruKjV5UyG741Cbhq32g_7_2"/>
      <w:bookmarkStart w:id="1148" w:name="Tc_9xqNY-UOr0KVUOIPGXcsAg_7_0"/>
      <w:bookmarkStart w:id="1149" w:name="Tc_Pj1ag1mwBECPIz5ajgcGvg_6_0"/>
      <w:bookmarkStart w:id="1150" w:name="Tc_v1bAdM5tA0WuNb0HTmwRmw_5_0"/>
      <w:bookmarkStart w:id="1151" w:name="Tc_Yw_Dh0KME0eeLtTNqd7ieQ_4_0"/>
      <w:bookmarkStart w:id="1152" w:name="Tc_tx1j0Vj4fUGpTUnWXTA5iA_3_0"/>
      <w:bookmarkStart w:id="1153" w:name="Tc_t7iDS7oMdEKhq0b4CfQVww_2_0"/>
      <w:bookmarkStart w:id="1154" w:name="Tc_pwfp8biChU-Q6sFiQ96_Ow_1_2"/>
      <w:bookmarkStart w:id="1155" w:name="Tc_vaPh0r4pP06bnY1f321a6w_1_0"/>
      <w:bookmarkEnd w:id="1147"/>
      <w:bookmarkEnd w:id="1148"/>
      <w:bookmarkEnd w:id="1149"/>
      <w:bookmarkEnd w:id="1150"/>
      <w:bookmarkEnd w:id="1151"/>
      <w:bookmarkEnd w:id="1152"/>
      <w:bookmarkEnd w:id="1153"/>
      <w:bookmarkEnd w:id="1154"/>
      <w:bookmarkEnd w:id="1155"/>
      <w:r>
        <w:rPr>
          <w:rFonts w:ascii="Times New Roman;Times;serif" w:hAnsi="Times New Roman;Times;serif"/>
          <w:sz w:val="20"/>
        </w:rPr>
        <w:t>As of June 30, 2025, amortization expense for the next five years and beyond is summarized as follows (in thousands):</w:t>
      </w:r>
    </w:p>
    <w:p>
      <w:pPr>
        <w:pStyle w:val="TextBody"/>
        <w:bidi w:val="0"/>
        <w:spacing w:before="0" w:after="0"/>
        <w:ind w:left="0" w:right="0" w:hanging="0"/>
        <w:jc w:val="left"/>
        <w:rPr/>
      </w:pPr>
      <w:r>
        <w:rPr/>
        <w:t>​</w:t>
      </w:r>
    </w:p>
    <w:tbl>
      <w:tblPr>
        <w:tblW w:w="2522" w:type="dxa"/>
        <w:jc w:val="left"/>
        <w:tblInd w:w="0" w:type="dxa"/>
        <w:tblLayout w:type="fixed"/>
        <w:tblCellMar>
          <w:top w:w="0" w:type="dxa"/>
          <w:left w:w="0" w:type="dxa"/>
          <w:bottom w:w="0" w:type="dxa"/>
          <w:right w:w="0" w:type="dxa"/>
        </w:tblCellMar>
      </w:tblPr>
      <w:tblGrid>
        <w:gridCol w:w="1516"/>
        <w:gridCol w:w="109"/>
        <w:gridCol w:w="211"/>
        <w:gridCol w:w="6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62660" cy="175895"/>
                      <wp:effectExtent l="0" t="0" r="0" b="0"/>
                      <wp:wrapNone/>
                      <wp:docPr id="148" name="Frame148"/>
                      <a:graphic xmlns:a="http://schemas.openxmlformats.org/drawingml/2006/main">
                        <a:graphicData uri="http://schemas.microsoft.com/office/word/2010/wordprocessingShape">
                          <wps:wsp>
                            <wps:cNvSpPr txBox="1"/>
                            <wps:spPr>
                              <a:xfrm>
                                <a:off x="0" y="0"/>
                                <a:ext cx="962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895"/>
                      <wp:effectExtent l="0" t="0" r="0" b="0"/>
                      <wp:wrapNone/>
                      <wp:docPr id="149" name="Frame14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895"/>
                      <wp:effectExtent l="0" t="0" r="0" b="0"/>
                      <wp:wrapNone/>
                      <wp:docPr id="150" name="Frame15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5610" cy="175895"/>
                      <wp:effectExtent l="0" t="0" r="0" b="0"/>
                      <wp:wrapNone/>
                      <wp:docPr id="151" name="Frame151"/>
                      <a:graphic xmlns:a="http://schemas.openxmlformats.org/drawingml/2006/main">
                        <a:graphicData uri="http://schemas.microsoft.com/office/word/2010/wordprocessingShape">
                          <wps:wsp>
                            <wps:cNvSpPr txBox="1"/>
                            <wps:spPr>
                              <a:xfrm>
                                <a:off x="0" y="0"/>
                                <a:ext cx="435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5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 (remainder)</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15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15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15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15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15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15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5,747</w:t>
            </w:r>
          </w:p>
        </w:tc>
      </w:tr>
    </w:tbl>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Amortization expense totaled $0.2 million for each of the three months ended June 30, 2025 and 2024, respectively. Amortization expense totaled $0.4 million for each of the six months ended June 30, 2025 and 2024, respectively. Amortization expense is included in cost of sales in the condensed consolidated statements of operations and comprehensive loss. </w:t>
      </w:r>
    </w:p>
    <w:p>
      <w:pPr>
        <w:pStyle w:val="TextBody"/>
        <w:bidi w:val="0"/>
        <w:spacing w:before="100" w:after="100"/>
        <w:ind w:left="0" w:right="0" w:firstLine="720"/>
        <w:jc w:val="both"/>
        <w:rPr/>
      </w:pPr>
      <w:r>
        <w:rPr/>
        <w:t>​</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8. Income Taxes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an income tax provision of approximately $0.3 million and $0.5 million for the three months ending June 30, 2025, and 2024, respectively.  The Company recorded an income tax provision of approximately $0.4 million and $0.8 million for the six months ending June 30, 2025, and 2024, respectively. The income tax provision is a result of taxable income from the Company’s foreign jurisdictions. The Company expects to maintain a full valuation allowance against its net deferred tax assets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4, 2025, the One Big Beautiful Bill (“OBBB”) Act, which includes a broad range of tax reform provisions, was signed into law in the United States. The Company is currently evaluating the impact of OBBB on its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Series A Convertible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$147.8 million, net of $2.3 million of issuance costs, or $1,000 per share (the “Issuance”).  The Issuance closed on April 15,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Company determined the obligation to issue 150,000 shares of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to Perceptive and Investors in the future at a set price represented a forward contract which was required to be accounted for at fair value.</w:t>
      </w:r>
      <w:r>
        <w:rPr>
          <w:rFonts w:ascii="Times New Roman;Times;serif" w:hAnsi="Times New Roman;Times;serif"/>
          <w:sz w:val="20"/>
        </w:rPr>
        <w:t xml:space="preserve"> </w:t>
      </w:r>
      <w:r>
        <w:rPr>
          <w:rFonts w:ascii="Times New Roman;Times;serif" w:hAnsi="Times New Roman;Times;serif"/>
          <w:sz w:val="20"/>
          <w:shd w:fill="FFFFFF" w:val="clear"/>
        </w:rPr>
        <w:t xml:space="preserve">The fair value of the forward contract was measured as the difference between the fair value of the Convertible Preferred Stock, as determined using a binomial lattice valuation model, and the consideration payable to the Company. </w:t>
      </w:r>
      <w:r>
        <w:rPr>
          <w:rFonts w:ascii="Times New Roman;Times;serif" w:hAnsi="Times New Roman;Times;serif"/>
          <w:sz w:val="20"/>
        </w:rPr>
        <w:t xml:space="preserve">The assumptions used in the binomial lattice model include: (1) the Company’s common stock price on the issuance and settlement dates; (2) the Conversion Price as of $48.00 as per the Agreement; (3) a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to maturity; (4) an estimate of the Company’s credit risk-adjusted discount rate; and (5) volatility. </w:t>
      </w:r>
      <w:r>
        <w:rPr>
          <w:rFonts w:ascii="Times New Roman;Times;serif" w:hAnsi="Times New Roman;Times;serif"/>
          <w:sz w:val="20"/>
          <w:shd w:fill="FFFFFF" w:val="clear"/>
        </w:rPr>
        <w:t>The fair value of the forward contract upon issuance was determined to be $0. Upon closing, the value of the forward contract was determined to be $8.9 million and the fair value of the Convertible Preferred Stock was determined to be $141.1 million.</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June 30, 2025. </w:t>
      </w:r>
    </w:p>
    <w:p>
      <w:pPr>
        <w:pStyle w:val="TextBody"/>
        <w:bidi w:val="0"/>
        <w:spacing w:before="0" w:after="240"/>
        <w:ind w:left="0" w:right="0" w:firstLine="72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Convertible Preferred Stock has the following rights and privileges: </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Liquidation: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Convertible Preferred Stock will rank senior to the Company’s common stock with respect to the distribution of assets upon the Company’s liquidation, dissolution or winding up.</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Voting:</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Redemption:</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the right to redeem all Convertible Preferred Stock after the Redemption Trigger Date, which is the fifth anniversary of the Initial Issue Date of April 15, 2024.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If a change of control occurs, each holder shall have the right to require the Company to repurchase all, or any whole number of shares that is less than all, of the holder’s Convertible Preferred Stock at an amount equal to 1.75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multiplied by the sum of the Liquidation Preference (i.e., Initial Liquidation Preference of $1,000 per share plus PIK Dividends) plus any unpaid Regular Dividends (to the extent such accumulated and unpaid Regular Dividends are not included in such Liquidation Preference).  As of June 30, 2025, the Company did not adjust the carrying value of the Convertible Preferred Stock to its redemption value, since a change of control was determined to not be probable. </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After the second anniversary, dividends on the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accrue quarterly, at a 6% annual rate, and if not paid out in cash before the quarter end, will become PIK Dividends and added to the liquidation preference, or original issue price plus PIK Dividends.  Since dividends do not commence until the second anniversary of the Issuance, the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is considered increasing rate preferred stock.  Accordingly, the Company accretes the dividends, using the effective interest method, from Issuance to the first contractual call date, April 15, 2029.  The Company accrued dividends of $2.7 million for the six months ended June 30, 2025, as a reduction to Additional Paid-In Capital and an increase to the carrying value of </w:t>
      </w:r>
      <w:r>
        <w:rPr>
          <w:rFonts w:ascii="Times New Roman;Times;serif" w:hAnsi="Times New Roman;Times;serif"/>
          <w:sz w:val="20"/>
        </w:rPr>
        <w:t>Convertible Preferred Stock.  </w:t>
      </w:r>
      <w:r>
        <w:rPr>
          <w:rFonts w:ascii="Times New Roman;Times;serif" w:hAnsi="Times New Roman;Times;serif"/>
          <w:sz w:val="20"/>
          <w:shd w:fill="FFFFFF" w:val="clear"/>
        </w:rPr>
        <w:t xml:space="preserve">The carrying value of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as of June 30, 2025 is $145.5 million.</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Conversions: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Holders of Convertible Preferred Stock</w:t>
      </w:r>
      <w:r>
        <w:rPr>
          <w:rFonts w:ascii="Times New Roman;Times;serif" w:hAnsi="Times New Roman;Times;serif"/>
          <w:sz w:val="20"/>
          <w:shd w:fill="FFFFFF" w:val="clear"/>
        </w:rPr>
        <w:t xml:space="preserve"> </w:t>
      </w:r>
      <w:r>
        <w:rPr>
          <w:rFonts w:ascii="Times New Roman;Times;serif" w:hAnsi="Times New Roman;Times;serif"/>
          <w:sz w:val="20"/>
        </w:rPr>
        <w:t>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10, 2024, the Company filed with the Securities Exchange Commission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As of June 30, 2025, an aggregate of </w:t>
      </w:r>
      <w:r>
        <w:rPr>
          <w:rFonts w:ascii="Times New Roman;Times;serif" w:hAnsi="Times New Roman;Times;serif"/>
          <w:sz w:val="20"/>
        </w:rPr>
        <w:t>16,174,070</w:t>
      </w:r>
      <w:r>
        <w:rPr>
          <w:rFonts w:ascii="Times New Roman;Times;serif" w:hAnsi="Times New Roman;Times;serif"/>
          <w:sz w:val="20"/>
          <w:shd w:fill="FFFFFF" w:val="clear"/>
        </w:rPr>
        <w:t xml:space="preserve"> shares of common stock were reserved for issuance under the Company’s stock plans, which include stock options, restricted stock units, and performance stock units that have been granted covering 9,883,607 shares of common stock, as well as 5,002,335 of shares available under the Company’s </w:t>
      </w:r>
      <w:r>
        <w:rPr>
          <w:rFonts w:ascii="Times New Roman;Times;serif" w:hAnsi="Times New Roman;Times;serif"/>
          <w:sz w:val="20"/>
        </w:rPr>
        <w:t>2017 Equity Incentive Plan (the “2017 Plan”)</w:t>
      </w:r>
      <w:r>
        <w:rPr>
          <w:rFonts w:ascii="Times New Roman;Times;serif" w:hAnsi="Times New Roman;Times;serif"/>
          <w:sz w:val="20"/>
          <w:shd w:fill="FFFFFF" w:val="clear"/>
        </w:rPr>
        <w:t xml:space="preserve"> and 1,256,597 </w:t>
      </w:r>
      <w:r>
        <w:rPr>
          <w:rFonts w:ascii="Times New Roman;Times;serif" w:hAnsi="Times New Roman;Times;serif"/>
          <w:sz w:val="20"/>
        </w:rPr>
        <w:t xml:space="preserve">shares of common stock available for future grants under the Company’s Employee Stock Purchase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as of June 30, 2025, 3,125,000</w:t>
      </w:r>
      <w:r>
        <w:rPr>
          <w:rFonts w:ascii="Times New Roman;Times;serif" w:hAnsi="Times New Roman;Times;serif"/>
          <w:sz w:val="20"/>
          <w:shd w:fill="FFFFFF" w:val="clear"/>
        </w:rPr>
        <w:t xml:space="preserve"> shares of common stock were reserved for issuance to satisfy the estimated 3,124,995 shares of common stock issuable upon conversion of</w:t>
      </w:r>
      <w:r>
        <w:rPr>
          <w:rFonts w:ascii="Times New Roman;Times;serif" w:hAnsi="Times New Roman;Times;serif"/>
          <w:sz w:val="20"/>
        </w:rPr>
        <w:t xml:space="preserve"> the </w:t>
      </w:r>
      <w:r>
        <w:rPr>
          <w:rFonts w:ascii="Times New Roman;Times;serif" w:hAnsi="Times New Roman;Times;serif"/>
          <w:sz w:val="20"/>
          <w:shd w:fill="FFFFFF" w:val="clear"/>
        </w:rPr>
        <w:t>150,000 shares of Convertible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29, 2024, the Company and Cowen and Company, LLC (“Cowen”) entered into Amendment No. 1 to Sales Agreement (the “Amendment”) to increase the aggregate offering price of the shares of common stock that may be issued and sold pursuant to the Sales Agreement to $200.0 million (excluding the aggregate offering price of shares of common stock 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  Between December 10, 2024 and December 31, 2024, the Company sold 744,595 shares of common stock in the ATM Program for net proceeds of $41.2 million.  Between January 1, 2025 and January 21, 2025, the Company sold an additional 587,510 shares of common stock in the ATM Program for net proceeds of approximately $32.1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4, 2024, the Company issued 432,143 shares of common stock as partial consideration for its acquisition of the worldwide rights to LGC’s proprietary compound bivamelagon.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June 30, 2025, 548,390 stock option awards and 412,065 restricted stock unit awards have been granted under the Inducement Plan, net of forfeitures. As of June 30, 2025, 39,545 shares of common stock are available for future grant under the Inducement Plan.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Related-Party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Expenses paid directly to related parties for the three and six months ended June 30, 2025 and 2024, were immaterial. Outstanding payments due to related parties as of June 30, 2025 and December 31, 2024 were also immaterial.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12. Significant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RareStone</w:t>
      </w:r>
      <w:r>
        <w:rPr>
          <w:rFonts w:ascii="Times New Roman;Times;serif" w:hAnsi="Times New Roman;Times;serif"/>
          <w:sz w:val="20"/>
        </w:rPr>
        <w:t xml:space="preserve"> </w:t>
      </w:r>
      <w:r>
        <w:rPr>
          <w:rFonts w:ascii="Times New Roman;Times;serif" w:hAnsi="Times New Roman;Times;serif"/>
          <w:i/>
          <w:sz w:val="20"/>
        </w:rPr>
        <w:t>Group Ltd.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March 14, 2025, we entered into a termination agreement (the “Termination Agreement”) with RareStone Group Ltd. (“RareStone”) and RareStone Medicine (Shenzhen) Co., Ltd. (“RareStone Shenzhen”), pursuant to which the Company, RareStone and RareStone Shenzhen have mutually agreed to terminate (i) the Exclusive License Agreement between the Company and RareStone, dated December 3, 2021 (the “License Agreement”); and (ii) the Share Purchase Agreement between the Company and RareStone, dated December 3, 2021 (the “Share Purchase Agreement”, and with the License Agreement the “RareStone Agreements”).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Under the Termination Agreement, the Company agreed to pay $6.3 million as a repayment of a portion of the upfront payment made pursuant to Section 7.1 of the License Agreement.  In connection with the Termination Agreement, the Company and RareStone also entered into a Share Repurchase Agreement dated March 14, 2025, pursuant to which the Company has agreed to convey all of the shares acquired under the original Share Purchase Agreement back to RareStone, for no additional consideration.  The Company had previously written off the value of the shares in the year ended December 31, 2022.  Prior to executing the termination agreement, the Company had recorded $1.3 million of deferred revenue related to this arrangement for unsatisfied performance obligations. As a result of the Termination Agreement, the Company recognized the $6.3 million paid to RareStone as a reduction in previously-recognized license revenue as it represented consideration paid to a customer, and recognized all existing deferred revenue resulting in a net reduction in license revenue of $5.0 million.</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Termination Agreement, the RareStone Agreements were terminated and all rights and obligations under such agreements ceased.  In addition, each party to the Termination Agreement discharged and released the other parties, subsidiaries, divisions, affiliates, predecessors, successors, and each of their past and present officers, directors, employees, attorneys, agents, affiliates, assigns, and representatives of and from any and all claims, demands, actions, or causes of action, known or unknown, contingent or non-contingent, which the parties may or might have against them, by reason of any general, special, or consequential damages, losses, or potential losses, arising out of and/or relating to the RareStone Agreements.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13. Long-Term Obligations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 million, or the Investment Amount. Under the terms of the RIFA, we received $37.5 million on June 29, 2022 upon FDA approval of IMCIVREE in BBS, referred to as the Initial Investment Amount, and we received an additional $37.5 million on September 29, 2022 of the Investment Amount upon EMA approval for BBS.  On September 12, 2023, we received the remaining $24.4 million of the Investment Amount, net of debt issuance costs, following the achievement of a specified amount of cumulative net sales of IMCIVREE between July 1, 2022 and September 30, 2023.</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$8.9 million in the six months ended June 30, 2025.  As of June 30, 2025 we have made cumulative payments of $29.4 million.</w:t>
      </w:r>
    </w:p>
    <w:p>
      <w:pPr>
        <w:pStyle w:val="TextBody"/>
        <w:bidi w:val="0"/>
        <w:spacing w:before="0" w:after="160"/>
        <w:ind w:left="0" w:right="0" w:firstLine="720"/>
        <w:jc w:val="both"/>
        <w:rPr>
          <w:rFonts w:ascii="Times New Roman;Times;serif" w:hAnsi="Times New Roman;Times;serif"/>
          <w:sz w:val="20"/>
        </w:rPr>
      </w:pPr>
      <w:r>
        <w:rPr>
          <w:rFonts w:ascii="TimesNewRoman,Italic" w:hAnsi="TimesNewRoman,Italic"/>
          <w:sz w:val="20"/>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w:t>
      </w:r>
      <w:r>
        <w:rPr>
          <w:rFonts w:ascii="Times New Roman;Times;serif" w:hAnsi="Times New Roman;Times;serif"/>
          <w:sz w:val="20"/>
        </w:rPr>
        <w:t xml:space="preserve"> </w:t>
      </w:r>
      <w:r>
        <w:rPr>
          <w:rFonts w:ascii="TimesNewRoman,Italic" w:hAnsi="TimesNewRoman,Italic"/>
          <w:sz w:val="20"/>
        </w:rPr>
        <w:t>and 250%</w:t>
      </w:r>
      <w:r>
        <w:rPr>
          <w:rFonts w:ascii="Times New Roman;Times;serif" w:hAnsi="Times New Roman;Times;serif"/>
          <w:sz w:val="20"/>
        </w:rPr>
        <w:t xml:space="preserve"> </w:t>
      </w:r>
      <w:r>
        <w:rPr>
          <w:rFonts w:ascii="TimesNewRoman,Italic" w:hAnsi="TimesNewRoman,Italic"/>
          <w:sz w:val="20"/>
        </w:rPr>
        <w:t>of the Investment Amount paid, dependent on the aggregate royalty paid between 2028 and 2032. If a change of control occurs, the Investors may accelerate payments due under the RIFA up to the Hard Cap plus any other obligations payable under the RIFA.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repayment period commenced on July 8, 2022 for the Initial Investment Amount, and expires on the earlier of (i) 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w:t>
      </w:r>
      <w:r>
        <w:rPr>
          <w:rFonts w:ascii="Times New Roman;Times;serif" w:hAnsi="Times New Roman;Times;serif"/>
          <w:i/>
          <w:sz w:val="20"/>
        </w:rPr>
        <w:t>Summary of Significant Accounting Policies</w:t>
      </w:r>
      <w:r>
        <w:rPr>
          <w:rFonts w:ascii="Times New Roman;Times;serif" w:hAnsi="Times New Roman;Times;serif"/>
          <w:sz w:val="20"/>
        </w:rPr>
        <w:t>, to our condensed consolidated financial statements. The aggregate fair value of the embedded derivative asset (liability) was $0.7 million and $0.3 million as of June 30, 2025 and December 31, 2024, respectively. We will remeasure the embedded derivative to fair value each reporting period until the time the features lapse and/or termination of the deferred royalty obligation. For the three months ended June 30, 2025 and 2024, we recognized other income of $0.5 million and $0.3 million, respectively, due to the remeasurement of the embedded derivative liability. For the six months ended June 30, 2025 and 2024, we recognized other income of $0.4 million and $0.8 million, respectively, due to the remeasurement of the embedded derivative liability or asset.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carrying value of the deferred royalty obligation as of June 30, 2025 was $109.8 million based on $100.0 million of proceeds, net of the fair value of the bifurcated embedded derivative liability upon execution of the RIFA, and debt issuance costs incurred. The carrying value is classified as $3.8 million within current liabilities and $106.0 million within long-term liabilities on the consolidated balance sheet as of June 30, 2025.  The carrying value of the deferred royalty obligation approximated fair value as of June 30, 2025 and December 31, 2024. The effective interest rate as of June 30, 2025 was 17.01%. In connection with the deferred royalty obligation, we incurred debt issuance costs totaling $3.3 million.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Commitments and Contingencies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is party to various agreements, principally relating to licensed technology, that require future payments relating to milestones whose achievement may become probable in subsequent periods, or royalties on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specified products.  Additionally, the Company is party to various contracts with CROs and CMOs that generally provide for termination on notice, with the exact amounts in the event of termination to be based on the timing of the termination and the terms of the agreement. Based on the Company’s current development plans as of June 30, 2025, the Company does not deem it probable that we will make material milestone payments to third parties during the next 12 months from the filing of this Form 10-Q,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w:t>
      </w:r>
    </w:p>
    <w:p>
      <w:pPr>
        <w:pStyle w:val="TextBody"/>
        <w:bidi w:val="0"/>
        <w:spacing w:before="0" w:after="0"/>
        <w:ind w:left="0" w:right="0" w:firstLine="720"/>
        <w:jc w:val="left"/>
        <w:rPr/>
      </w:pPr>
      <w:r>
        <w:rPr/>
        <w:t>​</w:t>
      </w:r>
    </w:p>
    <w:p>
      <w:pPr>
        <w:pStyle w:val="TextBody"/>
        <w:bidi w:val="0"/>
        <w:spacing w:before="0" w:after="240"/>
        <w:ind w:left="0" w:right="0" w:hanging="0"/>
        <w:jc w:val="both"/>
        <w:rPr>
          <w:rFonts w:ascii="Times New Roman;Times;serif" w:hAnsi="Times New Roman;Times;serif"/>
          <w:b/>
          <w:sz w:val="20"/>
        </w:rPr>
      </w:pPr>
      <w:bookmarkStart w:id="1156" w:name="Tc_fIv5BMU910-cgrj131zP1A_18_11"/>
      <w:bookmarkStart w:id="1157" w:name="Tc_6taqG-aVcEiNp_SihnJrdw_18_8"/>
      <w:bookmarkStart w:id="1158" w:name="Tc_Z3gkDPcRS0Gr2WFPwavwzQ_18_5"/>
      <w:bookmarkStart w:id="1159" w:name="Tc_YxepMN1_pkGr62kCTnAaSg_18_2"/>
      <w:bookmarkStart w:id="1160" w:name="Tc_1V-mvD5InUCSmgm7BJYXWQ_18_0"/>
      <w:bookmarkStart w:id="1161" w:name="Tc_anrdYNGAt0iUFeqjOmHUUA_17_0"/>
      <w:bookmarkStart w:id="1162" w:name="Tc_mYjUW0fmQEW6UpBQSgb4dg_16_0"/>
      <w:bookmarkStart w:id="1163" w:name="Tc_iLlmNzwSb06zbFO0p7rdCQ_15_0"/>
      <w:bookmarkStart w:id="1164" w:name="Tc_Ygrqd0X2Zk6m2in0JCzkdw_14_9"/>
      <w:bookmarkStart w:id="1165" w:name="Tc_B_HMB0g6-EGQkDlW3TV2-A_14_6"/>
      <w:bookmarkStart w:id="1166" w:name="Tc_GdIPq2GdvEOiiSrxGNz03w_14_3"/>
      <w:bookmarkStart w:id="1167" w:name="Tc_I2GshsGWkUKCZ2t5BXgSgg_14_0"/>
      <w:bookmarkStart w:id="1168" w:name="Tc_jL6Z95KHr0KZYa6Ny2KVzg_13_0"/>
      <w:bookmarkStart w:id="1169" w:name="Tc_Z0EVwLDtPUeK1_4LZg18yw_12_0"/>
      <w:bookmarkStart w:id="1170" w:name="Tc_qMqSCqRI2Uaxr3touFxvmA_11_0"/>
      <w:bookmarkStart w:id="1171" w:name="Tc_QMEp-U7rh0mjIOQokcpb8w_10_0"/>
      <w:bookmarkStart w:id="1172" w:name="Tc_9uVqtehVAU22Jn0Qw5I9lg_9_0"/>
      <w:bookmarkStart w:id="1173" w:name="Tc_f3XXhHdtf0eaDoqeYbjnEQ_7_0"/>
      <w:bookmarkStart w:id="1174" w:name="Tc_5zFIyYeQekadKpEGtcQuzg_6_12"/>
      <w:bookmarkStart w:id="1175" w:name="Tc_oMdyuHz25EeNfNgNspP11A_6_6"/>
      <w:bookmarkStart w:id="1176" w:name="Tc_A1U7LRexakC1_4fPfuu3Ng_6_3"/>
      <w:bookmarkStart w:id="1177" w:name="Tc_Q_rJUWvxfU-aEWx59wwfjw_6_0"/>
      <w:bookmarkStart w:id="1178" w:name="Tc_8sOqzu9Io0ylUcHfhzFbow_5_0"/>
      <w:bookmarkStart w:id="1179" w:name="Tc_XVpE2WAxf0a1IFH9WiYAIw_4_0"/>
      <w:bookmarkStart w:id="1180" w:name="Tc_1xjxr36Y2EyLmInAi6qOfA_3_11"/>
      <w:bookmarkStart w:id="1181" w:name="Tc_-PdEbAB1bE2cRowANeoElQ_3_8"/>
      <w:bookmarkStart w:id="1182" w:name="Tc_vrrSbCaheEu3J1op7soxHg_3_5"/>
      <w:bookmarkStart w:id="1183" w:name="Tc_DA5LLjuGdEezG6XrO1OEvA_3_2"/>
      <w:bookmarkStart w:id="1184" w:name="Tc_zQxcMZja_Uq9J4JjHRgpnA_3_0"/>
      <w:bookmarkStart w:id="1185" w:name="Tc_pg6dkDj33UGG-oqNSvxVcQ_2_11"/>
      <w:bookmarkStart w:id="1186" w:name="Tc_Z-tFJ7OGNkKMrh0DA63iKQ_2_8"/>
      <w:bookmarkStart w:id="1187" w:name="Tc_5-l_AjMQn0CT3aW3GzQ4xQ_2_5"/>
      <w:bookmarkStart w:id="1188" w:name="Tc_ky12Dbyu3kiQZLs4Ocyy_w_2_2"/>
      <w:bookmarkStart w:id="1189" w:name="Tc_Ldm72YwptkCZNTZ4oQFwuA_1_8"/>
      <w:bookmarkStart w:id="1190" w:name="Tc_Eb5MnJYuikGP0UZL1SOX5Q_1_2"/>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b/>
          <w:sz w:val="20"/>
        </w:rPr>
        <w:t>15. Segment and Geographic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six 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is a summary of the segment profit or loss, including significant segment expenses (in thousands):</w:t>
      </w:r>
    </w:p>
    <w:p>
      <w:pPr>
        <w:pStyle w:val="TextBody"/>
        <w:bidi w:val="0"/>
        <w:spacing w:before="0" w:after="0"/>
        <w:ind w:left="0" w:right="0" w:hanging="0"/>
        <w:jc w:val="left"/>
        <w:rPr/>
      </w:pPr>
      <w:r>
        <w:rPr/>
        <w:t>​</w:t>
      </w:r>
    </w:p>
    <w:tbl>
      <w:tblPr>
        <w:tblW w:w="8610" w:type="dxa"/>
        <w:jc w:val="left"/>
        <w:tblInd w:w="0" w:type="dxa"/>
        <w:tblLayout w:type="fixed"/>
        <w:tblCellMar>
          <w:top w:w="0" w:type="dxa"/>
          <w:left w:w="0" w:type="dxa"/>
          <w:bottom w:w="0" w:type="dxa"/>
          <w:right w:w="0" w:type="dxa"/>
        </w:tblCellMar>
      </w:tblPr>
      <w:tblGrid>
        <w:gridCol w:w="3901"/>
        <w:gridCol w:w="109"/>
        <w:gridCol w:w="220"/>
        <w:gridCol w:w="832"/>
        <w:gridCol w:w="114"/>
        <w:gridCol w:w="220"/>
        <w:gridCol w:w="832"/>
        <w:gridCol w:w="109"/>
        <w:gridCol w:w="211"/>
        <w:gridCol w:w="796"/>
        <w:gridCol w:w="109"/>
        <w:gridCol w:w="211"/>
        <w:gridCol w:w="9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77135" cy="175260"/>
                      <wp:effectExtent l="0" t="0" r="0" b="0"/>
                      <wp:wrapNone/>
                      <wp:docPr id="152" name="Frame152"/>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9700" cy="175260"/>
                      <wp:effectExtent l="0" t="0" r="0" b="0"/>
                      <wp:wrapNone/>
                      <wp:docPr id="154" name="Frame1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8320" cy="175260"/>
                      <wp:effectExtent l="0" t="0" r="0" b="0"/>
                      <wp:wrapNone/>
                      <wp:docPr id="155" name="Frame15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2390" cy="175260"/>
                      <wp:effectExtent l="0" t="0" r="0" b="0"/>
                      <wp:wrapNone/>
                      <wp:docPr id="156" name="Frame156"/>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9700" cy="175260"/>
                      <wp:effectExtent l="0" t="0" r="0" b="0"/>
                      <wp:wrapNone/>
                      <wp:docPr id="157" name="Frame15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8320" cy="175260"/>
                      <wp:effectExtent l="0" t="0" r="0" b="0"/>
                      <wp:wrapNone/>
                      <wp:docPr id="158" name="Frame158"/>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05460" cy="175260"/>
                      <wp:effectExtent l="0" t="0" r="0" b="0"/>
                      <wp:wrapNone/>
                      <wp:docPr id="161" name="Frame1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00710" cy="175260"/>
                      <wp:effectExtent l="0" t="0" r="0" b="0"/>
                      <wp:wrapNone/>
                      <wp:docPr id="164" name="Frame16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center"/>
              <w:rPr/>
            </w:pPr>
            <w:r>
              <w:rPr/>
              <w:t>​</w:t>
            </w:r>
          </w:p>
        </w:tc>
        <w:tc>
          <w:tcPr>
            <w:tcW w:w="221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1"/>
              <w:ind w:left="0" w:right="0" w:hanging="0"/>
              <w:jc w:val="left"/>
              <w:rPr/>
            </w:pPr>
            <w:r>
              <w:rPr/>
              <w:t>​</w:t>
            </w:r>
          </w:p>
        </w:tc>
        <w:tc>
          <w:tcPr>
            <w:tcW w:w="227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4"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 - U.S.</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31,982</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41,080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 - International</w:t>
            </w:r>
          </w:p>
        </w:tc>
        <w:tc>
          <w:tcPr>
            <w:tcW w:w="109" w:type="dxa"/>
            <w:tcBorders/>
            <w:vAlign w:val="center"/>
          </w:tcPr>
          <w:p>
            <w:pPr>
              <w:pStyle w:val="TableContents"/>
              <w:bidi w:val="0"/>
              <w:spacing w:before="0" w:after="1"/>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16,520</w:t>
            </w:r>
          </w:p>
        </w:tc>
        <w:tc>
          <w:tcPr>
            <w:tcW w:w="114"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net product revenue </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48,502</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109" w:type="dxa"/>
            <w:tcBorders/>
            <w:vAlign w:val="center"/>
          </w:tcPr>
          <w:p>
            <w:pPr>
              <w:pStyle w:val="TableContents"/>
              <w:bidi w:val="0"/>
              <w:spacing w:before="0" w:after="1"/>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revenue, net </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48,502</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Global headcount expense </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39,892</w:t>
            </w:r>
          </w:p>
        </w:tc>
        <w:tc>
          <w:tcPr>
            <w:tcW w:w="114"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57,676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Preclinical, clinical and development expense </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22,946</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35,780</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&amp; medical affairs </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17,030</w:t>
            </w:r>
          </w:p>
        </w:tc>
        <w:tc>
          <w:tcPr>
            <w:tcW w:w="114"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27,112</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Corporate, general &amp; administrative </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8,387</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expenses</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92,654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w:t>
            </w:r>
          </w:p>
        </w:tc>
        <w:tc>
          <w:tcPr>
            <w:tcW w:w="114"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109" w:type="dxa"/>
            <w:tcBorders/>
            <w:shd w:fill="CCEEFF" w:val="clear"/>
            <w:vAlign w:val="center"/>
          </w:tcPr>
          <w:p>
            <w:pPr>
              <w:pStyle w:val="TableContents"/>
              <w:bidi w:val="0"/>
              <w:spacing w:before="0" w:after="1"/>
              <w:ind w:left="0" w:right="0" w:hanging="0"/>
              <w:jc w:val="center"/>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114"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(46,632)</w:t>
            </w:r>
          </w:p>
        </w:tc>
        <w:tc>
          <w:tcPr>
            <w:tcW w:w="114"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(173,633)</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segment expenses is composed of acquired in-process research and development costs associated with the acquisition of LGC’s proprietary compound bivamelagon in the three months ended March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191" w:name="Tc_9xxsPQsLykiN8oAWrRSNKw_5_11"/>
      <w:bookmarkStart w:id="1192" w:name="Tc_73Hl5rsbSUC_QMkvGSLoBw_5_8"/>
      <w:bookmarkStart w:id="1193" w:name="Tc_hnJNYL6LS0GDLvvT8VlrNw_5_5"/>
      <w:bookmarkStart w:id="1194" w:name="Tc_QEQj_PGFL0CoiEmLzcYCzQ_5_2"/>
      <w:bookmarkStart w:id="1195" w:name="Tc_o5K20Gr2qUWUiT8ptUIW5A_5_0"/>
      <w:bookmarkStart w:id="1196" w:name="Tc_qfv7wEoW5UiD9LZSajTMXg_4_0"/>
      <w:bookmarkStart w:id="1197" w:name="Tc_4OwuhChEn0KH7rRsU7dMmQ_3_11"/>
      <w:bookmarkStart w:id="1198" w:name="Tc_knJNYd9EwkmKe5GOdnkQrA_3_8"/>
      <w:bookmarkStart w:id="1199" w:name="Tc_fvoV2YSM20m9C9APXqpUbQ_3_5"/>
      <w:bookmarkStart w:id="1200" w:name="Tc_0DJPn1NWs0usi0WribA3cQ_3_2"/>
      <w:bookmarkStart w:id="1201" w:name="Tc_9xlc5mnlykKvev0bAoD4UA_3_0"/>
      <w:bookmarkStart w:id="1202" w:name="Tc_I-NoIiaE402QWNLg60YaNA_2_12"/>
      <w:bookmarkStart w:id="1203" w:name="Tc_xfrLRsNaUEuaPwSelyk5aQ_2_8"/>
      <w:bookmarkStart w:id="1204" w:name="Tc_jgPkH_i_t0q8bHUdC0idSQ_2_6"/>
      <w:bookmarkStart w:id="1205" w:name="Tc_vANfvrv7zEaKN_8t4FFVTg_2_2"/>
      <w:bookmarkStart w:id="1206" w:name="Tc_JEzBWDFUpU6ZWp1WYLzFgw_1_8"/>
      <w:bookmarkStart w:id="1207" w:name="Tc_BvvukF7F30uK4B7MdlA5rg_1_2"/>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Geographic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allocates, for the purpose of geographic data reporting, its revenue based upon the location of its customers. Total product revenue, net, by geographic area was as follows (in thousands):</w:t>
      </w:r>
    </w:p>
    <w:p>
      <w:pPr>
        <w:pStyle w:val="TextBody"/>
        <w:bidi w:val="0"/>
        <w:spacing w:before="0" w:after="0"/>
        <w:ind w:left="0" w:right="0" w:hanging="0"/>
        <w:jc w:val="left"/>
        <w:rPr/>
      </w:pPr>
      <w:r>
        <w:rPr/>
        <w:t>​</w:t>
      </w:r>
    </w:p>
    <w:tbl>
      <w:tblPr>
        <w:tblW w:w="7632" w:type="dxa"/>
        <w:jc w:val="left"/>
        <w:tblInd w:w="0" w:type="dxa"/>
        <w:tblLayout w:type="fixed"/>
        <w:tblCellMar>
          <w:top w:w="0" w:type="dxa"/>
          <w:left w:w="0" w:type="dxa"/>
          <w:bottom w:w="0" w:type="dxa"/>
          <w:right w:w="0" w:type="dxa"/>
        </w:tblCellMar>
      </w:tblPr>
      <w:tblGrid>
        <w:gridCol w:w="2266"/>
        <w:gridCol w:w="326"/>
        <w:gridCol w:w="257"/>
        <w:gridCol w:w="826"/>
        <w:gridCol w:w="398"/>
        <w:gridCol w:w="257"/>
        <w:gridCol w:w="826"/>
        <w:gridCol w:w="109"/>
        <w:gridCol w:w="225"/>
        <w:gridCol w:w="723"/>
        <w:gridCol w:w="348"/>
        <w:gridCol w:w="225"/>
        <w:gridCol w:w="84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38910" cy="175260"/>
                      <wp:effectExtent l="0" t="0" r="0" b="0"/>
                      <wp:wrapNone/>
                      <wp:docPr id="165" name="Frame16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3195" cy="175260"/>
                      <wp:effectExtent l="0" t="0" r="0" b="0"/>
                      <wp:wrapNone/>
                      <wp:docPr id="167" name="Frame16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24510" cy="175260"/>
                      <wp:effectExtent l="0" t="0" r="0" b="0"/>
                      <wp:wrapNone/>
                      <wp:docPr id="168" name="Frame16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2730" cy="175260"/>
                      <wp:effectExtent l="0" t="0" r="0" b="0"/>
                      <wp:wrapNone/>
                      <wp:docPr id="169" name="Frame169"/>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3195" cy="175260"/>
                      <wp:effectExtent l="0" t="0" r="0" b="0"/>
                      <wp:wrapNone/>
                      <wp:docPr id="170" name="Frame17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4510" cy="175260"/>
                      <wp:effectExtent l="0" t="0" r="0" b="0"/>
                      <wp:wrapNone/>
                      <wp:docPr id="171" name="Frame1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2875" cy="175260"/>
                      <wp:effectExtent l="0" t="0" r="0" b="0"/>
                      <wp:wrapNone/>
                      <wp:docPr id="173" name="Frame17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59105" cy="175260"/>
                      <wp:effectExtent l="0" t="0" r="0" b="0"/>
                      <wp:wrapNone/>
                      <wp:docPr id="174" name="Frame174"/>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0980" cy="175260"/>
                      <wp:effectExtent l="0" t="0" r="0" b="0"/>
                      <wp:wrapNone/>
                      <wp:docPr id="175" name="Frame17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2875" cy="175260"/>
                      <wp:effectExtent l="0" t="0" r="0" b="0"/>
                      <wp:wrapNone/>
                      <wp:docPr id="176" name="Frame17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37210" cy="175260"/>
                      <wp:effectExtent l="0" t="0" r="0" b="0"/>
                      <wp:wrapNone/>
                      <wp:docPr id="177" name="Frame17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6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0"/>
              <w:ind w:left="0" w:right="0" w:hanging="0"/>
              <w:jc w:val="center"/>
              <w:rPr/>
            </w:pPr>
            <w:r>
              <w:rPr/>
              <w:t>​</w:t>
            </w:r>
          </w:p>
        </w:tc>
        <w:tc>
          <w:tcPr>
            <w:tcW w:w="236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8" w:type="dxa"/>
            <w:tcBorders/>
            <w:vAlign w:val="center"/>
          </w:tcPr>
          <w:p>
            <w:pPr>
              <w:pStyle w:val="TableContents"/>
              <w:bidi w:val="0"/>
              <w:spacing w:before="0" w:after="0"/>
              <w:ind w:left="0" w:right="0" w:hanging="0"/>
              <w:jc w:val="center"/>
              <w:rPr/>
            </w:pPr>
            <w:r>
              <w:rPr/>
              <w:t>    </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center"/>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8" w:type="dxa"/>
            <w:tcBorders/>
            <w:vAlign w:val="center"/>
          </w:tcPr>
          <w:p>
            <w:pPr>
              <w:pStyle w:val="TableContents"/>
              <w:bidi w:val="0"/>
              <w:spacing w:before="0" w:after="0"/>
              <w:ind w:left="0" w:right="0" w:hanging="0"/>
              <w:jc w:val="center"/>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31,982</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56,352</w:t>
            </w:r>
          </w:p>
        </w:tc>
        <w:tc>
          <w:tcPr>
            <w:tcW w:w="348"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16,520</w:t>
            </w:r>
          </w:p>
        </w:tc>
        <w:tc>
          <w:tcPr>
            <w:tcW w:w="398"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29,868</w:t>
            </w:r>
          </w:p>
        </w:tc>
        <w:tc>
          <w:tcPr>
            <w:tcW w:w="348"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 net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48,502</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29,078</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86,220</w:t>
            </w:r>
          </w:p>
        </w:tc>
        <w:tc>
          <w:tcPr>
            <w:tcW w:w="348"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55,045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2025 and December 31, 2024, long-lived assets at locations outside the United States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 Subsequent Events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considers events or transactions that occur after the balance sheet date but prior to the issuance of the financial statements to provide additional evidence for certain estimates or to identify matters that require additional disclosure.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9, 2025, the Company entered into an underwriting agreement (the “Underwriting Agreement”) with Morgan Stanley &amp; Co. LLC and BofA Securities, Inc., as the representatives of the several underwriters named in the Underwriting Agreement (collectively, the “Underwriters”), in connection with a follow-on offering, issuance and sale by the Company of 2,058,824 shares of the Company’s common stock. The offering price of the shares of common stock to the public was $85.00 per share. In addition, under the terms of the Underwriting Agreement, the Company granted the Underwriters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option to purchase up to 308,823 additional shares of Common Stock, at the public offering price per share, less underwriting discounts and commissions. On July 10, 2025, the Underwriters exercised the option in full. The closing of the sale of the shares pursuant to the offering, including the shares sold pursuant to the exercise in full of the option, took place on July 11, 2025, resulting in net proceeds of approximately $189.2 million, net of underwriting discounts and commissions, but excluding certain other offering expenses payable by the Company, for a total share issuance of 2,367,647.</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08" w:name="Item2ManagementsDiscussionandAnalysis_58"/>
      <w:bookmarkStart w:id="1209" w:name="_a35b4aac_5090_465f_b701_3ba9804be363"/>
      <w:bookmarkEnd w:id="1208"/>
      <w:bookmarkEnd w:id="120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w:t>
      </w:r>
      <w:r>
        <w:rPr>
          <w:rFonts w:ascii="Times New Roman;Times;serif" w:hAnsi="Times New Roman;Times;serif"/>
          <w:sz w:val="20"/>
        </w:rPr>
        <w:t xml:space="preserve"> </w:t>
      </w:r>
      <w:r>
        <w:rPr>
          <w:rFonts w:ascii="Times New Roman;Times;serif" w:hAnsi="Times New Roman;Times;serif"/>
          <w:i/>
          <w:sz w:val="20"/>
        </w:rPr>
        <w:t>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w:t>
      </w:r>
      <w:r>
        <w:rPr>
          <w:rFonts w:ascii="Times New Roman;Times;serif" w:hAnsi="Times New Roman;Times;serif"/>
          <w:sz w:val="20"/>
        </w:rPr>
        <w:t xml:space="preserve"> </w:t>
      </w:r>
      <w:r>
        <w:rPr>
          <w:rFonts w:ascii="Times New Roman;Times;serif" w:hAnsi="Times New Roman;Times;serif"/>
          <w:i/>
          <w:sz w:val="20"/>
        </w:rPr>
        <w:t>the promise or potential of any of our products or product candidates; the marketing, commercialization, and sales of IMCIVREE (setmelanotide), the design, success, cost and timing of our product development activities and clinical trials for setmelanotide, RM-718, bivamelagon, and our other product candidates; our ability to obtain regulatory approval for setmelanotide in further indications, as well as for RM-718, bivamelagon, and our other product candidates; our financial performance, including our expectations regarding our existing cash, operating losses, expenses and sources of future financing;</w:t>
      </w:r>
      <w:r>
        <w:rPr>
          <w:rFonts w:ascii="Times New Roman;Times;serif" w:hAnsi="Times New Roman;Times;serif"/>
          <w:sz w:val="20"/>
        </w:rPr>
        <w:t xml:space="preserve"> </w:t>
      </w:r>
      <w:r>
        <w:rPr>
          <w:rFonts w:ascii="Times New Roman;Times;serif" w:hAnsi="Times New Roman;Times;serif"/>
          <w:i/>
          <w:sz w:val="20"/>
        </w:rPr>
        <w:t xml:space="preserve">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negotiate our collaboration and license agreements, if needed, and the impact of termination; our marketing, commercial sales, revenue generation, and cost of revenue; expectations surrounding our manufacturing arrangements;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We are a global, commercial-stage biopharmaceutical company dedicated to transforming the lives of patients living with rare neuroendocrine diseases. We are focused on advancing our melanocortin-4 receptor (MC4R) agonists, including our lead asset, IMCIVREE® (setmelanotide),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(HO), Bardet-Biedel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United Kingdom, Canada and other countries and regions.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IMCIVREE is approved by the U.S. Food and Drug Administration (FDA) to reduce excess body weight and maintain weight reduction long term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 In addition to the United States, we have achieved market access or named patient sales of IMCIVREE for BBS or POMC and LEPR deficiencies, or both, in more than 20 countries outside the United States, and we continue to collaborate with authorities to achieve access in additional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anticipate submitting applications to seek regulatory approval for setmelanotide as a treatment for acquired hypothalamic obesity in multiple geographies in the near term. Acquired hypothalamic obesity is a rare form of obesity that occurs following damage to the hypothalamic region of the brain. This disease most frequently follows the growth or surgical removal of craniopharyngioma, astrocytoma or other rare brain tumors. Additional causes of injury may include traumatic brain injury, stroke, or inflammation due to infection. Patients experience accelerated weight gain, a reduction in energy expenditure, and hyperphagia (a chronic pathological condition characterized by insatiable hunger, impaired satiety, and persistent abnormal food-seeking behaviors) leading to severe obesity within six to 12 months following tumor resection or other injury.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April 7, 2025, we announced positive topline results from the pivotal Phase 3 TRANSCEND trial evaluating setmelanotide for the treatment of acquired hypothalamic obesity. The global trial, which we believe is the largest and longest placebo-controlled trial to evaluate a therapy for patients with acquired hypothalamic obesity, met its primary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endpoint with a statistically significant and highly clinically meaningful reduction in body mass index (BMI) with setmelanotide in both adult and pediatric patients versus placebo. No new safety signals with setmelanotide were observed, in line with setmelanotide’s well-established and well-understood safety profile. Given these compelling new efficacy data with setmelanotide, we anticipate completing submissions of a supplemental New Drug Application to the FDA and a Type II variation request to the European Medicines Agency (the “EMA”) in the third quarter of 2025. We also anticipate reading out data from a 12-patient cohort in Japan in the first quarter of 2026 which we believe, if successful, could support registration of setmelanotide in Japan for this disease. With these planned submissions, we believe setmelanotide has the potential to become the first-ever approved therapy for patients with acquired hypothalamic obesity. We estimate there are 5,000 to 10,000 people living with hypothalamic obesity in the U.S., 5,000 to 8,000 people living with hypothalamic obesity in Japan, and 3,500 to 10,000 people living with hypothalamic obesity in the E.U.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addition to our commercial efforts and inclusive of late-stage development efforts, we are advancing what we believe is the most comprehensive clinical research and development program ever initiated in MC4R pathway diseases, with multiple ongoing and planned clinical trials. Our MC4R pathway program is designed to expand the total number of patients who we believe would benefit from setmelanotide therapy or from one of our new drug candidates, RM-718, which is designed to be a more selective MC4R agonist with weekly administration, or bivamelagon, an investigational oral small molecule MC4R agonist in Phase 2 clinical trials. As mentioned above, our Phase 3 trial of setmelanotide in patients with acquired hypothalamic obesity met the primary and key secondary endpoints, and we have initiated an additional, independent substudy in patients with congenital hypothalamic obesity as part of that trial. </w:t>
      </w:r>
    </w:p>
    <w:p>
      <w:pPr>
        <w:pStyle w:val="TextBody"/>
        <w:pBdr/>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advancing next-generation MC4R agonists in clinical trials. In July 2025, we announced bivamelagon achieved statistically significant and clinically meaningful BMI reductions at 14 weeks of treatment in a Phase 2 trial in patients with acquired hypothalamic obesity.  We anticipate completing enrollment in Part C of the Phase 1 trial evaluating the weekly RM-718 in patients with acquired hypothalamic obesity in the first quarter of 2026. Our Phase 3 EMANATE trial, comprised of four independent substudies evaluating setmelanotide in genetically caused MC4R pathway diseases is ongoing, and we completed our Phase 2 DAYBREAK trial evaluating setmelanotide in additional genetic indications in 2024.</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leveraging what we believe is the largest known DNA database focused on obesity - with approximately 100,000 sequencing samples as of December 31, 2024 - to improve the understanding, diagnosis and care of people living 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biallelic POMC, PCSK1 or LEPR deficiencies, and BBS. Our epidemiology estimates for the two more prevalent indications being studied in our Phase 3 EMANATE trial (SH2B1 and POMC/PCSK1) suggest that approximately 29,000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We believe that all these patients face similar challenges as other patients with rare diseases, namely lack of awareness, resources, tests, tools and, especially, therapeutic options.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recent corporate and commercial updates include: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5, 2025, we announced revenue from global sales of IMCIVREE was $48.5 million for the second quarter of 2025, an increase of 29% percent on a sequential basis from the first quarter of 2025, primarily driven by sales of IMCIVREE for the treatment of patients with BBS. In the second quarter of 2025, revenue of $32.0 million, or 66% of product revenue, was generated in the United States, an increase of 31% on a sequential basis. Revenue of $16.5 million, or 34% of product revenue, was generated outside of the United States, a sequential increase of 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11, 2025, we closed a public offering of 2,367,647 shares of its common stock at a public offering price of $85 per share, resulting in net proceeds of approximately $189.2 million, net of underwriting discounts and commissions, but excluding certain other offering expenses payable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recent clinical and regulatory updates include: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5, 2025, we announced that we enrolled the first patient with hypothalamic obesity in Part C of our Phase 1 trial evaluating RM-718, a weekly-administered investigational MC4R agonist.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12, 2025, at the Endocrine Society’s Annual Meeting, data from our pivotal Phase 3 TRANSCEND trial evaluating setmelanotide in acquired hypothalamic obesity, the largest randomized, placebo-controlled trial in acquired hypothalamic obesity to date, were delivered in an oral presentation. Highlights of the presentation included:</w:t>
      </w:r>
    </w:p>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 placebo-adjusted difference in BMI reduction (N=120);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Statistically significant BMI reductions following setmelanotide treatment were consistently observed across subgroups stratified by age (&lt;12, 12 to 17, &lt;18, and 18 years and older; ranging from -15.6% to -17.2%) and by sex (-16.3% female; -16.8% male.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9, 2025, we announced bivamelagon achieved statistically significant and clinically meaningful BMI reductions at 14 weeks of treatment in our Phase 2 trial in patients with acquired hypothalamic obesity, including:</w:t>
      </w:r>
    </w:p>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BMI reduction from baseline in the 600mg cohort (n=8) (p-value=0.0004);</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BMI reduction from baseline in the 400mg cohort (n=7) (p-value=0.0002);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Post-hoc analyses showing bivamelagon demonstrated BMI reductions consistent with BMI reductions achieved with setmelanotide therapy as observed in similar patient populations at comparable dosing durations;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and tolerability results were consistent with MC4R agonism and mechanism of action during the placebo-controlled portion of the trial.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Joint Congress between the European Society for Paediatric Endocrinology and the European Society of Endocrinology (ESPE-ESE) and the European Congress on Obesity (ECO) in May 2025, we presented new, real-world data that showed consistent improvements in body mass index, BMI-z, and hunger scores in 30 patients with acquired hypothalamic obesity and five (5) patients with congenital hypothalamic obesity who were treated with setmelanotide for up to nine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expect to achieve the following, near-term milestones: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 submissions of a supplemental New Drug Application to FDA and a Type II variation request to the EMA seeking approval for setmelanotide for the treatment of acquired hypothalamic obesity in the third quarter of 2025; </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 preliminary results from our setmelanotide Phase 2 trial in Prader-Willi syndrome in the second half of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 enrollment in the Phase 1, Part C trial evaluating the weekly, MC4R agonist RM-718 in patients with acquired hypothalamic obesity in the first quarter of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 topline data in the 12-patient Japanese cohort of the setmelanotide Phase 3 trial in acquired hypothalamic obesity in the first quarter of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 topline data in the Phase 3 EMANATE trial evaluating setmelanotide in genetically caused MC4R pathway diseases in the first quarter of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 enrollment in the setmelanotide Phase 3 trial substudy in congenital hypothalamic obesity in the first half of 2026;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alignment with U.S and European regulatory agencies, initiate a pivotal Phase 3 trial evaluating bivamelagon in acquired hypothalamic obesity in 2026.</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IMCIVREE first became commercially available to patients 6 years of age and older with obesity due to POMC, PCSK1 or LEPR deficiency in the U.S. in the first quarter of 2021 and patients 6 years of age and older with obesity due to BBS during June 2022. Following marketing authorizations in the EU, Great Britain and Canada, as well as expanded labels in the U.S., the EU and Great Britain and 2024 to make IMCIVREE available to patients as young as 2 years of age, we are continuing to pursue a country-by-country strategy to establish market access and reimbursement for IMCIVREE in additional countries.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To date, we have not generated sufficient cash flow from product sales and have financed our operations primarily through the proceeds received from our sales of common and preferred stock, royalty interest financing, asset sales, as well as capital contributions from the former parent company, Rhythm Holdings LLC. From August 2015 through August 2017, we raised aggregate net proceeds of $80.8 million through our issuance of Convertible Preferred Stock.  Since our initial public offering, or IPO, on October 10, 2017, through our underwritten follow-on offerings and through our ATM program through June 30, 2025, we have raised aggregate net proceeds of approximately $864.8 million through the issuance of our common stock after deducting underwriting discounts, commissions and offering related transaction costs. Additionally, on July 9, 2025, we entered into an underwriting agreement with Morgan Stanley &amp; Co. LLC and BofA Securities, Inc., as the representatives of the several underwriters, in connection with a follow-on offering, issuance and sale by the Company of 2,058,824 shares of the Company’s common stock, at $0.001 par value per share. The offering price of the shares of Common Stock to the public was $85.00 per share. In addition, the Company granted the Underwriters a 30-day option to purchase up to 308,823 additional shares of Common Stock, at the public offering price per share, less underwriting discounts and commissions. On July 10, 2025, the Underwriters exercised the Option in full. The Offering closed on July 11, 2025, for net proceeds of $189.2 million, net of certain costs including underwriting discounts and commissions, but excluding certain other offering expenses payable by the Company, for total share issuance of 2,367,647 (as disclosed in Note 16, </w:t>
      </w:r>
      <w:r>
        <w:rPr>
          <w:rFonts w:ascii="Times New Roman;Times;serif" w:hAnsi="Times New Roman;Times;serif"/>
          <w:i/>
          <w:sz w:val="20"/>
          <w:shd w:fill="FFFFFF" w:val="clear"/>
        </w:rPr>
        <w:t>Subsequent events</w:t>
      </w:r>
      <w:r>
        <w:rPr>
          <w:rFonts w:ascii="Times New Roman;Times;serif" w:hAnsi="Times New Roman;Times;serif"/>
          <w:sz w:val="20"/>
          <w:shd w:fill="FFFFFF" w:val="clear"/>
        </w:rPr>
        <w: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We also received $100.0 million from the sale of our Rare Pediatric Disease Priority Review Voucher (“PRV”), to Alexion Pharmaceuticals, Inc. in February 2021.  In June 2022, we entered into the Revenue Interest Financing Agreement (“RIFA”), with entities managed by HealthCare Royalty Partners, collectively referred to as the Investors, and through June 30, 2025 have received cumulative proceeds of $96.7 million, net of certain transaction costs. On April 1, 2024, we entered into an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disclosed in Note 9, </w:t>
      </w:r>
      <w:r>
        <w:rPr>
          <w:rFonts w:ascii="Times New Roman;Times;serif" w:hAnsi="Times New Roman;Times;serif"/>
          <w:i/>
          <w:sz w:val="20"/>
          <w:shd w:fill="FFFFFF" w:val="clear"/>
        </w:rPr>
        <w:t>Series A Preferred Stock</w:t>
      </w:r>
      <w:r>
        <w:rPr>
          <w:rFonts w:ascii="Times New Roman;Times;serif" w:hAnsi="Times New Roman;Times;serif"/>
          <w:sz w:val="20"/>
          <w:shd w:fill="FFFFFF" w:val="clear"/>
        </w:rPr>
        <w:t>).  We received $147.8 million in net proceeds under the Investment Agreement.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2025 we had an accumulated deficit of $1.3 billion. Our net loss was $46.6 million and $32.3 million for the three months ended June 30, 2025 and June 30, 2024. Our net loss was $96.1 million and $173.6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2025 and June 30, 2024. We expect to continue to incur significant expenses and operating losses for the foreseeable future. Our expenses may increase in connection with our ongoing activities, as we:</w:t>
      </w:r>
    </w:p>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continue to conduct clinical trials for setmelanotide </w:t>
            </w:r>
            <w:r>
              <w:rPr>
                <w:rFonts w:ascii="Times New Roman;Times;serif" w:hAnsi="Times New Roman;Times;serif"/>
                <w:b w:val="false"/>
                <w:i w:val="false"/>
                <w:caps w:val="false"/>
                <w:smallCaps w:val="false"/>
                <w:sz w:val="20"/>
                <w:shd w:fill="FFFFFF" w:val="clear"/>
              </w:rPr>
              <w:t>and our other product candidates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contract manufacturing organizations, or CMOs, for the manufacture of clinical and commercial-grade setmelanotide;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seek regulatory approval for setmelanotide for </w:t>
            </w:r>
            <w:r>
              <w:rPr>
                <w:rFonts w:ascii="Times New Roman;Times;serif" w:hAnsi="Times New Roman;Times;serif"/>
                <w:b w:val="false"/>
                <w:i w:val="false"/>
                <w:caps w:val="false"/>
                <w:smallCaps w:val="false"/>
                <w:sz w:val="20"/>
                <w:shd w:fill="FFFFFF" w:val="clear"/>
              </w:rPr>
              <w:t>future indications, and for our other product candidates</w:t>
            </w:r>
            <w:r>
              <w:rPr>
                <w:rFonts w:ascii="Times New Roman;Times;serif" w:hAnsi="Times New Roman;Times;serif"/>
                <w:b w:val="false"/>
                <w:i w:val="false"/>
                <w:caps w:val="false"/>
                <w:smallCaps w:val="false"/>
                <w:sz w:val="20"/>
              </w:rPr>
              <w:t>;</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expand our clinical </w:t>
            </w:r>
            <w:r>
              <w:rPr>
                <w:rFonts w:ascii="Times New Roman;Times;serif" w:hAnsi="Times New Roman;Times;serif"/>
                <w:b w:val="false"/>
                <w:i w:val="false"/>
                <w:caps w:val="false"/>
                <w:smallCaps w:val="false"/>
                <w:sz w:val="20"/>
                <w:shd w:fill="FFFFFF" w:val="clear"/>
              </w:rPr>
              <w:t>and financial operations and build a marketing and commercialization infrastructure</w:t>
            </w:r>
            <w:r>
              <w:rPr>
                <w:rFonts w:ascii="Times New Roman;Times;serif" w:hAnsi="Times New Roman;Times;serif"/>
                <w:b w:val="false"/>
                <w:i w:val="false"/>
                <w:caps w:val="false"/>
                <w:smallCaps w:val="false"/>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the sales and marketing efforts necessary to support the continued commercial efforts of IMCIVREE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take into account the levels, timing and collection of revenue earned from sales of IMCIVREE and other products approved in the future, if any; and </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our existing cash and cash equivalents and short-term investments were approximately $291.0 million. We expect that our cash and cash equivalents and short-term investments as of June 30, 2025, combined with the net proceeds from our July 2025 offering, will be sufficient to fund our planned operations for at least 24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 date, we have generated approximately $313.8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the EU in March 2022 under a paid early access program.  IMCIVREE was approved by the FDA and the EC in adult and pediatric patients six years of age and older with obesity due to BBS in June and September 2022, respectively.  In 2024, </w:t>
      </w:r>
      <w:r>
        <w:rPr>
          <w:rFonts w:ascii="Times New Roman;Times;serif" w:hAnsi="Times New Roman;Times;serif"/>
          <w:sz w:val="20"/>
          <w:shd w:fill="FFFFFF" w:val="clear"/>
        </w:rPr>
        <w:t>IMCIVREE was approved by the FDA to reduce excess body weight and maintain weight reduction long term in adult and pediatric patients aged 2 years and older with syndromic or monogenic obesity due to BBS or POMC, PCSK1, or LEPR deficiency as determined by an FDA-approved test demonstrating variants in </w:t>
      </w:r>
      <w:r>
        <w:rPr>
          <w:rFonts w:ascii="Times New Roman;Times;serif" w:hAnsi="Times New Roman;Times;serif"/>
          <w:i/>
          <w:sz w:val="20"/>
          <w:shd w:fill="FFFFFF" w:val="clear"/>
        </w:rPr>
        <w:t>POMC, PCSK1</w:t>
      </w:r>
      <w:r>
        <w:rPr>
          <w:rFonts w:ascii="Times New Roman;Times;serif" w:hAnsi="Times New Roman;Times;serif"/>
          <w:sz w:val="20"/>
          <w:shd w:fill="FFFFFF" w:val="clear"/>
        </w:rPr>
        <w:t>, or </w:t>
      </w:r>
      <w:r>
        <w:rPr>
          <w:rFonts w:ascii="Times New Roman;Times;serif" w:hAnsi="Times New Roman;Times;serif"/>
          <w:i/>
          <w:sz w:val="20"/>
          <w:shd w:fill="FFFFFF" w:val="clear"/>
        </w:rPr>
        <w:t>LEPR</w:t>
      </w:r>
      <w:r>
        <w:rPr>
          <w:rFonts w:ascii="Times New Roman;Times;serif" w:hAnsi="Times New Roman;Times;serif"/>
          <w:sz w:val="20"/>
          <w:shd w:fill="FFFFFF" w:val="clear"/>
        </w:rPr>
        <w:t xml:space="preserve"> genes that are interpreted as pathogenic, likely pathogenic, or of uncertain significance (VUS). Also in 2024, the EC and MHRA authorized IMCIVREE for the treatment of obesity and the control of hunger associated with genetically confirmed BBS or loss-of-function biallelic POMC, including PCSK1, deficiency or biallelic LEPR deficiency in adults and children 2 years of age and above. </w:t>
      </w:r>
      <w:r>
        <w:rPr>
          <w:rFonts w:ascii="Times New Roman;Times;serif" w:hAnsi="Times New Roman;Times;serif"/>
          <w:sz w:val="20"/>
        </w:rPr>
        <w:t>We expect our sales of IMCIVREE will continue to grow as we identify and treat more patients with this disease and obtain reimbursement throughout the international markets in which we operate, however, we cannot estimate or predict with certainty the rates at which sales in any of our markets will grow and whether such sales will grow at a higher or lower pace as compared to sales in the United States.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License revenue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six months ended June 30, 2025, we recognized a reduction of previously-recognized license revenue of $5.0 million in connection with the termination of our exclusive license agreement with RareStone. See Note 12, </w:t>
      </w:r>
      <w:r>
        <w:rPr>
          <w:rFonts w:ascii="Times New Roman;Times;serif" w:hAnsi="Times New Roman;Times;serif"/>
          <w:i/>
          <w:sz w:val="20"/>
        </w:rPr>
        <w:t>Significant Agreements</w:t>
      </w:r>
      <w:r>
        <w:rPr>
          <w:rFonts w:ascii="Times New Roman;Times;serif" w:hAnsi="Times New Roman;Times;serif"/>
          <w:sz w:val="20"/>
        </w:rPr>
        <w:t>, to the unaudited condensed consolidated financial statements included under Part I, Item 1 of this Quarterly Report on Form 10-Q.</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Cost of sales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inventory of IMCIVREE produced prior to FDA approval is available for commercial or clinical use.  Most of the manufacturing costs have been recorded as research and development expenses in prior periods. We expect cost of sales to increase in 2025 as we continue to sell inventory that is produced after we began capitalizing manufacturing costs for IMCIVREE commercial inventory.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activities, including our drug discovery and genetic sequencing efforts, and the clinical development of setmelanotide, which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of lab supplies and acquiring, developing and manufacturing preclinical and clinical study materials;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of genetic sequencing of potential patients in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rent and maintenance of facilities, insurance and other operating costs;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 process research and development costs associated with the acquisition of LG Chem, Ltd.’s, or LGC’s proprietary compound bivamelagon in the three months ended March 31, 2024.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current research and development expenses:</w:t>
      </w:r>
    </w:p>
    <w:tbl>
      <w:tblPr>
        <w:tblW w:w="7848" w:type="dxa"/>
        <w:jc w:val="left"/>
        <w:tblInd w:w="0" w:type="dxa"/>
        <w:tblLayout w:type="fixed"/>
        <w:tblCellMar>
          <w:top w:w="0" w:type="dxa"/>
          <w:left w:w="0" w:type="dxa"/>
          <w:bottom w:w="0" w:type="dxa"/>
          <w:right w:w="0" w:type="dxa"/>
        </w:tblCellMar>
      </w:tblPr>
      <w:tblGrid>
        <w:gridCol w:w="2776"/>
        <w:gridCol w:w="326"/>
        <w:gridCol w:w="211"/>
        <w:gridCol w:w="676"/>
        <w:gridCol w:w="326"/>
        <w:gridCol w:w="211"/>
        <w:gridCol w:w="676"/>
        <w:gridCol w:w="326"/>
        <w:gridCol w:w="211"/>
        <w:gridCol w:w="676"/>
        <w:gridCol w:w="326"/>
        <w:gridCol w:w="211"/>
        <w:gridCol w:w="89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62760" cy="175260"/>
                      <wp:effectExtent l="0" t="0" r="0" b="0"/>
                      <wp:wrapNone/>
                      <wp:docPr id="178" name="Frame17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81" name="Frame1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7" name="Frame1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68960" cy="175260"/>
                      <wp:effectExtent l="0" t="0" r="0" b="0"/>
                      <wp:wrapNone/>
                      <wp:docPr id="190" name="Frame19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color w:val="467886"/>
              </w:rPr>
            </w:pPr>
            <w:r>
              <w:rPr>
                <w:color w:val="467886"/>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Research and development summary</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158,858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unable to predict the duration and costs of the current or future clinical trials of our product candidates.</w:t>
      </w:r>
      <w:r>
        <w:rPr>
          <w:rFonts w:ascii="Times New Roman;Times;serif" w:hAnsi="Times New Roman;Times;serif"/>
          <w:sz w:val="20"/>
          <w:shd w:fill="FFFFFF" w:val="clear"/>
        </w:rPr>
        <w:t xml:space="preserve"> The duration, costs, and timing of clinical trials and development of setmelanotide, RM-718, bivamelagon, and a potential therapeutic product candidate for congenital hyperinsulinism (CHI) will depend on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ongoing, as well as any additional, clinical trials and other research and development activities;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enrollment in clinical trials;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and efficacy demonstrated by setmelanotide and other product candidates in future clinical trials;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clinical trial design; and</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regulatory approvals.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our product candidates would significantly change the costs and timing associated with its development and potential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current selling, general and administrative expenses:</w:t>
      </w:r>
    </w:p>
    <w:tbl>
      <w:tblPr>
        <w:tblW w:w="8628" w:type="dxa"/>
        <w:jc w:val="left"/>
        <w:tblInd w:w="0" w:type="dxa"/>
        <w:tblLayout w:type="fixed"/>
        <w:tblCellMar>
          <w:top w:w="0" w:type="dxa"/>
          <w:left w:w="0" w:type="dxa"/>
          <w:bottom w:w="0" w:type="dxa"/>
          <w:right w:w="0" w:type="dxa"/>
        </w:tblCellMar>
      </w:tblPr>
      <w:tblGrid>
        <w:gridCol w:w="3661"/>
        <w:gridCol w:w="326"/>
        <w:gridCol w:w="211"/>
        <w:gridCol w:w="676"/>
        <w:gridCol w:w="326"/>
        <w:gridCol w:w="211"/>
        <w:gridCol w:w="676"/>
        <w:gridCol w:w="326"/>
        <w:gridCol w:w="211"/>
        <w:gridCol w:w="676"/>
        <w:gridCol w:w="326"/>
        <w:gridCol w:w="211"/>
        <w:gridCol w:w="79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24735" cy="175260"/>
                      <wp:effectExtent l="0" t="0" r="0" b="0"/>
                      <wp:wrapNone/>
                      <wp:docPr id="191" name="Frame19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260" cy="175260"/>
                      <wp:effectExtent l="0" t="0" r="0" b="0"/>
                      <wp:wrapNone/>
                      <wp:docPr id="197"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02285" cy="175260"/>
                      <wp:effectExtent l="0" t="0" r="0" b="0"/>
                      <wp:wrapNone/>
                      <wp:docPr id="203" name="Frame20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Selling, general and administrative summary</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70,797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no significant changes to our critical accounting policies as reported in our Annual Report on Form 10-K for the fiscal year ended December 31, 2024.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2025 and 2024, together with the changes in those items in dollars and as a percentage:</w:t>
      </w:r>
    </w:p>
    <w:tbl>
      <w:tblPr>
        <w:tblW w:w="8183" w:type="dxa"/>
        <w:jc w:val="left"/>
        <w:tblInd w:w="0" w:type="dxa"/>
        <w:tblLayout w:type="fixed"/>
        <w:tblCellMar>
          <w:top w:w="0" w:type="dxa"/>
          <w:left w:w="0" w:type="dxa"/>
          <w:bottom w:w="0" w:type="dxa"/>
          <w:right w:w="0" w:type="dxa"/>
        </w:tblCellMar>
      </w:tblPr>
      <w:tblGrid>
        <w:gridCol w:w="3001"/>
        <w:gridCol w:w="326"/>
        <w:gridCol w:w="211"/>
        <w:gridCol w:w="796"/>
        <w:gridCol w:w="326"/>
        <w:gridCol w:w="211"/>
        <w:gridCol w:w="796"/>
        <w:gridCol w:w="326"/>
        <w:gridCol w:w="211"/>
        <w:gridCol w:w="796"/>
        <w:gridCol w:w="326"/>
        <w:gridCol w:w="541"/>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905635" cy="175260"/>
                      <wp:effectExtent l="0" t="0" r="0" b="0"/>
                      <wp:wrapNone/>
                      <wp:docPr id="204" name="Frame204"/>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05460" cy="175260"/>
                      <wp:effectExtent l="0" t="0" r="0" b="0"/>
                      <wp:wrapNone/>
                      <wp:docPr id="207" name="Frame2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10" name="Frame2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5460" cy="175260"/>
                      <wp:effectExtent l="0" t="0" r="0" b="0"/>
                      <wp:wrapNone/>
                      <wp:docPr id="213" name="Frame2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43535" cy="175260"/>
                      <wp:effectExtent l="0" t="0" r="0" b="0"/>
                      <wp:wrapNone/>
                      <wp:docPr id="215" name="Frame21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0660" cy="175260"/>
                      <wp:effectExtent l="0" t="0" r="0" b="0"/>
                      <wp:wrapNone/>
                      <wp:docPr id="216" name="Frame2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818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4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Operations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19,424</w:t>
            </w:r>
          </w:p>
        </w:tc>
        <w:tc>
          <w:tcPr>
            <w:tcW w:w="32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9,532</w:t>
            </w:r>
          </w:p>
        </w:tc>
        <w:tc>
          <w:tcPr>
            <w:tcW w:w="32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24,242</w:t>
            </w:r>
          </w:p>
        </w:tc>
        <w:tc>
          <w:tcPr>
            <w:tcW w:w="32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w:t>
            </w:r>
          </w:p>
        </w:tc>
        <w:tc>
          <w:tcPr>
            <w:tcW w:w="32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(9,695)</w:t>
            </w:r>
          </w:p>
        </w:tc>
        <w:tc>
          <w:tcPr>
            <w:tcW w:w="32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(14,513)</w:t>
            </w:r>
          </w:p>
        </w:tc>
        <w:tc>
          <w:tcPr>
            <w:tcW w:w="32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(14,371)</w:t>
            </w:r>
          </w:p>
        </w:tc>
        <w:tc>
          <w:tcPr>
            <w:tcW w:w="326" w:type="dxa"/>
            <w:tcBorders/>
            <w:vAlign w:val="center"/>
          </w:tcPr>
          <w:p>
            <w:pPr>
              <w:pStyle w:val="TableContents"/>
              <w:bidi w:val="0"/>
              <w:spacing w:before="0" w:after="0"/>
              <w:ind w:left="0" w:right="0" w:hanging="0"/>
              <w:jc w:val="righ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revenue, net</w:t>
      </w:r>
      <w:r>
        <w:rPr>
          <w:rFonts w:ascii="Times New Roman;Times;serif" w:hAnsi="Times New Roman;Times;serif"/>
          <w:sz w:val="20"/>
        </w:rPr>
        <w:t>.  Product revenue, net increased by $19.4 million to $48.5 million for the three months ended June 30, 2025 from $29.1 million for the three months ending June 30, 2024, an increase of 67%. We expect our sales of IMCIVREE to continue to increase.  We have achieved market access or named patient sales of IMCIVREE for BBS or POMC and LEPR deficiencies, or both, in more than 20 countries outside the United States, and we continue to collaborate with authorities to achieve access in additional markets. </w:t>
      </w:r>
      <w:r>
        <w:rPr>
          <w:rFonts w:ascii="Times New Roman;Times;serif" w:hAnsi="Times New Roman;Times;serif"/>
          <w:sz w:val="20"/>
          <w:shd w:fill="FFFFFF" w:val="clear"/>
        </w:rPr>
        <w:t>For the three months ended June 30, 2025, and 2024, a substantial amount of our product revenue, or 66% and 74%, respectively, was generated from sales of our product to patients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xml:space="preserve"> Cost of sales increased by $2.6 million to $5.5 million for the three months ending June 30, 2025, from $2.9 million for the three months ending June 30, 2024, an increase of 88%, </w:t>
      </w:r>
      <w:r>
        <w:rPr>
          <w:rFonts w:ascii="Times New Roman;Times;serif" w:hAnsi="Times New Roman;Times;serif"/>
          <w:sz w:val="20"/>
          <w:shd w:fill="FFFFFF" w:val="clear"/>
        </w:rPr>
        <w:t>which was driven by a corresponding increase in revenue in the three months ending June 30, 2025</w:t>
      </w:r>
      <w:r>
        <w:rPr>
          <w:rFonts w:ascii="Times New Roman;Times;serif" w:hAnsi="Times New Roman;Times;serif"/>
          <w:sz w:val="20"/>
        </w:rPr>
        <w:t>.  </w:t>
      </w:r>
      <w:r>
        <w:rPr>
          <w:rFonts w:ascii="Times New Roman;Times;serif" w:hAnsi="Times New Roman;Times;serif"/>
          <w:sz w:val="20"/>
          <w:shd w:fill="FFFFFF" w:val="clear"/>
        </w:rPr>
        <w:t>Cost of sales is composed of royalty expense due to Ipsen Pharma S.A.S., or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$2.6 million increase in cost of sales in the three months ended June 30, 2025, from the same period in 2024, was due to $0.9 million of additional royalties due to our growth in sales and $1.6 million attributed to increased product costs associated with higher sales volume.  We expect cost of sales as a percentage of revenue to continue to be in a range of 10% to 12% in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Research and development expense. </w:t>
      </w:r>
      <w:r>
        <w:rPr>
          <w:rFonts w:ascii="Times New Roman;Times;serif" w:hAnsi="Times New Roman;Times;serif"/>
          <w:sz w:val="20"/>
        </w:rPr>
        <w:t>Research and development expense increased by $12.1 million to $42.3 million for the three months ending June 30, 2025, from $30.2 million for the three months ending June 30, 2024, an increase of 40%. The net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$5.0 million associated with chemistry, manufacturing, and controls (CMC) costs for drug formulation to support our ongoing Phase 1 clinical trial of RM-718 and the Phase 2 bivamelagon trial acquired from LGC,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$3.1 million associated with higher clinical trial expenses, primarily related to our Phase 3 EMANATE study and Phase 2 bivamelagon trial acquired from LGC,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$3.5 million related to personnel costs including $2.0 million related to salaries, benefits and other compensation costs related to the hiring of additional full-time employees in order to support the growth of our research and development programs, and $1.5 million of stock-based compensation, and </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$0.5 million in professional services to support our growing research and development programs.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Selling, general and administrative expense. </w:t>
      </w:r>
      <w:r>
        <w:rPr>
          <w:rFonts w:ascii="Times New Roman;Times;serif" w:hAnsi="Times New Roman;Times;serif"/>
          <w:sz w:val="20"/>
        </w:rPr>
        <w:t>Selling, general and administrative expense increased by $9.5 million to $45.9 million for the three months ended June 30, 2025, from $36.4 million for the three months ended June 30, 2024, an increase of 26%. The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 increase of $6.9 million related to personnel costs including $4.0 million of stock-based compensation, and $2.9 million </w:t>
            </w:r>
            <w:r>
              <w:rPr>
                <w:rFonts w:ascii="Times New Roman;Times;serif" w:hAnsi="Times New Roman;Times;serif"/>
                <w:b w:val="false"/>
                <w:i w:val="false"/>
                <w:caps w:val="false"/>
                <w:smallCaps w:val="false"/>
                <w:sz w:val="20"/>
                <w:shd w:fill="FFFFFF" w:val="clear"/>
              </w:rPr>
              <w:t>with additional headcount to support our expanding business operations as well as to establish commercial operations in international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$1.4 million related to increased marketing and promotion costs to support continued revenue growth,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$1.1 million in professional services, including legal and consulting expenses, to support our ongoing growth.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income (expense), net.  </w:t>
      </w:r>
      <w:r>
        <w:rPr>
          <w:rFonts w:ascii="Times New Roman;Times;serif" w:hAnsi="Times New Roman;Times;serif"/>
          <w:sz w:val="20"/>
        </w:rPr>
        <w:t>Other income (expense), net decreased by ($9.7) million to ($1.0) million for the three months ended June 30, 2025 from $8.7 million of other income for the three months ended June 30, 2024.  The decrease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one-time gain of $8.9 million was recognized for the settlement of the forward contract recorded with the issuance of our Series A Convertible Preferred Stock (the “Convertible Preferred Stock”) during the three months ended June 30, 2024; which did not recur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decrease in interest income of $0.9 million earned on our short-term investments, based on higher investment balances from the proceeds of $150.0 million from the Convertible Preferred Stock issuance during the three months ending June 30, 2024,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$1.2 million of non-cash interest expense in the three months ended June 30, 2025, associated with accretion of the deferred royalty obligation as well as the liability payable to LGC that was paid in July 2025.</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above decreases were partially offset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other income of $1.3 million driven by a gain on unrealized foreign exchange as well as a gain on the fair value of the embedded derivative.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2025 and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2025 and 2024, together with the changes in those items in dollars and as a percentage:</w:t>
      </w:r>
    </w:p>
    <w:p>
      <w:pPr>
        <w:pStyle w:val="TextBody"/>
        <w:bidi w:val="0"/>
        <w:spacing w:before="0" w:after="0"/>
        <w:ind w:left="0" w:right="0" w:hanging="0"/>
        <w:jc w:val="left"/>
        <w:rPr/>
      </w:pPr>
      <w:r>
        <w:rPr/>
        <w:t>​</w:t>
      </w:r>
    </w:p>
    <w:tbl>
      <w:tblPr>
        <w:tblW w:w="8071" w:type="dxa"/>
        <w:jc w:val="left"/>
        <w:tblInd w:w="0" w:type="dxa"/>
        <w:tblLayout w:type="fixed"/>
        <w:tblCellMar>
          <w:top w:w="0" w:type="dxa"/>
          <w:left w:w="0" w:type="dxa"/>
          <w:bottom w:w="0" w:type="dxa"/>
          <w:right w:w="0" w:type="dxa"/>
        </w:tblCellMar>
      </w:tblPr>
      <w:tblGrid>
        <w:gridCol w:w="3001"/>
        <w:gridCol w:w="326"/>
        <w:gridCol w:w="211"/>
        <w:gridCol w:w="796"/>
        <w:gridCol w:w="326"/>
        <w:gridCol w:w="211"/>
        <w:gridCol w:w="901"/>
        <w:gridCol w:w="326"/>
        <w:gridCol w:w="211"/>
        <w:gridCol w:w="796"/>
        <w:gridCol w:w="109"/>
        <w:gridCol w:w="541"/>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905635" cy="175260"/>
                      <wp:effectExtent l="0" t="0" r="0" b="0"/>
                      <wp:wrapNone/>
                      <wp:docPr id="217" name="Frame21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5460" cy="175260"/>
                      <wp:effectExtent l="0" t="0" r="0" b="0"/>
                      <wp:wrapNone/>
                      <wp:docPr id="220" name="Frame2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72135" cy="175260"/>
                      <wp:effectExtent l="0" t="0" r="0" b="0"/>
                      <wp:wrapNone/>
                      <wp:docPr id="223" name="Frame2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5460" cy="175260"/>
                      <wp:effectExtent l="0" t="0" r="0" b="0"/>
                      <wp:wrapNone/>
                      <wp:docPr id="226" name="Frame2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43535" cy="175260"/>
                      <wp:effectExtent l="0" t="0" r="0" b="0"/>
                      <wp:wrapNone/>
                      <wp:docPr id="228" name="Frame2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0660" cy="175260"/>
                      <wp:effectExtent l="0" t="0" r="0" b="0"/>
                      <wp:wrapNone/>
                      <wp:docPr id="229" name="Frame2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65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Operations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31,175</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26,161</w:t>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(79,577)</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14,237</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(61,902)</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77,141</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revenue, net</w:t>
      </w:r>
      <w:r>
        <w:rPr>
          <w:rFonts w:ascii="Times New Roman;Times;serif" w:hAnsi="Times New Roman;Times;serif"/>
          <w:sz w:val="20"/>
        </w:rPr>
        <w:t>.  Product revenue, net increased by $31.2 million to $86.2 million for the six months ending June 30, 2025, from $55.0 million for the six months ending June 30, 2024, an increase of 57%. We expect our sales of IMCIVREE to continue to increase.  We have achieved market access or named patient sales of IMCIVREE for BBS or POMC and LEPR deficiencies, or both, in more than 20 countries outside the United States, and we continue to collaborate with authorities to achieve access in additional markets. For the six months ended June 30, 2025, and 2024, a substantial amount of our product revenue</w:t>
      </w:r>
      <w:r>
        <w:rPr>
          <w:rFonts w:ascii="Times New Roman;Times;serif" w:hAnsi="Times New Roman;Times;serif"/>
          <w:sz w:val="20"/>
          <w:shd w:fill="FFFFFF" w:val="clear"/>
        </w:rPr>
        <w:t>, or 65% and 75%, respectively, was generated from sales of our product to patients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shd w:fill="FFFFFF" w:val="clear"/>
        </w:rPr>
        <w:t>License revenue</w:t>
      </w:r>
      <w:r>
        <w:rPr>
          <w:rFonts w:ascii="Times New Roman;Times;serif" w:hAnsi="Times New Roman;Times;serif"/>
          <w:sz w:val="20"/>
          <w:shd w:fill="FFFFFF" w:val="clear"/>
        </w:rPr>
        <w:t xml:space="preserve">.  For the six months ended June 30, 2025, we recognized a reduction of previously-recognized license revenue of $5.0 million in connection with the termination of our exclusive license agreement with RareStone. See Note 12, </w:t>
      </w:r>
      <w:r>
        <w:rPr>
          <w:rFonts w:ascii="Times New Roman;Times;serif" w:hAnsi="Times New Roman;Times;serif"/>
          <w:i/>
          <w:sz w:val="20"/>
          <w:shd w:fill="FFFFFF" w:val="clear"/>
        </w:rPr>
        <w:t>Significant Agreements</w:t>
      </w:r>
      <w:r>
        <w:rPr>
          <w:rFonts w:ascii="Times New Roman;Times;serif" w:hAnsi="Times New Roman;Times;serif"/>
          <w:sz w:val="20"/>
          <w:shd w:fill="FFFFFF" w:val="clear"/>
        </w:rPr>
        <w:t>, to the unaudited condensed consolidated financial statements included under Part I, Item 1 of this Quarterly Report 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xml:space="preserve"> Cost of sales increased by $3.4 million to $9.2 million for the six months ended June 30, 2025 from $5.8 million for the six months ended June 30, 2024, an increase of 60%, </w:t>
      </w:r>
      <w:r>
        <w:rPr>
          <w:rFonts w:ascii="Times New Roman;Times;serif" w:hAnsi="Times New Roman;Times;serif"/>
          <w:sz w:val="20"/>
          <w:shd w:fill="FFFFFF" w:val="clear"/>
        </w:rPr>
        <w:t>which was driven by a corresponding increase in revenue in the six months ended June 30, 2025</w:t>
      </w:r>
      <w:r>
        <w:rPr>
          <w:rFonts w:ascii="Times New Roman;Times;serif" w:hAnsi="Times New Roman;Times;serif"/>
          <w:sz w:val="20"/>
        </w:rPr>
        <w:t>.  </w:t>
      </w:r>
      <w:r>
        <w:rPr>
          <w:rFonts w:ascii="Times New Roman;Times;serif" w:hAnsi="Times New Roman;Times;serif"/>
          <w:sz w:val="20"/>
          <w:shd w:fill="FFFFFF" w:val="clear"/>
        </w:rPr>
        <w:t>Cost of sales is composed of royalty expense due to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$3.4 million increase in cost of sales in the six months ended June 30, 2025, from the same period in 2024 was due to $1.6 million of additional royalties due to our growth in sales and $1.8 million attributed to increased product costs associated with higher sales volume.  We expect cost of sales as a percentage of revenue to continue to be in a range of 10% to 12% in the foreseeable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Research and development expense. </w:t>
      </w:r>
      <w:r>
        <w:rPr>
          <w:rFonts w:ascii="Times New Roman;Times;serif" w:hAnsi="Times New Roman;Times;serif"/>
          <w:sz w:val="20"/>
        </w:rPr>
        <w:t>Research and development expense decreased by $79.6 million to $79.3 million for the six months ended June 30, 2025 from $158.9 million for the six months ended June 30, 2024, a decrease of 50%. The net decrease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of $92.5 million related to acquired In-Process Research and Development (“IPR&amp;D”) costs associated with the acquisition of LGC’s proprietary compound bivamelagon in the six months ended June 30, 2024, which did not recur in 2025;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decrease of $2.2 million in our clinical trial costs due to the completion and wind down of our long-term extension trial, Phase 2 Basket trial, Phase 3 pediatrics trial, and switch trial, as well as decreased genetic sequencing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above decreases were partially offset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$7.5 million associated with chemistry, manufacturing, and controls (CMC) costs for drug formulation to support our ongoing Phase 1 clinical trial of RM-718 and the Phase 2 bivamelagon trial acquired from LGC,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$6.6 million related to personnel costs, including $3.4 million related to salaries, benefits and other compensation costs related to the hiring of additional full-time employees in order to support the growth of our research and development programs, and $3.2 million of stock-based compensation, and</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$0.7 million in professional services related to research and development expenses.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Selling, general and administrative expense. </w:t>
      </w:r>
      <w:r>
        <w:rPr>
          <w:rFonts w:ascii="Times New Roman;Times;serif" w:hAnsi="Times New Roman;Times;serif"/>
          <w:sz w:val="20"/>
        </w:rPr>
        <w:t>Selling, general and administrative expense increased by $14.2 million to $85.0 million for the six months ended June 30, 2025 from $70.8 million for the six months ended June 30, 2024, an increase of 20%. The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 increase of $13.0 million related to personnel costs including $7.4 million of stock-based compensation, as well as $5.5 </w:t>
            </w:r>
            <w:r>
              <w:rPr>
                <w:rFonts w:ascii="Times New Roman;Times;serif" w:hAnsi="Times New Roman;Times;serif"/>
                <w:b w:val="false"/>
                <w:i w:val="false"/>
                <w:caps w:val="false"/>
                <w:smallCaps w:val="false"/>
                <w:sz w:val="20"/>
                <w:shd w:fill="FFFFFF" w:val="clear"/>
              </w:rPr>
              <w:t>million of additional headcount to support our expanding business operations as well as to establish commercial operations in international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$2.6 million related to increased marketing and promotion costs to support continued revenue growth, and</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in patents and regulatory expense of $0.5 million to support our ongoing growth. </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above increases were partially offset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CMC and other related costs of $1.7 million.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income (expense), net.  </w:t>
      </w:r>
      <w:r>
        <w:rPr>
          <w:rFonts w:ascii="Times New Roman;Times;serif" w:hAnsi="Times New Roman;Times;serif"/>
          <w:sz w:val="20"/>
        </w:rPr>
        <w:t>Other income (expense), net decreased by ($10.9) million to ($3.4) million for the six months ended June 30, 2025 from $7.5 million of other income for the six months ended June 30, 2024.  The decrease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one-time gain of $8.9 million that was recognized for the settlement of the forward contract recorded with the issuance of Convertible Preferred Stock during the three months ended June 30, 2024; which did not recur in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of $1.9 million of non-cash interest expense in the three months ended June 30, 2025, primarily associated with an increase in the accretion of the deferred royalty obligation as well as the non-current liability payable to LGC that was paid in July 2025.</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our cash and cash equivalents and short-term investments were approximately $291.0 million. On July 11, 2025, we closed a public offering of 2,367,647 of common stock at a public offering price of $85 per share, resulting in net proceeds of approximately $189.2 million, after deducting underwriting discounts and commissions, excluding certain offering expenses payable by us.</w:t>
      </w:r>
      <w:r>
        <w:rPr>
          <w:rFonts w:ascii="Times New Roman;Times;serif" w:hAnsi="Times New Roman;Times;serif"/>
          <w:sz w:val="20"/>
          <w:shd w:fill="FFFFFF" w:val="clea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information regarding our cash flows for the six months ended June 30, 2025 and 2024:</w:t>
      </w:r>
    </w:p>
    <w:p>
      <w:pPr>
        <w:pStyle w:val="TextBody"/>
        <w:bidi w:val="0"/>
        <w:spacing w:before="0" w:after="0"/>
        <w:ind w:left="0" w:right="0" w:hanging="0"/>
        <w:jc w:val="left"/>
        <w:rPr/>
      </w:pPr>
      <w:r>
        <w:rPr/>
        <w:t>​</w:t>
      </w:r>
    </w:p>
    <w:tbl>
      <w:tblPr>
        <w:tblW w:w="8006" w:type="dxa"/>
        <w:jc w:val="left"/>
        <w:tblInd w:w="0" w:type="dxa"/>
        <w:tblLayout w:type="fixed"/>
        <w:tblCellMar>
          <w:top w:w="0" w:type="dxa"/>
          <w:left w:w="0" w:type="dxa"/>
          <w:bottom w:w="0" w:type="dxa"/>
          <w:right w:w="0" w:type="dxa"/>
        </w:tblCellMar>
      </w:tblPr>
      <w:tblGrid>
        <w:gridCol w:w="5566"/>
        <w:gridCol w:w="211"/>
        <w:gridCol w:w="796"/>
        <w:gridCol w:w="326"/>
        <w:gridCol w:w="211"/>
        <w:gridCol w:w="896"/>
      </w:tblGrid>
      <w:tr>
        <w:trPr/>
        <w:tc>
          <w:tcPr>
            <w:tcW w:w="5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6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006"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w:t>
            </w:r>
          </w:p>
        </w:tc>
        <w:tc>
          <w:tcPr>
            <w:tcW w:w="24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(69,819)</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21,488</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150,422</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101,719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cash in all periods resulted primarily from our net loss adjusted for non-cash charges and changes in components of operating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$63.7 million for the six months ended June 30, 2025 and consisted primarily of a net loss of $96.1 million adjusted for non-cash items of $35.9 million, which consisted of stock-based compensation, non-cash interest expense, non-cash accretion and amortization of short-term investments, depreciation and amortization, rent expense, the change in the fair value of our embedded derivative asset, and the change in unrealized gain on foreign currency. The change in operating assets and liabilities used net cash of approximately $3.4 million and was primarily driven by net increases in prepaids and other current assets of $10.0 million, the change in accounts receivable of $7.1 million, and the change in deferred revenue of $1.3 million. These net uses of cash were offset by an increase in accounts payable, accrued expenses and other liabilities of $9.6 million, and net decreases in other long-term assets of $5.5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$69.8 million for the six months ended June 30, 2024 and consisted primarily of a net loss of $173.6 million adjusted for non-cash items of $108.1 million, which consisted of non-cash stock-based compensation, depreciation and amortization, rent expense and the change in the fair value of our embedded derivative liability, totaling $18.3 million. Our net loss adjusted for non-cash items also includes $92.4 million of acquired IPR&amp;D assets, which are classified as investing activities, as well as an $8.9 million gain on the settlement of a forward contract. The change in operating assets and liabilities used net cash of approximately $4.3 million, primarily driven by net increases in accounts receivable and inventory of $6.1 million, net decreases in accounts payable and accrued expenses of $0.8 million, offset by net decreases in long-term assets of $2.2 million and net decreases in prepaid expenses of $0.3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investing activities was $78.8 million for the six months ended June 30, 2025 and relates to gross maturities of short-term investments of $139.3 million, offset by purchases of short-term investments for $60.5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was $21.5 million for the six months ended June 30, 2024 and relates to gross maturities of short-term investments of $127.8 million, offset by purchases of short term investments for $66.3 million and cash used for the purchase of LGC’s proprietary compound LB54640 for $40.0 million in January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$31.6 million for the six months ended June 30, 2025, and consisted of net proceeds of $34.0 million from our ATM equity offering, as well as proceeds of $6.5 million from the exercise of stock options and the issuance of common stock from our Employee Stock Purchase Plan. These proceeds were offset by $8.9 million of repayments of our deferred royalty obligation.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$150.4 million for the six months ended June 30, 2024, and consisted of net proceeds of $147.8 million from the issuance of Series A Preferred Stock as well as proceeds of $8.4 million from the exercise of stock options and the issuance of common stock from our Employee Stock Purchase Plan.  These proceeds were offset by $5.8 million of repayments of our deferred royalty obligation.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our cash and cash equivalents and short-term investments as of June 30, 2025, combined with the net proceeds from our July 2025 offering, will be sufficient to fund our planned operations for at least 24 months.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continue to commercialize setmelanotide, by growing our internal sales force or entering into collaborations with third parties and providing support services for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scope, progress, results and costs of clinical trials for our setmelanotide program </w:t>
            </w:r>
            <w:r>
              <w:rPr>
                <w:rFonts w:ascii="Times New Roman;Times;serif" w:hAnsi="Times New Roman;Times;serif"/>
                <w:b w:val="false"/>
                <w:i w:val="false"/>
                <w:caps w:val="false"/>
                <w:smallCaps w:val="false"/>
                <w:sz w:val="20"/>
                <w:shd w:fill="FFFFFF" w:val="clear"/>
              </w:rPr>
              <w:t>as well as for RM-718 and bivamelagon, and in connection with a therapeutic product candidate for CHI</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costs, timing and outcome of regulatory review of our setmelanotide program </w:t>
            </w:r>
            <w:r>
              <w:rPr>
                <w:rFonts w:ascii="Times New Roman;Times;serif" w:hAnsi="Times New Roman;Times;serif"/>
                <w:b w:val="false"/>
                <w:i w:val="false"/>
                <w:caps w:val="false"/>
                <w:smallCaps w:val="false"/>
                <w:sz w:val="20"/>
                <w:shd w:fill="FFFFFF" w:val="clear"/>
              </w:rPr>
              <w:t>as well as for RM-718 and bivamelagon, and in connection with a therapeutic product candidate for CHI</w:t>
            </w:r>
            <w:r>
              <w:rPr>
                <w:rFonts w:ascii="Times New Roman;Times;serif" w:hAnsi="Times New Roman;Times;serif"/>
                <w:b w:val="false"/>
                <w:i w:val="false"/>
                <w:caps w:val="false"/>
                <w:smallCaps w:val="false"/>
                <w:sz w:val="20"/>
              </w:rPr>
              <w:t>;</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owed to Ipsen, Camurus AB, and LGC pursuant to our license agreements;</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additional collaborations on favorable terms, if at all;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Further, the global economy, including credit and financial markets, has recently experienced extreme volatility and disruptions, including severely diminished liquidity and credit availability, rising interest and inflation rates, declines and fluctuations in consumer confidence and economic growth, increases in unemployment rates, the imposition of tariffs and other trade barriers, uncertainty about economic stability, and rising political uncertainty.  Any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Until such time, if ever, as we can generate substantial product revenues, we expect to finance our cash needs through a combination of equity offerings, debt financings, collaborations, strategic alliances and licensing arrangements.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hanging="0"/>
        <w:jc w:val="lef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November 2, 2021, we entered into a Sales Agreement with Cowen and Company, LLC (“Cowen”), pursuant to which we may issue and sell shares of our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we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December 10, 2024 to December 31, 2024, the Company sold 744,595 shares of common stock in the ATM Program for net proceeds of $41.2 million as of December 31, 2024.  The Company sold an additional 587,510 shares of common stock in the ATM Program from January 1, 2025 through January 21, 2025 for net proceeds of approximately $32.1 million in the quarter ending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there were no other material changes to our principal contractual obligations and commitments as reported in our Annual Report on Form 10-K for the fiscal year ended December 31, 2024.</w:t>
      </w:r>
    </w:p>
    <w:p>
      <w:pPr>
        <w:pStyle w:val="TextBody"/>
        <w:bidi w:val="0"/>
        <w:spacing w:before="0" w:after="240"/>
        <w:ind w:left="0" w:right="0" w:hanging="0"/>
        <w:jc w:val="left"/>
        <w:rPr>
          <w:rFonts w:ascii="Times New Roman;Times;serif" w:hAnsi="Times New Roman;Times;serif"/>
          <w:b/>
          <w:sz w:val="20"/>
        </w:rPr>
      </w:pPr>
      <w:bookmarkStart w:id="1210" w:name="Item3QuantitativeandQualitativeDisclosur"/>
      <w:bookmarkStart w:id="1211" w:name="_95668733_6f4b_4500_97ee_3aa9adbf84de"/>
      <w:bookmarkStart w:id="1212" w:name="_Item_3._Quantitative"/>
      <w:bookmarkEnd w:id="1210"/>
      <w:bookmarkEnd w:id="1211"/>
      <w:bookmarkEnd w:id="1212"/>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2025, there were no material changes to our quantitative and qualitative disclosures about market risks as reported in Part II, Item 7A “Quantitative and Qualitative Disclosures About Market Risks” in our Annual Report on Form 10-K for the fiscal year ended December 31, 2024.</w:t>
      </w:r>
    </w:p>
    <w:p>
      <w:pPr>
        <w:pStyle w:val="TextBody"/>
        <w:bidi w:val="0"/>
        <w:spacing w:before="0" w:after="240"/>
        <w:ind w:left="0" w:right="0" w:hanging="0"/>
        <w:jc w:val="left"/>
        <w:rPr>
          <w:rFonts w:ascii="Times New Roman;Times;serif" w:hAnsi="Times New Roman;Times;serif"/>
          <w:b/>
          <w:sz w:val="20"/>
        </w:rPr>
      </w:pPr>
      <w:bookmarkStart w:id="1213" w:name="Item4ControlsandProcedures_327032"/>
      <w:bookmarkStart w:id="1214" w:name="_182ac204_d110_479e_9d1a_9352bc87c213"/>
      <w:bookmarkStart w:id="1215" w:name="_Item_4._Controls"/>
      <w:bookmarkEnd w:id="1213"/>
      <w:bookmarkEnd w:id="1214"/>
      <w:bookmarkEnd w:id="121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Evaluation of Disclosure Controls and Procedures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Quarterly Report on Form 10-Q. Based on such evaluation, our principal executive officer and principal financial officer have concluded that, as of June 30, 2025,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Changes in Internal Control Over Financial Reporting </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16" w:name="PARTIIOTHERINFORMATION_163608"/>
      <w:bookmarkStart w:id="1217" w:name="_1475b3f2_ec26_4d7b_ac35_974a342b8400"/>
      <w:bookmarkEnd w:id="1216"/>
      <w:bookmarkEnd w:id="121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18" w:name="Item1LegalProceedings_912155"/>
      <w:bookmarkEnd w:id="1218"/>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bidi w:val="0"/>
        <w:spacing w:before="0" w:after="240"/>
        <w:ind w:left="0" w:right="0" w:hanging="0"/>
        <w:jc w:val="left"/>
        <w:rPr>
          <w:rFonts w:ascii="Times New Roman;Times;serif" w:hAnsi="Times New Roman;Times;serif"/>
          <w:sz w:val="20"/>
        </w:rPr>
      </w:pPr>
      <w:bookmarkStart w:id="1219" w:name="RiskFactors"/>
      <w:bookmarkStart w:id="1220" w:name="Item1ARiskFactors_562794"/>
      <w:bookmarkStart w:id="1221" w:name="_daec1152_059b_4bc7_b048_1e7c53cce667"/>
      <w:bookmarkEnd w:id="1219"/>
      <w:bookmarkEnd w:id="1220"/>
      <w:bookmarkEnd w:id="1221"/>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June 30, 2025 (the “Quarterly Report”), including our unaudited condensed consolidated financial statements and the related notes thereto, and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Risks Related to Our Financial Position and Need for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global,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$313.8 million of revenue from product sales.  In the United States, IMCIVREE is approved to reduce excess body weight and maintain weight reduction long term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VUS.  In total, to date we have achieved market access or named patient sales of IMCIVREE for BBS or POMC and LEPR deficiencies, or both, in more than 20 countries outside the United States, and we continue to collaborate with authorities to achieve access in additional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There can be no assurance that regulatory approvals will be received or if received that they will be received when anticipated and ultimately we may fail to realize the anticipated benefits of our CHI program or those benefits may take longer to realize than expected.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net losses were $46.6 million, $96.1 million, $32.3 million, and $173.6 million for the three and six months ending June 30, 2025 and 2024, respectively.  As of June 30, 2025, we had an accumulated deficit of $1.3 billion.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(recently completed a Phase 2 clinical trial),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since we have achieved market access or named patient sales of IMCIVREE for BBS or POMC and LEPR deficiencies, or both, in more than 20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become profitable depends upon our ability to generate revenue. As of June 30, 2025, we have generated approximately $313.8 million of revenue from product sales. Our ability to generate revenue depends on a number of factors, including, but not limited to,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commercialize setmelanotide by building a commercial organization and/or entering into collaborations with third parties;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IMCIVREE is available to patients;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achieve market acceptance of setmelanotide in the medical community and with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initiate and successfully complete later-stage clinical trials for setmelanotide, RM-718, bivamelagon, or other product candidates that meet their clinical endpoints;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initiate and successfully complete all studies required to obtain U.S. and foreign marketing approvals for setmelanotide as a treatment to address patients with deficiencies affecting the MC4R pathway;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manufacture or contract with others to manufacture setmelanotide, or RM-718 and bivamelagon if approved.</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will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August 2015 through August 2017, we raised aggregate net proceeds of $80.8 million through our issuance of series A preferred stock. In connection with our initial public offering, or IPO, in October 2017, our underwritten follow-on offerings and through our ATM Program through June 30, 2025, we raised aggregate net proceeds of approximately $864.8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 million, conditioned upon our achievement of certain clinical development and sales milestones. As of June 30, 2025, we have received $96.7 million of aggregate proceeds, net of debt issuance costs, under the RIFA. We also received $147.8 million in net proceeds under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June 30, 2025, our cash and cash equivalents and short-term investments were approximately $291.0 million. On July 11, 2025, we closed an upsized public offering of 2,367,647 of common stock at a public offering price of $85 per share, resulting in net proceeds of approximately $189.2 million, after deducting underwriting discounts and commissions, excluding certain estimated offering expenses payable by us. We expect that our cash and cash equivalents and short-term investments as of June 30, 2025, combined with the net proceeds from our July 2025 offering, will be sufficient to fund our planned operations for at least 24 months.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 or future operating plans, we may seek additional capital if market conditions are favorable or if we have specific strategic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RIFA Investment Amount, net of debt issuance costs, following the achievement of a specified amount of cumulative net sales of IMCIVREE between July 1, 2022 and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consideration for the Investment Amount and pursuant to the RIFA, we agreed to pay the RIFA Investors a tiered royalty on our annual net revenues (the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June 30, 2025 we have made $29.4 million of payments, including $4.3 million in the three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RIFA Investors’ rights to receive the Revenue Interests will terminate on the date on which the RIFA Investors have received payments equal to a certain percentage of the funded portion of the Investment Amount including 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obligations under the RIFA could have significant negative consequences for our security holders and our business, results of operations and financial condition by, among other things:</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adverse economic and industry conditions;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obtain additional financing or enter into IMCIVREE collaboration or other business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dedication of a portion of our cash flow from operations to service our indebtedness, which will reduce the amount of cash available for other purposes;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to plan for, or react to, changes in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possible competitive disadvantage with competitors that are less leveraged than us or have better access to capital;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we incur additional debt (including without limitation additional amounts under the RIFA), the risks described above could increase.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the Development of Setmelanotide and Other Product Candidates and our CHI Program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BBS and hypothalamic obesity, and believe we have demonstrated proof of concept in Phase 2 clinical trials in impairments due to a variant in one of the two alleles in the </w:t>
      </w:r>
      <w:r>
        <w:rPr>
          <w:rFonts w:ascii="Times New Roman;Times;serif" w:hAnsi="Times New Roman;Times;serif"/>
          <w:i/>
          <w:sz w:val="20"/>
        </w:rPr>
        <w:t xml:space="preserve">POMC, PCSK1, </w:t>
      </w:r>
      <w:r>
        <w:rPr>
          <w:rFonts w:ascii="Times New Roman;Times;serif" w:hAnsi="Times New Roman;Times;serif"/>
          <w:sz w:val="20"/>
        </w:rPr>
        <w:t xml:space="preserve">or </w:t>
      </w:r>
      <w:r>
        <w:rPr>
          <w:rFonts w:ascii="Times New Roman;Times;serif" w:hAnsi="Times New Roman;Times;serif"/>
          <w:i/>
          <w:sz w:val="20"/>
        </w:rPr>
        <w:t xml:space="preserve">LEPR </w:t>
      </w:r>
      <w:r>
        <w:rPr>
          <w:rFonts w:ascii="Times New Roman;Times;serif" w:hAnsi="Times New Roman;Times;serif"/>
          <w:sz w:val="20"/>
        </w:rPr>
        <w:t xml:space="preserve">genes (HET obesity), as well as the SRC1 and SH2B1 genes, all genetic diseases of extreme and unrelenting appetite and obesity. We hypothesize that patients with other upstream genetic variants in genes upstream of the MC4R in the MC4R pathway may also respond with reductions in weight and hunger after treatment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setmelanotide. However, patients with other upstream genetic variants may not have a similar response to setmelanotide, and until we obtain more clinical data in other genetic variants, we will not be sure that we can achieve proof of concept or magnitude of response sufficient to demonstrate statistical significance in such populations.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actively working to advance additional genetic variants related to patient populations carrying such genetic variants in other MC4R pathway related genes in the MC4R pathway through our clinical development programs. Our continued development efforts are focused on obesity related to several single gene, or monogenic, MC4R pathway impairments: BBS; obesity due to a genetic variant in one of the two alleles of the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 or HETs; obesity due to steroid receptor coactivator 1, or SRC1, variants; obesity due to SH2B adapter protein 1, or SH2B1; hypothalamic obesity; Prader-Willi Syndrome (PWS)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is entirely independent of the others and, if successful, is designed to support separate regulatory submissions to the FDA and EMA in each studied population. However, the FDA and EMA may not view positive results in one sub-study, even if such results are statistically significant and clinically meaningful, as being sufficient for approval for any given indication</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Interim, “topline” and preliminary data from our preclinical and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also disclose interim data from our preclinical studies and clinical trials. Interim data from clinical trials that we may complete are subject to the risk that one or more of the clinical outcomes may materially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disclose real-world data from early access programs in particular patient cohorts, which are not controlled trials and may not be predictive of future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2024, we entered into a license agreement and share issuance agreement with LGC. Pursuant to the terms of the license agreement, we obtained exclusive worldwide rights to develop LGC’s proprietary compound bivamelagon. We agreed to pay LGC royalties of between low-to-mid single digit percent of net revenues from our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and, under some circumstances, we could be subject to certain ongoing payments, penalties and fees, all of which in turn would have a material adverse effect on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2024, our database had approximately 100,000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POMC Deficiency Obesity</w:t>
            </w:r>
            <w:r>
              <w:rPr>
                <w:rFonts w:ascii="Times New Roman;Times;serif" w:hAnsi="Times New Roman;Times;serif"/>
                <w:b w:val="false"/>
                <w:i w:val="false"/>
                <w:caps w:val="false"/>
                <w:smallCaps w:val="false"/>
                <w:sz w:val="20"/>
              </w:rPr>
              <w:t xml:space="preserve">. POMC Deficiency Obesity is defined by the presence of biallelic variants in the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based on discussions with experts in rare diseases, that the number of diagnosed cases could increase several-fold with increased awareness of this deficiency and the availability of new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U.S. Census Bureau figures for adults and children, and Centers for Disease Control and Prevention, or CDC, prevalence numbers for adults with severe obesity (body mass index, or BMI, greater than 40 kg/m</w:t>
            </w:r>
            <w:r>
              <w:rPr>
                <w:rFonts w:ascii="Times New Roman;Times;serif" w:hAnsi="Times New Roman;Times;serif"/>
                <w:b w:val="false"/>
                <w:i w:val="false"/>
                <w:caps w:val="false"/>
                <w:smallCaps w:val="false"/>
                <w:sz w:val="13"/>
              </w:rPr>
              <w:t>2</w:t>
            </w:r>
            <w:r>
              <w:rPr>
                <w:rFonts w:ascii="Times New Roman;Times;serif" w:hAnsi="Times New Roman;Times;serif"/>
                <w:b w:val="false"/>
                <w:i w:val="false"/>
                <w:caps w:val="false"/>
                <w:smallCaps w:val="false"/>
                <w:sz w:val="20"/>
              </w:rPr>
              <w:t>) and for children with severe early-onset obesity (99th percentile at ages two to 17 years old);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internal sequencing yield for POMC deficiency obesity patients (including both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 xml:space="preserve">gene diseases), defined as patients having biallelic variants in the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genes that are interpreted as pathogenic, likely pathogenic, or of uncertain significance, of approximately 0.05%.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LEPR Deficiency Obesity</w:t>
            </w:r>
            <w:r>
              <w:rPr>
                <w:rFonts w:ascii="Times New Roman;Times;serif" w:hAnsi="Times New Roman;Times;serif"/>
                <w:b w:val="false"/>
                <w:i w:val="false"/>
                <w:caps w:val="false"/>
                <w:smallCaps w:val="false"/>
                <w:sz w:val="20"/>
              </w:rPr>
              <w:t xml:space="preserve">. LEPR Deficiency Obesity is defined by the presence of biallelic variants in the </w:t>
            </w:r>
            <w:r>
              <w:rPr>
                <w:rFonts w:ascii="Times New Roman;Times;serif" w:hAnsi="Times New Roman;Times;serif"/>
                <w:b w:val="false"/>
                <w:i/>
                <w:sz w:val="20"/>
              </w:rPr>
              <w:t>LEPR</w:t>
            </w:r>
            <w:r>
              <w:rPr>
                <w:caps w:val="false"/>
                <w:smallCaps w:val="false"/>
              </w:rPr>
              <w:t xml:space="preserve"> </w:t>
            </w:r>
            <w:r>
              <w:rPr>
                <w:rFonts w:ascii="Times New Roman;Times;serif" w:hAnsi="Times New Roman;Times;serif"/>
                <w:b w:val="false"/>
                <w:i w:val="false"/>
                <w:caps w:val="false"/>
                <w:smallCaps w:val="false"/>
                <w:sz w:val="20"/>
              </w:rPr>
              <w:t>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epidemiology studies on LEPR deficiency obesity in small cohorts of patients comprised of children with severe obesity and adults with severe obesity who have a history of early onset obesity;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U.S. Census Bureau figures for adults and children and CDC prevalence numbers for adults with severe obesity (BMI, greater than 40 kg/m</w:t>
            </w:r>
            <w:r>
              <w:rPr>
                <w:rFonts w:ascii="Times New Roman;Times;serif" w:hAnsi="Times New Roman;Times;serif"/>
                <w:b w:val="false"/>
                <w:i w:val="false"/>
                <w:caps w:val="false"/>
                <w:smallCaps w:val="false"/>
                <w:sz w:val="13"/>
              </w:rPr>
              <w:t>2</w:t>
            </w:r>
            <w:r>
              <w:rPr>
                <w:rFonts w:ascii="Times New Roman;Times;serif" w:hAnsi="Times New Roman;Times;serif"/>
                <w:b w:val="false"/>
                <w:i w:val="false"/>
                <w:caps w:val="false"/>
                <w:smallCaps w:val="false"/>
                <w:sz w:val="20"/>
              </w:rPr>
              <w:t>) and for children with severe early-onset obesity (99th percentile at ages two to 17 years 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wider availability of genetic testing expected for LEPR deficiency obesity and increased awareness of new treatments, our belief that up to 40% of patients with these diseases may eventually be diagnosed;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internal sequencing yield for LEPR deficiency obesity patients, defined as patients having biallelic variants in the </w:t>
            </w:r>
            <w:r>
              <w:rPr>
                <w:rFonts w:ascii="Times New Roman;Times;serif" w:hAnsi="Times New Roman;Times;serif"/>
                <w:b w:val="false"/>
                <w:i/>
                <w:sz w:val="20"/>
              </w:rPr>
              <w:t>LEPR</w:t>
            </w:r>
            <w:r>
              <w:rPr>
                <w:caps w:val="false"/>
                <w:smallCaps w:val="false"/>
              </w:rPr>
              <w:t xml:space="preserve"> </w:t>
            </w:r>
            <w:r>
              <w:rPr>
                <w:rFonts w:ascii="Times New Roman;Times;serif" w:hAnsi="Times New Roman;Times;serif"/>
                <w:b w:val="false"/>
                <w:i w:val="false"/>
                <w:caps w:val="false"/>
                <w:smallCaps w:val="false"/>
                <w:sz w:val="20"/>
              </w:rPr>
              <w:t>gene that are interpreted as pathogenic, likely pathogenic, or of uncertain significance, of approximately 0.09%.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Bardet-Biedl Syndrome</w:t>
            </w:r>
            <w:r>
              <w:rPr>
                <w:rFonts w:ascii="Times New Roman;Times;serif" w:hAnsi="Times New Roman;Times;serif"/>
                <w:b w:val="false"/>
                <w:i w:val="false"/>
                <w:caps w:val="false"/>
                <w:smallCaps w:val="false"/>
                <w:sz w:val="20"/>
              </w:rPr>
              <w:t>. Our addressable patient population estimate for BBS is approximately 4,000 to 5,000 patients in the United States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published prevalence estimates of one in 100,000 in North America, which projects to approximately 3,250 people in the United States. We believe the majority of these patients are addressable patients;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comparisons to our patient identification efforts in Europe where we believe there are approximately 1,500 patients diagnosed and being cared for at academic centers in Europe; </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patient identification efforts to date in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for biallelic pathogenic or likely pathogenic variants in BBS genes of approximately 0.3%;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with wider availability of genetic testing expected for BBS and increased awareness of new treatments, the number of patients diagnosed with this disorder will increase.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POMC, PCSK1, or LEPR Heterozygous Obesities; SRC1 and SH2B1 Obesities</w:t>
            </w:r>
            <w:r>
              <w:rPr>
                <w:rFonts w:ascii="Times New Roman;Times;serif" w:hAnsi="Times New Roman;Times;serif"/>
                <w:b w:val="false"/>
                <w:i w:val="false"/>
                <w:caps w:val="false"/>
                <w:smallCaps w:val="false"/>
                <w:sz w:val="20"/>
              </w:rPr>
              <w:t>. Our potential 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Census Bureau population data and CDC prevalence numbers for early onset obesity (≥120% the 95th percentile with onset prior to 6 years of 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of patients with POMC, PCSK1, or LEPR heterozygous, SRC1 or SH2B1 variants interpreted as pathogenic, likely pathogenic, or of uncertain significance of approximately 10-15%;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response rate of 40% for patients carrying pathogenic or likely pathogenic variants, and 20% for patients carrying a variant of uncertain significance.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clinical response rate used in this calculation is based on the clinical data currently available to us from our trials and may change as more data become available.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MC4R Deficiency Obesity</w:t>
            </w:r>
            <w:r>
              <w:rPr>
                <w:rFonts w:ascii="Times New Roman;Times;serif" w:hAnsi="Times New Roman;Times;serif"/>
                <w:b w:val="false"/>
                <w:i w:val="false"/>
                <w:caps w:val="false"/>
                <w:smallCaps w:val="false"/>
                <w:sz w:val="20"/>
              </w:rPr>
              <w:t>. Our addressable patient population estimate for MC4R-rescuable deficiency obesity is approximately 10,000 patients in the United States. This estimate is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Census Bureau population data and CDC prevalence numbers for early onset obesity (≥120% the 95th percentile between the ages of 2-5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comprehensive biochemical screening study indicating there may be a defined subset of individuals who carry MC4R variants that may be rescued by an MC4R agonist;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for MC4R deficiency obesity patients of approximately 2.0% prior to application of functional filters.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Obesity due to a deficiency in the MC4R pathway caused by variants in the SEMA3 family, PHIP, TBX3 or PLXNA family</w:t>
            </w:r>
            <w:r>
              <w:rPr>
                <w:rFonts w:ascii="Times New Roman;Times;serif" w:hAnsi="Times New Roman;Times;serif"/>
                <w:b w:val="false"/>
                <w:i w:val="false"/>
                <w:caps w:val="false"/>
                <w:smallCaps w:val="false"/>
                <w:sz w:val="20"/>
              </w:rPr>
              <w:t>. Our addressable patient population estimate for obesity patient with variants in these genes is approximately 63,500 patients in the United States. This estimate is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tc>
      </w:tr>
    </w:tbl>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Hypothalamic obesity</w:t>
            </w:r>
            <w:r>
              <w:rPr>
                <w:rFonts w:ascii="Times New Roman;Times;serif" w:hAnsi="Times New Roman;Times;serif"/>
                <w:b w:val="false"/>
                <w:i w:val="false"/>
                <w:caps w:val="false"/>
                <w:smallCaps w:val="false"/>
                <w:sz w:val="20"/>
              </w:rPr>
              <w:t>. Our addressable patient population estimate for hypothalamic obesity (HO) is 5,000 to 10,000 patients in the United States. We estimate there are 5,000 to 8,000 people living with hypothalamic obesity in Japan, and 3,500 to 10,000 people living with hypothalamic obesity in the E.U. These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diagnosis of an underlying HO etiology such as craniopharyngioma (CP), astrocytoma, or other brain tumors with CP accounting for approximately 50% of HO etiologies;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incidence of CP of approximately 1.3 to 2.2 per million per year in the United States, which projects to approximately 600 cases of CP per year based on a United States population of approximately 329 million;</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50% (based on a published range of 6% to 91%) of CP patients develop HO;</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estimates of overall survival (OS) after CP diagnosis, with a 20-year OS of 84%;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for patients that develop HO due to other factors besides CP, results in an estimated HO prevalence after CP diagnosis in the United States exceeding 2,500-7,500 patients;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Company estimate is based on reported incidence of hypothalamic obesity following CP and long-term survival rates.</w:t>
            </w:r>
          </w:p>
        </w:tc>
      </w:tr>
    </w:tbl>
    <w:p>
      <w:pPr>
        <w:pStyle w:val="TextBody"/>
        <w:bidi w:val="0"/>
        <w:spacing w:lineRule="auto" w:line="300" w:before="0" w:after="240"/>
        <w:ind w:left="1170" w:right="0" w:hanging="0"/>
        <w:jc w:val="both"/>
        <w:rPr>
          <w:rFonts w:ascii="Times New Roman;Times;serif" w:hAnsi="Times New Roman;Times;serif"/>
          <w:sz w:val="20"/>
        </w:rPr>
      </w:pPr>
      <w:r>
        <w:rPr>
          <w:rFonts w:ascii="Times New Roman;Times;serif" w:hAnsi="Times New Roman;Times;serif"/>
          <w:sz w:val="20"/>
        </w:rPr>
        <w:t>Given the etiology of the disease, our estimates on HO are based on our internal review and interpretation of the literature and available prevalence data.</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experience delays or difficulties in the enrollment and/or retention of patients in clinical trials, our regulatory submissions or receipt of additional marketing approvals could be delayed or prevented.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pacing w:val="-1"/>
          <w:sz w:val="20"/>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w:t>
      </w:r>
      <w:r>
        <w:rPr>
          <w:rFonts w:ascii="Times New Roman;Times;serif" w:hAnsi="Times New Roman;Times;serif"/>
          <w:sz w:val="20"/>
        </w:rPr>
        <w:t xml:space="preserve">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nature of the patient population;</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severity of the disease under investigation;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efficacy of approved drugs for the disease under investigation;</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eligibility criteria for the trial in question as defined in the protocol;</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the product candidate under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willingness to screen their patients for genetic markers to indicate which patients may be eligible for enrollment in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or temporary suspension of the enrollment of patients in our planned clinical trial due to public health emergencies;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obtain and maintain patient consents;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referral practices of physicians;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and availability of clinical trial sites for prospective patients;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trials, we may have difficulty maintaining participation in our clinical trials through the treatment and any follow-up periods.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Failures or delays in the commencement or completion of our planned clinical trials could result in increased costs to us and could delay, prevent or limit our ability to generate revenue, achieve profitability and continue our business.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Successful completion of our ongoing and planned clinical trials is a prerequisite to submitting an NDA or NDA supplement to the FDA, a marketing authorization application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inability to generate sufficient preclinical or other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in vitro</w:t>
            </w:r>
            <w:r>
              <w:rPr>
                <w:caps w:val="false"/>
                <w:smallCaps w:val="false"/>
              </w:rPr>
              <w:t xml:space="preserve"> </w:t>
            </w:r>
            <w:r>
              <w:rPr>
                <w:rFonts w:ascii="Times New Roman;Times;serif" w:hAnsi="Times New Roman;Times;serif"/>
                <w:b w:val="false"/>
                <w:i w:val="false"/>
                <w:caps w:val="false"/>
                <w:smallCaps w:val="false"/>
                <w:sz w:val="20"/>
              </w:rPr>
              <w:t>data to support the initiation of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completion of preclinical laboratory tests, animal studies and formulation studies in accordance with FDA’s good laboratory practice requirements and other applicable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authorities in foreign jurisdictions may deny permission to proceed with our ongoing or planned trials or any other clinical trials we may initiate, or may place a clinical trial on hold or such trial may be suspended;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filing or receiving authorization to proceed under an additional investigational new drug application, or IND, or similar foreign application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with the FDA and other regulatory agencies on study design and obtaining regulatory authorization to commence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or failing to reach agreement on acceptable terms with prospective CROs and clinical trial sites, the terms of which can be subject to extensive negotiation and may vary significantly among different CROs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obtaining or maintaining Institutional Review Board, or IRB, and/or ethics committee approval or opinion to conduct a clinical trial at a prospective site or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quantity or quality of setmelanotide, RM-718, bivamelagon or other materials necessary to conduct clinical trials, including delays in the manufacturing of sufficient supply of finished drug product;</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identifying, recruiting and training suitable clinical investigators;</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recruiting and enrolling suitable patients to participate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or unexpected drug related side effects experienced by patients in a clinical trial, including side effects previously identified in our completed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collaborating with patient groups and investigators;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CROs, other third parties or us to perform in accordance with the FDA’s or any other regulatory authority’s GCPs or applicable regulatory guidelines in other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adverse events associated with setmelanotide, RM-718 or bivamelagon that are viewed to outweigh their potential benefits, or occurrence of adverse events in trial of the same or similar class of agents conducted by other companies;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clinical trial protocols;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or dropping out of a trial;</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that require amending or submitting new clinical protocols;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on which a clinical development plan was based, which may require new or additional trials;</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endpoints that require prolonged periods of observation or analyses of resulting data;</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being greater than we anticipate;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antibodies to the drug or adjuvants may result in loss of efficacy or safety events.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trial in accordance with regulatory requirements or our clinical trial protocols;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the clinical trial operations or trial sites by the FDA or other equivalent competent authorities that reveals deficiencies or violations that require us to undertake corrective action, including the imposition of a clinical hold;</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inconclusive results, unforeseen safety issues, adverse side effects or lack of effectiveness;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regulations or administrative actions;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problems with clinical trial supply materials; and</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p>
      <w:pPr>
        <w:pStyle w:val="TextBody"/>
        <w:bidi w:val="0"/>
        <w:spacing w:before="0" w:after="0"/>
        <w:ind w:left="0" w:right="0" w:firstLine="720"/>
        <w:jc w:val="both"/>
        <w:rPr>
          <w:rFonts w:ascii="Times New Roman;Times;serif" w:hAnsi="Times New Roman;Times;serif"/>
          <w:spacing w:val="-1"/>
          <w:sz w:val="20"/>
        </w:rPr>
      </w:pPr>
      <w:r>
        <w:rPr>
          <w:rFonts w:ascii="Times New Roman;Times;serif" w:hAnsi="Times New Roman;Times;serif"/>
          <w:spacing w:val="-1"/>
          <w:sz w:val="20"/>
        </w:rPr>
        <w:t xml:space="preserve">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pacing w:val="-1"/>
          <w:sz w:val="20"/>
        </w:rPr>
        <w:t>In addition, many of the factors that cause, or lead to, a delay in the commencement or completion of clinical trials may also ultimately lead to the denial of a regulatory approval</w:t>
      </w:r>
      <w:r>
        <w:rPr>
          <w:rFonts w:ascii="Times New Roman;Times;serif" w:hAnsi="Times New Roman;Times;serif"/>
          <w:sz w:val="20"/>
        </w:rPr>
        <w:t xml:space="preserve">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on April 11, 2025, the UK adopted an amendment to the UK clinical trials regulations intended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will become applicable on April 10, 2026 following a one-year transition period, and the MHRA will publish guidance intended to provide support during the transition period and once the amendment becomes applicable.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in the pharmaceutical industry is an expensive, high-risk, lengthy, complicated, resource intensive process. In order to develop a product successfully, we must, among other things:</w:t>
      </w:r>
    </w:p>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scientific discovery in areas that are uncertain, unproven and complex;</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potential product candidates;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for and receive regulatory approvals or allowances to perform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and conduct appropriate preclinical studies and clinical trials according to good laboratory practices and good clinical practices and disease-specific expectations of the FDA and other regulatory bodies;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and recruit suitable clinical investigators and subjects for our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correctly interpret data establishing adequate safety of our product candidates and demonstrating that our product candidates are effective for their proposed indications;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for and receive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the product candidates according to current Good Manufacturing Practices, or cGMPs, and other applicable standards and regulations.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are many other difficulties and uncertainties inherent in pharmaceutical research and development that could significantly delay or otherwise materially impair our ability to develop future product candidates,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designing clinical trials that may support any potential claims of superiority over current standard of care or future competitive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or reduced enrollment in clinical trials, high discontinuation rates or overly concentrated patient enrollment in specific geographic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third-party contractors, contract research organizations, or CROs, clinical investigators, clinical laboratories, or suppliers to comply with regulatory requirements or meet their contractual obligations in a timely manner;</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anticipated cost of our clinical trials; and</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product supply or inadequate product quality.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r>
              <w:rPr>
                <w:rFonts w:ascii="Times New Roman;Times;serif" w:hAnsi="Times New Roman;Times;serif"/>
                <w:b/>
                <w:i w:val="false"/>
                <w:caps w:val="false"/>
                <w:smallCaps w:val="false"/>
                <w:sz w:val="20"/>
              </w:rPr>
              <w: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be able to develop, license, or otherwise acquire additional products or product candidates; or whether our products, once launched, will be commercially successful.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Setmelanotide, RM-718 and bivamelagon are MC4R agonists. Potential side effects of MC4R agonism, which have been noted either with setmelanotide or with other MC4R agonists in clinical trials and preclinical studies, may include:</w:t>
      </w:r>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on cardiovascular parameters, such as increases in heart rate and blood pressure;</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erections in males and similar effects in women, such as sexual arousal, clitoral swelling and hypersensitivity;</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nausea and vomiting;</w:t>
            </w:r>
          </w:p>
        </w:tc>
      </w:tr>
    </w:tbl>
    <w:tbl>
      <w:tblPr>
        <w:tblW w:w="1941" w:type="dxa"/>
        <w:jc w:val="left"/>
        <w:tblInd w:w="0" w:type="dxa"/>
        <w:tblLayout w:type="fixed"/>
        <w:tblCellMar>
          <w:top w:w="28" w:type="dxa"/>
          <w:left w:w="28" w:type="dxa"/>
          <w:bottom w:w="28" w:type="dxa"/>
          <w:right w:w="28" w:type="dxa"/>
        </w:tblCellMar>
      </w:tblPr>
      <w:tblGrid>
        <w:gridCol w:w="124"/>
        <w:gridCol w:w="256"/>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appetite;</w:t>
            </w:r>
          </w:p>
        </w:tc>
      </w:tr>
    </w:tbl>
    <w:tbl>
      <w:tblPr>
        <w:tblW w:w="1356" w:type="dxa"/>
        <w:jc w:val="left"/>
        <w:tblInd w:w="0" w:type="dxa"/>
        <w:tblLayout w:type="fixed"/>
        <w:tblCellMar>
          <w:top w:w="28" w:type="dxa"/>
          <w:left w:w="28" w:type="dxa"/>
          <w:bottom w:w="28" w:type="dxa"/>
          <w:right w:w="28"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headache;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on mood, depression, anxiety and other psychiatric manifestations;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effects, for which an investigator reported as unrelated to setmelanotide or for which no increased incidence or pattern or causal relationship is currently evident.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if we or others identify undesirable side effects associated with or caused by the products, or any other similar product, before or after regulatory approvals, a number of potentially significant negative consequences could result,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request that we withdraw the product from the market or may limit or vary their approval of the product through labeling or other means;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the product is distributed or administered or change the labeling of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conduct additional studies and clinical trials or comply with other post-market requirements to assess possible serious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conduct long term safety follow-up evaluations, including setting up disease and drug based registries;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the product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MC4 agonist products or product candidates may be perceived by regulators or other third parties as unsafe, which could adversely affect our development efforts and product portfolio;</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the product;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in December 2024 of the expanded indication for IMCIVREE to include patients as young as 2 years of age, in March 2025, the FDA expanded the scope of the current orphan drug exclusivity for IMCIVREE to provide for seven years of orphan-drug exclusivity for setmelanotide to reduce excess body weight and maintain weight reduction long term in pediatric patients aged 2 years to less than 6 years with syndromic or monogenic obesity due to POMC, PCSK1, LEPR deficiency as determined by an FDA-approved test demonstrating variants in POMC, PCSK1, or LEPR genes that are interpreted as pathogenic, likely pathogenic, or VUS.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also been granted orphan designation for setmelanotide for the treatment of: (i) Alström syndrome in both the United States and the EU; (ii) Prader-Willi syndrome in the United States and the EU; and (iii) acquired hypothalamic obesity in the EU and Japan.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be able to maintain the benefits of orphan drug exclusivity, or that the FDA or the EC or Japan’s Ministry of Health, Labour and Welfare will grant orphan designations for setmelanotide for other uses. In addition, orphan drug designation neither shortens the development time or regulatory review time of a drug nor gives the drug any advantage in the regulatory review or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Designation as Breakthrough Therapy is within the discretion of the FDA. Accordingly, even if we believe our product candidates meet the criteria for designation as Breakthrough Therapy, the FDA may disagree. In any event,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and in January 2025 we submitted a request to modify the PIP to remove elements related to the weekly formulation and we expect to receive a decision sometime in the second quarter of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focused our development of setmelanotide as a treatment for obesity caused by certain genetic deficiencies affecting the MC4R pathway. To date, we have employed </w:t>
      </w:r>
      <w:r>
        <w:rPr>
          <w:rFonts w:ascii="Times New Roman;Times;serif" w:hAnsi="Times New Roman;Times;serif"/>
          <w:i/>
          <w:sz w:val="20"/>
        </w:rPr>
        <w:t xml:space="preserve">in vitro </w:t>
      </w:r>
      <w:r>
        <w:rPr>
          <w:rFonts w:ascii="Times New Roman;Times;serif" w:hAnsi="Times New Roman;Times;serif"/>
          <w:sz w:val="20"/>
        </w:rPr>
        <w:t xml:space="preserve">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Times;serif" w:hAnsi="Times New Roman;Times;serif"/>
          <w:i/>
          <w:sz w:val="20"/>
        </w:rPr>
        <w:t xml:space="preserve">in vitro </w:t>
      </w:r>
      <w:r>
        <w:rPr>
          <w:rFonts w:ascii="Times New Roman;Times;serif" w:hAnsi="Times New Roman;Times;serif"/>
          <w:sz w:val="20"/>
        </w:rPr>
        <w:t>diagnostic that is not otherwise commercially available, then the FDA may require approval or clearance of that diagnostic, known as a companion diagnostic, at the same time as, or in connection with, the FDA approval of such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Following subsequent 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Times;serif" w:hAnsi="Times New Roman;Times;serif"/>
          <w:i/>
          <w:sz w:val="20"/>
        </w:rPr>
        <w:t xml:space="preserve">POMC, PCSK1, </w:t>
      </w:r>
      <w:r>
        <w:rPr>
          <w:rFonts w:ascii="Times New Roman;Times;serif" w:hAnsi="Times New Roman;Times;serif"/>
          <w:sz w:val="20"/>
        </w:rPr>
        <w:t xml:space="preserve">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Although the FDA did not require that we obtain approval of a companion 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Times;serif" w:hAnsi="Times New Roman;Times;serif"/>
          <w:i/>
          <w:sz w:val="20"/>
        </w:rPr>
        <w:t xml:space="preserve">in vitro </w:t>
      </w:r>
      <w:r>
        <w:rPr>
          <w:rFonts w:ascii="Times New Roman;Times;serif" w:hAnsi="Times New Roman;Times;serif"/>
          <w:sz w:val="20"/>
        </w:rPr>
        <w:t xml:space="preserve">companion diagnostic device to accurately and reliably detect patients with variants in the </w:t>
      </w:r>
      <w:r>
        <w:rPr>
          <w:rFonts w:ascii="Times New Roman;Times;serif" w:hAnsi="Times New Roman;Times;serif"/>
          <w:i/>
          <w:sz w:val="20"/>
        </w:rPr>
        <w:t xml:space="preserve">POMC, PCSK1, </w:t>
      </w:r>
      <w:r>
        <w:rPr>
          <w:rFonts w:ascii="Times New Roman;Times;serif" w:hAnsi="Times New Roman;Times;serif"/>
          <w:sz w:val="20"/>
        </w:rPr>
        <w:t xml:space="preserve">and </w:t>
      </w:r>
      <w:r>
        <w:rPr>
          <w:rFonts w:ascii="Times New Roman;Times;serif" w:hAnsi="Times New Roman;Times;serif"/>
          <w:i/>
          <w:sz w:val="20"/>
        </w:rPr>
        <w:t>LEPR</w:t>
      </w:r>
      <w:r>
        <w:rPr>
          <w:rFonts w:ascii="Times New Roman;Times;serif" w:hAnsi="Times New Roman;Times;serif"/>
          <w:sz w:val="20"/>
        </w:rPr>
        <w:t xml:space="preserve"> genes that may benefit from setmelanotide therapy. In September 2020, our collaboration partner, Prevention Genetics, submitted a </w:t>
      </w:r>
      <w:r>
        <w:rPr>
          <w:rFonts w:ascii="Times New Roman;Times;serif" w:hAnsi="Times New Roman;Times;serif"/>
          <w:i/>
          <w:sz w:val="20"/>
        </w:rPr>
        <w:t xml:space="preserve">de novo </w:t>
      </w:r>
      <w:r>
        <w:rPr>
          <w:rFonts w:ascii="Times New Roman;Times;serif" w:hAnsi="Times New Roman;Times;serif"/>
          <w:sz w:val="20"/>
        </w:rPr>
        <w:t xml:space="preserve">request seeking FDA authorization to market such an </w:t>
      </w:r>
      <w:r>
        <w:rPr>
          <w:rFonts w:ascii="Times New Roman;Times;serif" w:hAnsi="Times New Roman;Times;serif"/>
          <w:i/>
          <w:sz w:val="20"/>
        </w:rPr>
        <w:t xml:space="preserve">in vitro </w:t>
      </w:r>
      <w:r>
        <w:rPr>
          <w:rFonts w:ascii="Times New Roman;Times;serif" w:hAnsi="Times New Roman;Times;serif"/>
          <w:sz w:val="20"/>
        </w:rPr>
        <w:t xml:space="preserve">companion diagnostic device for IMCIVREE as a Class II medical device.  In January 2022, the FDA granted the </w:t>
      </w:r>
      <w:r>
        <w:rPr>
          <w:rFonts w:ascii="Times New Roman;Times;serif" w:hAnsi="Times New Roman;Times;serif"/>
          <w:i/>
          <w:sz w:val="20"/>
        </w:rPr>
        <w:t>de novo</w:t>
      </w:r>
      <w:r>
        <w:rPr>
          <w:rFonts w:ascii="Times New Roman;Times;serif" w:hAnsi="Times New Roman;Times;serif"/>
          <w:sz w:val="20"/>
        </w:rPr>
        <w:t xml:space="preserve"> request for classification for the POMC/PCSK1/LEPR CDx Panel for market authorization as a Class II device. If the FDA or a comparable regulatory authority requires clearance, approval or certification of a companion diagnostic when we seek additional approvals for setmelanotide, RM-718 or bivamelagon,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 violations of FDA rules and regulations and the comparable foreign regulatory provisions during the conduct of our clinical trials. Outside parties may:</w:t>
      </w:r>
    </w:p>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staffing difficulties;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 to comply with contractual obligations;</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devote inadequate resources to our clinical trials;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regulatory compliance issues;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undergo changes in priorities or become financially distressed; or</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more favorable relationships with other entities, some of which may be our competitors.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 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the Commercialization of IMCIVREE and, if Approved, our Products Candidates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r>
        <w:rPr>
          <w:rFonts w:ascii="Times New Roman;Times;serif" w:hAnsi="Times New Roman;Times;serif"/>
          <w:i/>
          <w:sz w:val="20"/>
        </w:rPr>
        <w:t>.</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provide reimbursement.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or that step edits or other conditions on reimbursement will not be imposed. Furthermore, rules and regulations regarding reimbursement change frequently, in some cases on short notice, and we believe that changes in these rules and regulations are likely.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are unable to establish, maintain or expand our sales, marketing and distribution capabilities or enter into agreements with third parties to market, sell, and distribute IMCIVREE, we may not be able to generate revenue.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never receive regulatory approval to market setmelanotide outside of the United States, Canada, the European Union and the United Kingdom.</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seek marketing authorizations in various countries worldwide.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achieve or maintain market acceptance for IMCIVREE, which would limit the revenue that we generate from the sale of IMCIVREE.</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Market acceptance of IMCIVREE will depend on a number of factors,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complexities of clinical diagnosis and/or genetic testing, as needed, for certain of IMCIVREE’s indications, including obtaining and interpreting clinical or genetic results that support patient treatment with IMCIVREE;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and ease of SC injections as the necessary method of administration of IMCIVREE, including as compared with other treatments for patients with obesity;</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side effects associated with IMCIVREE;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labeling approved for IMCIVREE by the FDA or the specific obligations imposed as a condition for marketing authorization imposed by other equivalent competent authorities in foreign jurisdictions, particularly by the 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alternative treatments, including a number of obesity therapies already approved or expected to be commercially launched in the near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awareness of these diseases among our target populations through marketing and other cross-functional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 and the willingness of the target patient population to try new therapies and of physicians to prescribe these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IMCIVREE to treat the maximum range of pediatric patients, and any limitations on its indications for use;</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and distribution support and timing of market introduction of competitive products;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publicity concerning IMCIVREE or competing products and treatments;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 effectiveness;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sales and marketing strategies and our ability to increase awareness of IMCIVREE through marketing efforts;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sufficient third-party coverage or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emerge as competitors to IMCIVREE and our other product candidates. If we are not able to compete effectively against our current and future competitors, our business will not grow and our financial condition and operations will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Currently, IMCIVREE is the only treatment approved to reduce excess body weight and maintain weight reduction long term in patients with obesity due to BBS or POMC, PCSK1 or LEPR deficiencies, and there are no comparable treatments approved for patients with deficiencies due to a variant in one of the two alleles in the </w:t>
      </w:r>
      <w:r>
        <w:rPr>
          <w:rFonts w:ascii="Times New Roman;Times;serif" w:hAnsi="Times New Roman;Times;serif"/>
          <w:i/>
          <w:sz w:val="20"/>
        </w:rPr>
        <w:t xml:space="preserve">POMC, PCSK1, or LEPR </w:t>
      </w:r>
      <w:r>
        <w:rPr>
          <w:rFonts w:ascii="Times New Roman;Times;serif" w:hAnsi="Times New Roman;Times;serif"/>
          <w:sz w:val="20"/>
        </w:rPr>
        <w:t>genes (HET obesity), SRC1 deficiency obesity, SH2B1 deficiency obesity, MC4R deficiency obesity, and hypothalamic obesity. Bariatric surgery is often not considered an appropriate treatment option for these genetic diseases of obesity because the severe obesity and hyperphagia associated with these diseases are considered to be risk factors for poor outcomes with bariatric surgery. Also, existing therapies indicated for general obesity, including glucagon-like peptide-1 (GLP-1) receptor agonists, and glucose-dependent insulinotropic polypeptide (GIP) and glucagon-like peptide-1 (GLP-1) agonists, do not specifically restore function impaired by genetic deficiencies in the MC4R pathway, which we believe is the root cause of hyperphagia and obesity in patients with MC4R genetic variants. At present, we are aware of multiple ongoing research and development programs for general obesity with various new mechanisms of action including some MC4R agonists.  New competitors may emerge which could limit our business opportunity in the future.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face potential product liability exposure, and, if claims are brought against us, we may incur substantial liability.</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patients from our clinical trials;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IMCIVREE or any future product candidates following marketing approval, if obtained;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and exposure to adverse publicity;</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successfully commercialize IMCIVREE or any future product candidates, if approved.</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maintain product liability insurance coverage for our clinical trials and commercial product with a $20.0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contract with third parties for the manufacture of setmelanotide, RM-718, and bivamelagon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Astrea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 to support all of our current needs for clinical trial and initial commercial supplies for setmelanotide, RM-718, and bivamelagon, if approved. Going forward, we may need to identify additional CMOs or partners to produce setmelanotide, RM-718, and bivamelagon on a larger scale.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pharmaceutical products are manufactured outside of the United States. Recently, the U.S. government has initiated substantial changes in U.S. trade policy and U.S. trade agreements, including the initiation of tariffs on certain foreign goods, and has indicated an intention to impose tariffs on imported pharmaceutical products. In response to these tariffs, foreign governments have instituted or are considering imposing tariffs on certain U.S. goods, in addition to other retaliatory measures. If the U.S. imposes additional tariffs or other trade measures on pharmaceutical products, and in response other countries take further retaliatory trade measures, these actions could impose additional costs on our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cannot provide any assurances that any of our patents have, or that any of our pending patent applications that mature into issued patents will include, claims with a scope sufficient to protect setmelanotide, RM-718, and bivamelagon. In addition, our CHI program intellectual property may not have the scientific value and commercial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potential which we envision.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factual questions, and, therefore, the issuance, scope, validity and enforceability of any patent claims that we may obtain cannot be predicted with 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Times;serif" w:hAnsi="Times New Roman;Times;serif"/>
          <w:i/>
          <w:sz w:val="20"/>
        </w:rPr>
        <w:t>ex parte</w:t>
      </w:r>
      <w:r>
        <w:rPr>
          <w:rFonts w:ascii="Times New Roman;Times;serif" w:hAnsi="Times New Roman;Times;serif"/>
          <w:sz w:val="20"/>
        </w:rPr>
        <w:t xml:space="preserve"> reexamination, </w:t>
      </w:r>
      <w:r>
        <w:rPr>
          <w:rFonts w:ascii="Times New Roman;Times;serif" w:hAnsi="Times New Roman;Times;serif"/>
          <w:i/>
          <w:sz w:val="20"/>
        </w:rPr>
        <w:t>inter partes</w:t>
      </w:r>
      <w:r>
        <w:rPr>
          <w:rFonts w:ascii="Times New Roman;Times;serif" w:hAnsi="Times New Roman;Times;serif"/>
          <w:sz w:val="20"/>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degree of future protection for our proprietary rights is uncertain, and we cannot ensure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patents, or any of our pending patent applications, if issued, will include claims having a scope sufficient to protect setmelanotide, RM-718, or bivamelagon;</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pending patent applications will issue as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successfully commercialize IMCIVREE or our other product candidates before our relevant patents expire;</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to make the inventions covered by each of our patents and pending patent applications;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to file patent applications for these inventions;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will not develop similar or alternative technologies that do not infringe our patents;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patents will be found to ultimately be valid and enforceable;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issued to us will provide a basis for an exclusive market for our commercially viable products, will provide us with any competitive advantages or will not be challenged by third parties;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develop additional proprietary technologies or product candidates that are separately patentable; or</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activities or products will not infringe upon the patents of others.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infringe the intellectual property rights of others, which may prevent or delay our product development efforts and stop us from commercializing or increase the costs of commercializing IMCIVREE or our other product candidates.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development of setmelanotide and commercialization of IMCIVREE or our other product candidates;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for past use of the asserted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asserted intellectual property, which license may not be available on reasonable terms, if at all; and</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trademark claims, rename setmelanotide and/or its trade name IMCIVREE.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risks coming to fruition could have a material adverse effect on our business, results of operations, financial condition and prospects.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Issued patents covering setmelanotide or our other product candidates could be found invalid or unenforceable if challenged in court.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parties may also raise similar claims before administrative bodies in the United States or abroad, even outside the context of litigation. Such mechanisms include re-examination, </w:t>
      </w:r>
      <w:r>
        <w:rPr>
          <w:rFonts w:ascii="Times New Roman;Times;serif" w:hAnsi="Times New Roman;Times;serif"/>
          <w:i/>
          <w:sz w:val="20"/>
        </w:rPr>
        <w:t>inter partes</w:t>
      </w:r>
      <w:r>
        <w:rPr>
          <w:rFonts w:ascii="Times New Roman;Times;serif" w:hAnsi="Times New Roman;Times;serif"/>
          <w:sz w:val="20"/>
        </w:rPr>
        <w:t xml:space="preserve"> 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Filing, prosecuting and defending patents on setmelanotide and our other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dependent on licensed intellectual property. If we were to lose our rights to licensed intellectual property, we may not be able to continue developing or commercializing setmelanotide or bivamelagon.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licensed our rights to setmelanotide from Ipsen, and our rights to bivamelagon from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also have licensed from Camurus its drug delivery technology, FluidCrystal®, to formulate once-weekly setmelanotide. Our license with Camurus imposes various obligations on us, and provides Camurus the right to terminate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license in the event of our material breach of the license agreement. Termination of our license from Camurus would result in our inability to use the licensed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United States enacted the America Invents Act of 2011, wide is a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their former employers.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or our other product candidates, which would materially adversely affect our commercial development efforts.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Regulatory Approval and Marketing of Setmelanotide and Other Legal and Compliance Matters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an FDA-approved test demonstrating variants in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demonstrate to the satisfaction of the FDA, the EMA, or other equivalent competent authorities in foreign jurisdictions that our product candidates are safe and effective for their intended 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the number, size, conduct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require that we conduct additional clinical trials or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CROs that we retain to conduct our clinical trials may take actions outside of our control that materially adversely impact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find the data from preclinical studies and clinical trials insufficient to demonstrate that clinical and other benefits of a product candidate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our interpretation of data from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authorities in foreign jurisdictions may not approve the formulation, labeling or specifications of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not accept data generated at our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the equivalent competent authorities in foreign jurisdictions may require, as a condition of approval, additional preclinical studies or clinical trials, limitations on approved labeling or distribution and use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meet any post-market requirements or commitments agreed to in connection with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require development of a REMS as a condition of additional approvals or may impose additional requirements that limit the promotion, advertising, distribution, or sales of our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foreign regulatory agencies may deem our manufacturing processes or our facilities or the facilities of our CMOs inadequate to preserve the identity, strength, quality, purity, or potency of our product;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the equivalent competent authorities in foreign jurisdictions may change its approval policies or adopt new regulations and guidance.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Future regulatory legislation or regulation may increase the difficulty and cost for us to obtain marketing approval of and commercialize our product candidates.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Furthermore, on April 11, 2025, the UK adopted an amendment to the UK clinical trials regulations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will become applicable on April 10, 2026, following a one-year transition period, and the MHRA will publish guidance intended to provide support during the transition period and once the amendment becomes applicable. The revisions, may, however, have a significant impact on the pharmaceutical industry and our business in the long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began to sunset after December 20, 2024.  These changes to the PRV Program could impact existing and future development programs and could negatively impact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Disruptions at the FDA, including those caused by changing presidential administrations and related priorities, funding shortages staffing or other resource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and started to implement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activities.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in response to the COVID-19 pandemic, the FDA postponed most inspections of domestic and foreign manufacturing facilities at various points. If a prolonged government shutdown occurs, or if global health concerns, funding shortages or staffing limitations or any other disruptions prevent or hinder the FDA or other regulatory authorities from conducting their regular inspections, reviews, or other activities, including providing us with advice on our development programs in a timely manner, such events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Regulatory authorities may impose significant restrictions on setmelanotide’s indicated uses or marketing or impose ongoing requirements for potentially costly post approval studies, and the same may be true for our other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or untitled letters;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 suspend or withdraw marketing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to applications submitted by us;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impose restrictions on operations, including costly new manufacturing requirements;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setmelanotide, refuse to permit the import or export of setmelanotide, or request that we initiate a product recall.</w:t>
            </w:r>
          </w:p>
        </w:tc>
      </w:tr>
    </w:tbl>
    <w:p>
      <w:pPr>
        <w:pStyle w:val="TextBody"/>
        <w:bidi w:val="0"/>
        <w:spacing w:before="0" w:after="264"/>
        <w:ind w:left="0" w:right="0" w:firstLine="720"/>
        <w:jc w:val="both"/>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commercialize and the prices we may obtain for any product candidates that are approved for sale, are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Patient Centered Outcomes Research Institute to oversee, identify priorities in, and conduct comparative clinical effectiveness research, along with funding for such research;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the Center for Medicare and Medicaid Innovation within CMS to test innovative payment and service delivery models to lower Medicare and Medicaid spending, including prescription drug spending.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its enactment, certain provisions of the ACA have been subject to judicial, executive, and legislative challenges and may be subject to additional challenges in the future.  In addition, other legislative changes have been proposed and adopted since the ACA was enacted. For example, 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significantly, in August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IMCIVREE or any other product candidate that we commercialize.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current presidential administration has issued executive orders that address the pricing of pharmaceuticals in the U.S. and propose a so-called most favored nation pricing policy, which would tie the price of drugs in the U.S. to the lowest price in a group of other countries.  While it is unclear whether and how the proposals will be implemented, the policies are likely to have a negative impact on the pharmaceutical industry. Even proposals or executive actions that are ultimately deemed unlawful could negatively impact the U.S. pharmaceutical sector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IMCIVREE or the frequency with which IMCIVREE is prescribed or used.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Times;serif" w:hAnsi="Times New Roman;Times;serif"/>
          <w:i/>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r>
        <w:rPr>
          <w:rFonts w:ascii="Times New Roman;Times;serif" w:hAnsi="Times New Roman;Times;serif"/>
          <w:sz w:val="20"/>
        </w:rPr>
        <w:t xml:space="preserve"> in this Quarterly Report.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recently-enacted IRA imposes rebates under Medicare Part B and Medicare Part D that are triggered by price increases that outpace inflation (first due in 2023), as described under the risk factor “</w:t>
      </w:r>
      <w:r>
        <w:rPr>
          <w:rFonts w:ascii="Times New Roman;Times;serif" w:hAnsi="Times New Roman;Times;serif"/>
          <w:i/>
          <w:sz w:val="20"/>
        </w:rPr>
        <w:t>Current and future healthcare reform 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Times;serif" w:hAnsi="Times New Roman;Times;serif"/>
          <w:sz w:val="20"/>
        </w:rPr>
        <w:t>,” above.  The Medicare Part D rebate will be calculated on the basis of the AMP figures we report pursuant to the MDRP.</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FDA-approved test demonstrating variants in POMC, PCSK1, or LEPR genes that are interpreted as pathogenic, likely pathogenic, or of uncertain significance.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we market, sell and distribute setmelanotide, if we obtain marketing approval. The U.S. federal, state and foreign healthcare laws and regulations that may affect our ability to operate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It is possible that governmental authorities will conclude that our business practices do not comply with current or future statutes, regulations or case law involving applicable antitrust, fraud and abuse, privacy, or other healthcare laws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employees may engage in misconduct or other improper activities, whether knowingly or unknowingly, including violating applicable regulatory standards and requirements or engaging in insider trading, which could significantly harm our business.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Times;serif" w:hAnsi="Times New Roman;Times;serif"/>
          <w:i/>
          <w:sz w:val="20"/>
        </w:rPr>
        <w:t>We may be subject to federal and state healthcare laws and regulations. If we are unable to comply or have not fully complied with such laws and regulations, we could face criminal sanctions, damages, substantial civil penalties, reputational harm and diminished profits and future earnings”</w:t>
      </w:r>
      <w:r>
        <w:rPr>
          <w:rFonts w:ascii="Times New Roman;Times;serif" w:hAnsi="Times New Roman;Times;serif"/>
          <w:sz w:val="20"/>
        </w:rPr>
        <w:t xml:space="preserve"> of this Quarterly Report.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Actual or perceived failure to comply with data protection, privacy and security laws and regulations could lead to government enforcement actions and significant penalties against us, and adversely impact our operating results.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or the DPF, rendering the DPF effective as a GDPR transfer mechanism to U.S. entities self-certified under the DPF. On October 12, 2023, the UK Extension to the DPF came into effect (as approved by the UK Government), as a data transfer mechanism from the UK to U.S. entities self-certified under DPF.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future growth depends, in part, on our ability to continue to penetrate foreign markets, where we will be subject to additional regulatory burdens and other risks and uncertainties.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ability to obtain reimbursement for setmelanotide in foreign markets;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directly control commercial activities because we are relying on third parties;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 of complying with complex and changing foreign regulatory, tax, accounting and legal requirements;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medical practices and customs in foreign countries affecting acceptance in the marketplace;</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licensing requirements;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accounts receivable collection times;</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lead times for shipping;</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barriers for technical training;</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of intellectual property rights in some foreign countries;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 and</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of contractual provisions governed by foreign laws in the event of a contract dispute.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sales of setmelanotide could also be adversely affected by the imposition of governmental controls, political and economic instability, trade restrictions and changes in tariffs, including the imposition of tariffs by the United States or any other tariffs that could apply directly or indirectly to the costs of goods required to manufacture setmelanotide.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results of the United Kingdom’s departure from the EU, and the resulting impact of differing regulations, may have a negative effect on our business.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end of the Brexit transition period on January 1, 2021, and the implementation of the Windsor Framework on January 1, 2025, the UK has not been directly subject to EU law with respect to medicinal products and has operated under a separate regulatory regime to the EU. As a result of the Northern Ireland Protocol, different rules applied in Northern Ireland than in Great Britain; broadly, Northern Ireland continued to follow the EU regulatory regime. However, on January 1, 2025, a new arrangement called the “Windsor Agreement”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medicinal products. There could be additional uncertainty and risk around what these changes mean to our business. With the exception of the adopted amendment to the UK clinical trials regulations on April 11, 2025, it is currently unclear to what extent the UK Government will seek to align its regulations with the EU with respect to medicinal products.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manufacture and commercialization of medicinal products in the UK will align closely with EU law, there remain limited detailed proposals for the future regulation of medicinal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EMA Clinical Trial Information System (CTIS). Any divergent requirements may increase the cost and complexity of running our business, including with respect to the conduct of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The UK is no longer covered by the EU’s procedures for the grant of MA. A separate MA is required to market medicinal products in the UK. Such changes could increase our costs and otherwise adversely affect our business. Any delay in obtaining, or an inability to obtain regulatory approvals, as a result of Brexit or otherwise, may prevent us from commercializing our product candidates in the UK and restrict our ability to generate revenue and achieve or sustain profitability. If any of these outcomes occur, we may be forced to restrict or delay efforts to seek regulatory approval in the UK for our product candidates, which could significantly and materially harm our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future success depends on our ability to retain our key employees and consultants, and to attract, retain and motivate qualified personnel.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If we and our impacted candidates or employees are unable to obtain work visas in sufficient quantities or at a sufficient rate for a significant period of time, our business could be adversely affected.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will need to develop and expand our Company, and we may encounter difficulties in managing this development and expansion, which could disrupt our operations.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 amounts of our sensitive data. We have implemented and maintain an array of physical, administrative and technical controls to ensure the confidentiality, integrity and availability of such sensitive information, and the secure maintenance of this information is material to our operations and business strategy. Even with the implementation of strong security measures, our information technology systems and those of our third-party CROs, CMOs and other contractors and consultants are susceptible to attack, damage, or interruption from computer security incidents and cyberattacks such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malware (e.g., ransomware), phishing and other social engineering attacks employee or contractor theft, misuse or human error, denial or degradation of service attacks, supply chain attacks, advanced persistent threats from nation-state actors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targeted cyberattack, and a threat actor may remain undetected in our systems for an extended period of time. There can be no assurance that our cybersecurity risk management program and processes, including our policies, controls or procedures, will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global healthcare industry is increasingly integrating AI technologies and tools. However, like any emerging technology, AI presents its own set of risks, many of which are not yet known or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 </w:t>
        <w:b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put into place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directors and executive officers and their affiliated entities own a significant percentage of our stock and, if they choose to act together, will be able to exert significant influence over matters subject to stockholder approval.</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executive officers and directors and their respective affiliates, in the aggregate, hold shares representing approximately 5.2% of our outstanding voting stock as of June 30, 2025.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Market volatility may affect our stock price and the value of your investment.</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price for our common stock has been volatile and may continue to fluctuate significantly in response to a number of factors, most of which we cannot control,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for, progress of, or results from preclinical studies and clinical trials of setmelanotide and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FDA or EMA to approve IMCIVREE for additional indications or to initially approve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technologies, commercial relationships, acquisitions or other events by us or our competitors;</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other weight loss therapies and companies targeting the rare diseases we intend to address;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setmelanotide or our other product candidates, if approved, to achieve commercial success;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trading volumes of similar companies;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overall fluctuations in U.S. and global equity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macroeconomic conditions or instability, including with respect to inflation rates or interest rates, curtailment of trade and other business restrictions such as tariffs or trade wars, boycotts, labor shortages, supply chain shortages, disruptions and instability in the banking industry and other parts of the financial services sector, outbreak of disease or epidemics, or other economic, political or legal changes, uncertainties or adverse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and/or political instability, unrest and wars, which could delay or disrupt our business, and if such political unrest escalates or spills over to or otherwise impacts additional regions it could heighten many of the other risk factors included in this sections;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political changes and uncertainty, including in the United States with the changes arising from a new presidential administration and resulting changes and uncertainty in administrative agencies with authority over our business;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financial guidance or securities analysts’ estimates of our financial performance;</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and the terms on which we can raise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large blocks of our common stock, including sales by our executive officers, directors and significant stockholders;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 of us or our stock price by the press and by online investor communities;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these risk factors.</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quarterly operating results may fluctuate significantly.</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operating results to be subject to quarterly fluctuations, which may be significant and difficult to anticipate over time. Our net loss and other operating results will be affected by numerous factors, including:</w:t>
      </w:r>
    </w:p>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level of expenses related to our development programs;</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termination of clinical trials;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lawsuit, including any intellectual property infringement lawsuit in which we may become involved;</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setmelanotide and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execution of any collaborative, licensing or similar arrangements, and the timing of payments we may make or receive under these arrangements;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and timing of milestone payments under our existing collaboration and license agreements; and</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underlying demand for setmelanotide and our customers’ buying patterns.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ability to use certain net operating loss carryovers and other tax attributes may be limited.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as research tax credits may also be carried forward to offset future taxable income, if any, until such attributes are used or expire. As of December 31, 2024, we had approximately $610.2 million and $694.0 million of unused federal and state NOL carryforwards, respectively, and approximately $13.8 million and $4.8 million of unused federal and state carryforwards of research tax credits, respectively. Of the federal NOL carryforwards at December 31, 2024, $537.2 million can be carried forward indefinitely. Additionally, as of December 31, 2024, we had federal orphan drug credits related to qualifying research of $34.6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our tax attributes will also be limited to the extent that we do not generate positive taxable income in future tax periods. We do not expect to generate positive taxable income in the near future and we may never achieve tax profitability.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Substantial future sales or perceived potential sales of our common stock in the public market could cause the price of our common stock to decline significantly.</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common stock in the public market, or the perception that these sales could occur, could cause the market price of our common stock to decline significantly. As of June 30, 2025, we had 63,913,185 shares of common stock outstanding. In addition, on July 10, 2024,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To the extent the holders of the Convertible Preferred Stock convert their shares to common stock and sell such shares, the price of our common stock could be significantly impacted.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at an increased risk of securities litigation, including class action litigation.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do not intend to pay dividends on our common stock and, consequently, your ability to achieve a return on your investment will depend on appreciation in the price of our common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never declared or paid any cash dividends on our common stock and do not currently intend to do so in the foreseeable future. We currently anticipate that we will retain future earnings for the development, operation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common stock is subordinated to our Convertible Preferred Stock.</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classified board of directors so that not all members of our board are elected at one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only the board of directors to establish the number of directors and fill vacancies on the board;</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directors may only be removed “for cause” and only with the approval of two-thirds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the issuance of “blank check” preferred stock that our board could use to implement a stockholder rights plan (also known as a “poison pill”);</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 the ability of our stockholders to call special meetings of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requires all stockholder actions to be taken at a meeting of our stockholders;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amend the bylaws;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nominations for election to our board or for proposing matters that can be acted upon by stockholders at annual stockholder meetings;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some provisions described above.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in the past and may in the future acquire businesses or products, form strategic alliances or create joint ventures in the future, and we may not realize their benefits.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An active market for our common stock may not be maintained.</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continue to publish research or reports or publish unfavorable research or reports about our business, our stock price and trading volume could decline.</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Raising additional capital may cause dilution to our existing stockholders, restrict our operations or require us to relinquish rights.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we may have to relinquish valuable rights to setmelanotide, our intellectual property or future revenue streams, or grant licenses on terms that are not favorable to us. See above, under the heading “</w:t>
      </w:r>
      <w:r>
        <w:rPr>
          <w:rFonts w:ascii="Times New Roman;Times;serif" w:hAnsi="Times New Roman;Times;serif"/>
          <w:i/>
          <w:sz w:val="20"/>
        </w:rPr>
        <w:t>Our common stock is subordinated to our Convertible Preferred Stock</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Unfavorable global political or economic conditions could adversely affect our business, financial condition or results of operations.</w:t>
      </w:r>
    </w:p>
    <w:p>
      <w:pPr>
        <w:pStyle w:val="TextBody"/>
        <w:bidi w:val="0"/>
        <w:spacing w:before="0" w:after="0"/>
        <w:ind w:left="0" w:right="0" w:hanging="0"/>
        <w:jc w:val="both"/>
        <w:rPr/>
      </w:pPr>
      <w:r>
        <w:rPr/>
        <w: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the imposition of tariffs and other trade barriers,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leadership and reductions in the workforce or other resources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 interruptions could adversely affect our operations.</w:t>
      </w:r>
    </w:p>
    <w:p>
      <w:pPr>
        <w:pStyle w:val="TextBody"/>
        <w:bidi w:val="0"/>
        <w:spacing w:before="0" w:after="0"/>
        <w:ind w:left="0" w:right="0" w:hanging="0"/>
        <w:jc w:val="both"/>
        <w:rPr/>
      </w:pPr>
      <w:r>
        <w:rPr/>
        <w: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Our operations are vulnerable to interruption by fire, severe weather conditions, power loss, telecommunications failure, terrorist activity, public health crises and pandemic diseases, and other natural and man-made disasters or events 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our management will continue to devote substantial time to existing and new compliance initiatives and corporation governance policies, and we will need to hire additional qualified accounting, financial, legal and compliance personnel with appropriate public company experience.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in the past failed and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pStyle w:val="TextBody"/>
        <w:bidi w:val="0"/>
        <w:spacing w:before="0" w:after="0"/>
        <w:ind w:left="0" w:right="0" w:hanging="0"/>
        <w:jc w:val="both"/>
        <w:rPr/>
      </w:pPr>
      <w:r>
        <w:rPr/>
        <w: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was the case for the year ended December 31, 2023 and quarterly periods in 2024, due to a material weakness identified in internal controls related to ineffective information technology general controls in the areas of user access and program change management over our key accounting and reporting information technology system. Additionally, the material weakness in our internal control over financial reporting resulted in our management being unable to conclude that our disclosure controls and procedures were effective for the applicable period. The material weakness has since been remediated; however, additional material weaknesses may arise in the future.</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 which could diminish investor confidence and cause a decline in the price of our common stock.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increasing focus on environmental sustainability and social initiatives could increase our costs, harm our reputation and adversely impact our financial results.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We cannot guarantee that our approach, either now or in future, will align with the expectations of particular stakeholders or that certain disclosures will not be considered erroneous or subject to misinterpretation. In addition, this emphasis on environmental, social and other sustainability matters has resulted and may result in the adoption of new laws and regulations, including new reporting requirements. Such requirements and other expectations are not uniform, and may be inconsistently interpreted or applied, which can increase the complexity and cost of compliance. If we fail to comply with new laws, regulations or reporting requirements, our reputation and business could be adversely impacted.  Additionally, many of our business partners and suppliers may be subject to similar reporting and stakeholder expectations, which may augment or create additional risks, including risks that may not be known to us.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To the extent we are subject to such activism, it may require us to incur costs or otherwise adversely impact our business.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Short sellers of our stock may be manipulative and may drive down the market price of our common stock.</w:t>
      </w:r>
    </w:p>
    <w:p>
      <w:pPr>
        <w:pStyle w:val="TextBody"/>
        <w:bidi w:val="0"/>
        <w:spacing w:before="0" w:after="0"/>
        <w:ind w:left="0" w:right="0" w:hanging="0"/>
        <w:jc w:val="both"/>
        <w:rPr/>
      </w:pPr>
      <w:r>
        <w:rPr/>
        <w: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pStyle w:val="TextBody"/>
        <w:bidi w:val="0"/>
        <w:spacing w:before="0" w:after="240"/>
        <w:ind w:left="0" w:right="0" w:hanging="0"/>
        <w:jc w:val="left"/>
        <w:rPr>
          <w:rFonts w:ascii="Times New Roman;Times;serif" w:hAnsi="Times New Roman;Times;serif"/>
          <w:b/>
          <w:sz w:val="20"/>
        </w:rPr>
      </w:pPr>
      <w:bookmarkStart w:id="1222" w:name="Item2UnregisteredSalesofEquitySecurities"/>
      <w:bookmarkStart w:id="1223" w:name="_157905"/>
      <w:bookmarkStart w:id="1224" w:name="_516948"/>
      <w:bookmarkStart w:id="1225" w:name="_a6d365ae_af61_4f69_b6cd_fbcb146865d8"/>
      <w:bookmarkEnd w:id="1222"/>
      <w:bookmarkEnd w:id="1223"/>
      <w:bookmarkEnd w:id="1224"/>
      <w:bookmarkEnd w:id="1225"/>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Unregistered Sales of Equity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of Equity Securities by the Issuer and Affiliated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226" w:name="Item3DefaultsUponSeniorSecurities_616913"/>
      <w:bookmarkStart w:id="1227" w:name="_b9497a6a_0a68_4ee3_9644_132326d8c0c5"/>
      <w:bookmarkEnd w:id="1226"/>
      <w:bookmarkEnd w:id="1227"/>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8" w:name="Item4MineSafetyDisclosure_710839"/>
      <w:bookmarkStart w:id="1229" w:name="_5287b0fe_d044_482a_8db9_589c9b653b96"/>
      <w:bookmarkEnd w:id="1228"/>
      <w:bookmarkEnd w:id="1229"/>
      <w:r>
        <w:rPr>
          <w:rFonts w:ascii="Times New Roman;Times;serif" w:hAnsi="Times New Roman;Times;serif"/>
          <w:b/>
          <w:sz w:val="20"/>
        </w:rPr>
        <w:t>Item 4. Mine Safety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230" w:name="Item5OtherInformation_81772"/>
      <w:bookmarkStart w:id="1231" w:name="_6f978b1d_f858_4f6a_8e80_bb7052d84845"/>
      <w:bookmarkEnd w:id="1230"/>
      <w:bookmarkEnd w:id="1231"/>
      <w:r>
        <w:rPr>
          <w:rFonts w:ascii="Times New Roman;Times;serif" w:hAnsi="Times New Roman;Times;serif"/>
          <w:b/>
          <w:sz w:val="20"/>
        </w:rPr>
        <w:t>Item 5. Other Information</w:t>
      </w:r>
    </w:p>
    <w:tbl>
      <w:tblPr>
        <w:tblW w:w="5826" w:type="dxa"/>
        <w:jc w:val="left"/>
        <w:tblInd w:w="0" w:type="dxa"/>
        <w:tblLayout w:type="fixed"/>
        <w:tblCellMar>
          <w:top w:w="28" w:type="dxa"/>
          <w:left w:w="28" w:type="dxa"/>
          <w:bottom w:w="28" w:type="dxa"/>
          <w:right w:w="28" w:type="dxa"/>
        </w:tblCellMar>
      </w:tblPr>
      <w:tblGrid>
        <w:gridCol w:w="124"/>
        <w:gridCol w:w="31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in lieu of reporting on a Current Report on Form 8-K.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tbl>
      <w:tblPr>
        <w:tblW w:w="9801" w:type="dxa"/>
        <w:jc w:val="left"/>
        <w:tblInd w:w="0" w:type="dxa"/>
        <w:tblLayout w:type="fixed"/>
        <w:tblCellMar>
          <w:top w:w="28" w:type="dxa"/>
          <w:left w:w="28" w:type="dxa"/>
          <w:bottom w:w="28" w:type="dxa"/>
          <w:right w:w="28" w:type="dxa"/>
        </w:tblCellMar>
      </w:tblPr>
      <w:tblGrid>
        <w:gridCol w:w="124"/>
        <w:gridCol w:w="331"/>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to the procedures by which security holders may recommend nominees to the board of directors.</w:t>
            </w:r>
          </w:p>
        </w:tc>
      </w:tr>
    </w:tbl>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None.</w:t>
      </w:r>
    </w:p>
    <w:tbl>
      <w:tblPr>
        <w:tblW w:w="4086" w:type="dxa"/>
        <w:jc w:val="left"/>
        <w:tblInd w:w="0" w:type="dxa"/>
        <w:tblLayout w:type="fixed"/>
        <w:tblCellMar>
          <w:top w:w="28" w:type="dxa"/>
          <w:left w:w="28" w:type="dxa"/>
          <w:bottom w:w="28" w:type="dxa"/>
          <w:right w:w="28" w:type="dxa"/>
        </w:tblCellMar>
      </w:tblPr>
      <w:tblGrid>
        <w:gridCol w:w="124"/>
        <w:gridCol w:w="31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Arrangements and Policies.</w:t>
            </w:r>
          </w:p>
        </w:tc>
      </w:tr>
    </w:tbl>
    <w:p>
      <w:pPr>
        <w:pStyle w:val="TextBody"/>
        <w:bidi w:val="0"/>
        <w:spacing w:before="0" w:after="240"/>
        <w:ind w:left="1080" w:right="0" w:firstLine="360"/>
        <w:jc w:val="left"/>
        <w:rPr>
          <w:rFonts w:ascii="Times New Roman;Times;serif" w:hAnsi="Times New Roman;Times;serif"/>
          <w:sz w:val="20"/>
        </w:rPr>
      </w:pPr>
      <w:r>
        <w:rPr>
          <w:rFonts w:ascii="Times New Roman;Times;serif" w:hAnsi="Times New Roman;Times;serif"/>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Times New Roman;Times;serif" w:hAnsi="Times New Roman;Times;serif"/>
          <w:b/>
          <w:sz w:val="20"/>
        </w:rPr>
      </w:pPr>
      <w:bookmarkStart w:id="1232" w:name="Item6Exhibits_25505"/>
      <w:bookmarkStart w:id="1233" w:name="_73a3dbeb_8bbd_4779_a0d3_e6a3d81ec183"/>
      <w:bookmarkEnd w:id="1232"/>
      <w:bookmarkEnd w:id="123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66"/>
        <w:gridCol w:w="326"/>
        <w:gridCol w:w="5135"/>
        <w:gridCol w:w="1020"/>
        <w:gridCol w:w="326"/>
        <w:gridCol w:w="526"/>
        <w:gridCol w:w="326"/>
        <w:gridCol w:w="656"/>
        <w:gridCol w:w="56"/>
        <w:gridCol w:w="270"/>
        <w:gridCol w:w="798"/>
      </w:tblGrid>
      <w:tr>
        <w:trPr/>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35" w:type="dxa"/>
            <w:tcBorders/>
            <w:vAlign w:val="center"/>
          </w:tcPr>
          <w:p>
            <w:pPr>
              <w:pStyle w:val="TableContents"/>
              <w:bidi w:val="0"/>
              <w:spacing w:before="0" w:after="0"/>
              <w:ind w:left="0" w:right="0" w:hanging="0"/>
              <w:jc w:val="right"/>
              <w:rPr/>
            </w:pPr>
            <w:r>
              <w:rPr/>
              <w:t>​</w:t>
            </w:r>
          </w:p>
        </w:tc>
        <w:tc>
          <w:tcPr>
            <w:tcW w:w="1346" w:type="dxa"/>
            <w:gridSpan w:val="2"/>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12" w:type="dxa"/>
            <w:gridSpan w:val="2"/>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615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Incorporated by Reference</w:t>
            </w:r>
          </w:p>
        </w:tc>
      </w:tr>
      <w:tr>
        <w:trPr/>
        <w:tc>
          <w:tcPr>
            <w:tcW w:w="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Description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6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c>
          <w:tcPr>
            <w:tcW w:w="32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7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Rhythm Pharmaceuticals, Inc. dated October 10, 2017, and the Certificate of Amendment to the Amended and Restated Certificate of Incorporation of Rhythm Pharmaceuticals, Inc. dated June 25, 2025.</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06/26/2025</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12/18/2023</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Certificate of Designations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04/16/2024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Certificate of Designations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05/07/2024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w:anchor="rytm-20250630xex10d1.htm">
              <w:r>
                <w:rPr>
                  <w:rStyle w:val="InternetLink"/>
                  <w:rFonts w:ascii="Times New Roman;Times;serif" w:hAnsi="Times New Roman;Times;serif"/>
                  <w:b w:val="false"/>
                  <w:i w:val="false"/>
                  <w:caps w:val="false"/>
                  <w:smallCaps w:val="false"/>
                  <w:sz w:val="20"/>
                </w:rPr>
                <w:t>Non-Employee Director Compensation Program</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w:anchor="rytm-20250630xex31d1.htm">
              <w:r>
                <w:rPr>
                  <w:rStyle w:val="InternetLink"/>
                  <w:rFonts w:ascii="Times New Roman;Times;serif" w:hAnsi="Times New Roman;Times;serif"/>
                  <w:b w:val="false"/>
                  <w:i w:val="false"/>
                  <w:caps w:val="false"/>
                  <w:smallCaps w:val="false"/>
                  <w:sz w:val="20"/>
                </w:rPr>
                <w:t>Certification of the Principal Executive Officer, as required by Section 302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7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w:anchor="rytm-20250630xex31d2.htm">
              <w:r>
                <w:rPr>
                  <w:rStyle w:val="InternetLink"/>
                  <w:rFonts w:ascii="Times New Roman;Times;serif" w:hAnsi="Times New Roman;Times;serif"/>
                  <w:b w:val="false"/>
                  <w:i w:val="false"/>
                  <w:caps w:val="false"/>
                  <w:smallCaps w:val="false"/>
                  <w:sz w:val="20"/>
                </w:rPr>
                <w:t>Certification of the Principal Financial Officer, as required by Section 302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766"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w:anchor="rytm-20250630xex32d1.htm">
              <w:r>
                <w:rPr>
                  <w:rStyle w:val="InternetLink"/>
                  <w:rFonts w:ascii="Times New Roman;Times;serif" w:hAnsi="Times New Roman;Times;serif"/>
                  <w:b w:val="false"/>
                  <w:i w:val="false"/>
                  <w:caps w:val="false"/>
                  <w:smallCaps w:val="false"/>
                  <w:sz w:val="20"/>
                </w:rPr>
                <w:t>Certification of the Principal Executive Officer, as required by Section 906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766"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120"/>
              <w:ind w:left="0" w:right="0" w:hanging="0"/>
              <w:jc w:val="right"/>
              <w:rPr/>
            </w:pPr>
            <w:r>
              <w:rPr/>
              <w:t>​</w:t>
            </w:r>
          </w:p>
        </w:tc>
        <w:tc>
          <w:tcPr>
            <w:tcW w:w="6155" w:type="dxa"/>
            <w:gridSpan w:val="2"/>
            <w:tcBorders/>
            <w:vAlign w:val="center"/>
          </w:tcPr>
          <w:p>
            <w:pPr>
              <w:pStyle w:val="TableContents"/>
              <w:bidi w:val="0"/>
              <w:spacing w:before="0" w:after="120"/>
              <w:ind w:left="0" w:right="0" w:hanging="0"/>
              <w:jc w:val="left"/>
              <w:rPr/>
            </w:pPr>
            <w:hyperlink w:anchor="rytm-20250630xex32d2.htm">
              <w:r>
                <w:rPr>
                  <w:rStyle w:val="InternetLink"/>
                  <w:rFonts w:ascii="Times New Roman;Times;serif" w:hAnsi="Times New Roman;Times;serif"/>
                  <w:b w:val="false"/>
                  <w:i w:val="false"/>
                  <w:caps w:val="false"/>
                  <w:smallCaps w:val="false"/>
                  <w:sz w:val="20"/>
                </w:rPr>
                <w:t>Certification of the Principal Financial Officer, as required by Section 906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656"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9"/>
        <w:gridCol w:w="109"/>
        <w:gridCol w:w="8617"/>
        <w:gridCol w:w="109"/>
        <w:gridCol w:w="109"/>
        <w:gridCol w:w="109"/>
        <w:gridCol w:w="109"/>
        <w:gridCol w:w="109"/>
        <w:gridCol w:w="155"/>
      </w:tblGrid>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r>
        <w:trPr/>
        <w:tc>
          <w:tcPr>
            <w:tcW w:w="779" w:type="dxa"/>
            <w:tcBorders/>
            <w:vAlign w:val="center"/>
          </w:tcPr>
          <w:p>
            <w:pPr>
              <w:pStyle w:val="TableContents"/>
              <w:pBdr/>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right"/>
              <w:rPr/>
            </w:pPr>
            <w:r>
              <w:rPr/>
              <w:t>​</w:t>
            </w:r>
          </w:p>
        </w:tc>
        <w:tc>
          <w:tcPr>
            <w:tcW w:w="8617"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center"/>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12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234" w:name="SIGNATURES_110048"/>
      <w:bookmarkStart w:id="1235" w:name="_cb12d5e1_26f3_4de6_ba8b_a9e0d6c94785"/>
      <w:bookmarkEnd w:id="1234"/>
      <w:bookmarkEnd w:id="1235"/>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53" w:type="dxa"/>
        <w:jc w:val="left"/>
        <w:tblInd w:w="0" w:type="dxa"/>
        <w:tblLayout w:type="fixed"/>
        <w:tblCellMar>
          <w:top w:w="0" w:type="dxa"/>
          <w:left w:w="0" w:type="dxa"/>
          <w:bottom w:w="0" w:type="dxa"/>
          <w:right w:w="0" w:type="dxa"/>
        </w:tblCellMar>
      </w:tblPr>
      <w:tblGrid>
        <w:gridCol w:w="1996"/>
        <w:gridCol w:w="406"/>
        <w:gridCol w:w="375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pPr>
            <w:r>
              <w:rPr/>
              <w:t>​</w:t>
            </w:r>
          </w:p>
        </w:tc>
        <w:tc>
          <w:tcPr>
            <w:tcW w:w="41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RHYTHM PHARMACEUTICALS, INC.</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President and Chief Executive Officer </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0"/>
        <w:ind w:left="0" w:right="0" w:hanging="0"/>
        <w:jc w:val="right"/>
        <w:rPr/>
      </w:pPr>
      <w:bookmarkStart w:id="1236" w:name="rytm-20250630xex10d1.htm"/>
      <w:bookmarkStart w:id="1237" w:name="ksrytm20250630xex10d1"/>
      <w:bookmarkEnd w:id="1236"/>
      <w:bookmarkEnd w:id="1237"/>
      <w:r>
        <w:rPr/>
        <w:t>​</w:t>
      </w:r>
      <w:r>
        <w:br w:type="page"/>
      </w:r>
    </w:p>
    <w:p>
      <w:pPr>
        <w:pStyle w:val="TextBody"/>
        <w:bidi w:val="0"/>
        <w:spacing w:before="0" w:after="0"/>
        <w:ind w:left="0" w:right="0" w:hanging="0"/>
        <w:jc w:val="right"/>
        <w:rPr>
          <w:rFonts w:ascii="Times New Roman Bold" w:hAnsi="Times New Roman Bold"/>
          <w:b/>
          <w:smallCaps/>
          <w:sz w:val="24"/>
        </w:rPr>
      </w:pPr>
      <w:r>
        <w:rPr>
          <w:rFonts w:ascii="Times New Roman Bold" w:hAnsi="Times New Roman Bold"/>
          <w:b/>
          <w:smallCaps/>
          <w:sz w:val="24"/>
        </w:rPr>
        <w:t>EXHIBIT 10.1</w:t>
      </w:r>
    </w:p>
    <w:p>
      <w:pPr>
        <w:pStyle w:val="TextBody"/>
        <w:bidi w:val="0"/>
        <w:spacing w:before="0" w:after="0"/>
        <w:ind w:left="0" w:right="0" w:hanging="0"/>
        <w:jc w:val="center"/>
        <w:rPr>
          <w:rFonts w:ascii="Times New Roman Bold" w:hAnsi="Times New Roman Bold"/>
          <w:b/>
          <w:smallCaps/>
          <w:sz w:val="24"/>
        </w:rPr>
      </w:pPr>
      <w:r>
        <w:rPr>
          <w:rFonts w:ascii="Times New Roman Bold" w:hAnsi="Times New Roman Bold"/>
          <w:b/>
          <w:smallCaps/>
          <w:sz w:val="24"/>
        </w:rPr>
        <w:t>Rhythm Pharmaceuticals,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Bold" w:hAnsi="Times New Roman Bold"/>
          <w:b/>
          <w:smallCaps/>
          <w:sz w:val="24"/>
        </w:rPr>
      </w:pPr>
      <w:r>
        <w:rPr>
          <w:rFonts w:ascii="Times New Roman Bold" w:hAnsi="Times New Roman Bold"/>
          <w:b/>
          <w:smallCaps/>
          <w:sz w:val="24"/>
        </w:rPr>
        <w:t>Non-Employee Director Compensation Program</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Non-employee members of the board of directors (the “</w:t>
      </w:r>
      <w:r>
        <w:rPr>
          <w:rFonts w:ascii="Times New Roman;Times;serif" w:hAnsi="Times New Roman;Times;serif"/>
          <w:b/>
          <w:i/>
          <w:sz w:val="24"/>
        </w:rPr>
        <w:t>Board</w:t>
      </w:r>
      <w:r>
        <w:rPr>
          <w:rFonts w:ascii="Times New Roman;Times;serif" w:hAnsi="Times New Roman;Times;serif"/>
          <w:sz w:val="24"/>
        </w:rPr>
        <w:t>”) of Rhythm Pharmaceuticals, Inc. (the “</w:t>
      </w:r>
      <w:r>
        <w:rPr>
          <w:rFonts w:ascii="Times New Roman;Times;serif" w:hAnsi="Times New Roman;Times;serif"/>
          <w:b/>
          <w:i/>
          <w:sz w:val="24"/>
        </w:rPr>
        <w:t>Company</w:t>
      </w:r>
      <w:r>
        <w:rPr>
          <w:rFonts w:ascii="Times New Roman;Times;serif" w:hAnsi="Times New Roman;Times;serif"/>
          <w:sz w:val="24"/>
        </w:rPr>
        <w:t>”) shall receive cash and equity compensation as set forth in this Non-Employee Director Compensation Program (this “</w:t>
      </w:r>
      <w:r>
        <w:rPr>
          <w:rFonts w:ascii="Times New Roman;Times;serif" w:hAnsi="Times New Roman;Times;serif"/>
          <w:b/>
          <w:i/>
          <w:sz w:val="24"/>
        </w:rPr>
        <w:t>Program</w:t>
      </w:r>
      <w:r>
        <w:rPr>
          <w:rFonts w:ascii="Times New Roman;Times;serif" w:hAnsi="Times New Roman;Times;serif"/>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Times;serif" w:hAnsi="Times New Roman;Times;serif"/>
          <w:b/>
          <w:i/>
          <w:sz w:val="24"/>
        </w:rPr>
        <w:t>Non-Employee Director</w:t>
      </w:r>
      <w:r>
        <w:rPr>
          <w:rFonts w:ascii="Times New Roman;Times;serif" w:hAnsi="Times New Roman;Times;serif"/>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is effective as of June 24, 2025 (the “</w:t>
      </w:r>
      <w:r>
        <w:rPr>
          <w:rFonts w:ascii="Times New Roman;Times;serif" w:hAnsi="Times New Roman;Times;serif"/>
          <w:b/>
          <w:i/>
          <w:sz w:val="24"/>
        </w:rPr>
        <w:t>Effective Date</w:t>
      </w:r>
      <w:r>
        <w:rPr>
          <w:rFonts w:ascii="Times New Roman;Times;serif" w:hAnsi="Times New Roman;Times;serif"/>
          <w:sz w:val="24"/>
        </w:rPr>
        <w:t>”).</w:t>
      </w:r>
    </w:p>
    <w:p>
      <w:pPr>
        <w:pStyle w:val="TextBody"/>
        <w:bidi w:val="0"/>
        <w:spacing w:before="0" w:after="240"/>
        <w:ind w:left="0" w:right="720" w:hanging="0"/>
        <w:jc w:val="left"/>
        <w:rPr>
          <w:rFonts w:ascii="Times New Roman;Times;serif" w:hAnsi="Times New Roman;Times;serif"/>
          <w:sz w:val="24"/>
        </w:rPr>
      </w:pPr>
      <w:r>
        <w:rPr>
          <w:rFonts w:ascii="Times New Roman Bold" w:hAnsi="Times New Roman Bold"/>
          <w:b/>
          <w:i w:val="false"/>
          <w:smallCaps/>
          <w:sz w:val="24"/>
        </w:rPr>
        <w:t>I.</w:t>
      </w:r>
      <w:r>
        <w:rPr>
          <w:rFonts w:ascii="Times New Roman Bold" w:hAnsi="Times New Roman Bold"/>
          <w:b/>
          <w:smallCaps/>
          <w:sz w:val="24"/>
        </w:rPr>
        <w:t>Cash Compensation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Annual Retainers</w:t>
      </w:r>
      <w:r>
        <w:rPr>
          <w:rFonts w:ascii="Times New Roman;Times;serif" w:hAnsi="Times New Roman;Times;serif"/>
          <w:sz w:val="24"/>
        </w:rPr>
        <w:t>.  Each Non-Employee Director shall receive an annual retainer of $50,000 for service on the Board.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Additional Annual Retainers</w:t>
      </w:r>
      <w:r>
        <w:rPr>
          <w:rFonts w:ascii="Times New Roman;Times;serif" w:hAnsi="Times New Roman;Times;serif"/>
          <w:sz w:val="24"/>
        </w:rPr>
        <w:t>.  In addition, each Non-Employee Director shall receive the following annual retainers:</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i/>
          <w:sz w:val="24"/>
        </w:rPr>
        <w:t>Chair of the Board.</w:t>
      </w:r>
      <w:r>
        <w:rPr>
          <w:rFonts w:ascii="Times New Roman;Times;serif" w:hAnsi="Times New Roman;Times;serif"/>
          <w:sz w:val="24"/>
        </w:rPr>
        <w:t xml:space="preserve">  A Non-Employee Director serving as Chair of the Board shall receive an additional annual retainer of $30,000 for such service.</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i/>
          <w:sz w:val="24"/>
        </w:rPr>
        <w:t>Lead Director</w:t>
      </w:r>
      <w:r>
        <w:rPr>
          <w:rFonts w:ascii="Times New Roman;Times;serif" w:hAnsi="Times New Roman;Times;serif"/>
          <w:sz w:val="24"/>
        </w:rPr>
        <w:t xml:space="preserve">.  A Non-Employee Director serving as Lead Director shall receive an additional annual retainer of $35,000 for such service. </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i/>
          <w:sz w:val="24"/>
        </w:rPr>
        <w:t>Audit Committee</w:t>
      </w:r>
      <w:r>
        <w:rPr>
          <w:rFonts w:ascii="Times New Roman;Times;serif" w:hAnsi="Times New Roman;Times;serif"/>
          <w:sz w:val="24"/>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i/>
          <w:sz w:val="24"/>
        </w:rPr>
        <w:t>Compensation Committee</w:t>
      </w:r>
      <w:r>
        <w:rPr>
          <w:rFonts w:ascii="Times New Roman;Times;serif" w:hAnsi="Times New Roman;Times;serif"/>
          <w:sz w:val="24"/>
        </w:rPr>
        <w:t xml:space="preserve">.  A Non-Employee Director serving as Chairperson of the Compensation Committee shall receive an additional annual retainer of $20,000 for such service.  A Non-Employee Director serving as a member other than the Chairperson of the Compensation Committee shall receive an additional annual retainer of $10,000 for such service. </w:t>
      </w:r>
    </w:p>
    <w:p>
      <w:pPr>
        <w:pStyle w:val="TextBody"/>
        <w:bidi w:val="0"/>
        <w:spacing w:before="0" w:after="0"/>
        <w:ind w:left="0" w:right="0" w:firstLine="216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i/>
          <w:sz w:val="24"/>
        </w:rPr>
        <w:t>Governance and Nominating Committee</w:t>
      </w:r>
      <w:r>
        <w:rPr>
          <w:rFonts w:ascii="Times New Roman;Times;serif" w:hAnsi="Times New Roman;Times;serif"/>
          <w:sz w:val="24"/>
        </w:rPr>
        <w:t xml:space="preserve">.  A Non-Employee Director serving as Chairperson of the Governance and Nominating Committee shall receive an additional annual retainer of $10,000 for such service.  A Non-Employee Director serving as a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member other than the Chairperson of the Governance and Nominating Committee shall receive an additional annual retainer of $5,000 for such service.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Payment of Retainers</w:t>
      </w:r>
      <w:r>
        <w:rPr>
          <w:rFonts w:ascii="Times New Roman;Times;serif" w:hAnsi="Times New Roman;Times;serif"/>
          <w:sz w:val="24"/>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0"/>
        <w:ind w:left="0" w:right="0" w:hanging="0"/>
        <w:jc w:val="both"/>
        <w:rPr/>
      </w:pPr>
      <w:r>
        <w:rPr/>
        <w:t>​</w:t>
      </w:r>
    </w:p>
    <w:p>
      <w:pPr>
        <w:pStyle w:val="TextBody"/>
        <w:bidi w:val="0"/>
        <w:spacing w:before="0" w:after="240"/>
        <w:ind w:left="0" w:right="720" w:hanging="0"/>
        <w:jc w:val="left"/>
        <w:rPr>
          <w:rFonts w:ascii="Times New Roman;Times;serif" w:hAnsi="Times New Roman;Times;serif"/>
          <w:sz w:val="24"/>
        </w:rPr>
      </w:pPr>
      <w:r>
        <w:rPr>
          <w:rFonts w:ascii="Times New Roman Bold" w:hAnsi="Times New Roman Bold"/>
          <w:b/>
          <w:i w:val="false"/>
          <w:smallCaps/>
          <w:sz w:val="24"/>
        </w:rPr>
        <w:t>II.</w:t>
      </w:r>
      <w:r>
        <w:rPr>
          <w:rFonts w:ascii="Times New Roman Bold" w:hAnsi="Times New Roman Bold"/>
          <w:b/>
          <w:smallCaps/>
          <w:sz w:val="24"/>
        </w:rPr>
        <w:t xml:space="preserve">Equity Compensation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Non-Employee Directors shall be granted the equity awards described below.  The awards described below shall be granted under and shall be subject to the terms and provisions of the Company’s 2017 Equity Incentive Plan or any other applicable Company equity incentive plan then-maintained by the Company (the “</w:t>
      </w:r>
      <w:r>
        <w:rPr>
          <w:rFonts w:ascii="Times New Roman;Times;serif" w:hAnsi="Times New Roman;Times;serif"/>
          <w:b/>
          <w:i/>
          <w:sz w:val="24"/>
        </w:rPr>
        <w:t>Equity Plan</w:t>
      </w:r>
      <w:r>
        <w:rPr>
          <w:rFonts w:ascii="Times New Roman;Times;serif" w:hAnsi="Times New Roman;Times;serif"/>
          <w:sz w:val="24"/>
        </w:rPr>
        <w:t>”) and shall be granted subject to award agreements, including attached exhibits, in substantially the form previously approved by the Board.  All applicable terms of the Equity Plan apply to this Program as if fully set forth herein, and all grants of equity awards under this Program are subject in all respects to the terms of the Equity Plan and the applicable award agreement.  For the avoidance of doubt, the share numbers in Sections II(A) and II(B) shall be subject to adjustment as provided in the Equity 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Initial Awards</w:t>
      </w:r>
      <w:r>
        <w:rPr>
          <w:rFonts w:ascii="Times New Roman;Times;serif" w:hAnsi="Times New Roman;Times;serif"/>
          <w:sz w:val="24"/>
        </w:rPr>
        <w:t>.  Each Non-Employee Director who is initially elected or appointed to the Board after the Effective Date shall receive an option to purchase 20,000 shares of the Company’s common stock and 13,334 restricted stock units on the date of such initial election or appointment.  The awards described in this Section II(A) shall be referred to as “</w:t>
      </w:r>
      <w:r>
        <w:rPr>
          <w:rFonts w:ascii="Times New Roman;Times;serif" w:hAnsi="Times New Roman;Times;serif"/>
          <w:b/>
          <w:i/>
          <w:sz w:val="24"/>
        </w:rPr>
        <w:t>Initial Awards</w:t>
      </w:r>
      <w:r>
        <w:rPr>
          <w:rFonts w:ascii="Times New Roman;Times;serif" w:hAnsi="Times New Roman;Times;serif"/>
          <w:sz w:val="24"/>
        </w:rPr>
        <w:t>.”  Notwithstanding the foregoing, in no event will the aggregate Grant Date Fair Value (as defined below) of the Initial Awards granted to a given Non-Employee Director on the date of such Non-Employee Director’s initial election or appointment exceed $1,200,000 (the “</w:t>
      </w:r>
      <w:r>
        <w:rPr>
          <w:rFonts w:ascii="Times New Roman;Times;serif" w:hAnsi="Times New Roman;Times;serif"/>
          <w:b/>
          <w:i/>
          <w:sz w:val="24"/>
        </w:rPr>
        <w:t>Initial Award Limit</w:t>
      </w:r>
      <w:r>
        <w:rPr>
          <w:rFonts w:ascii="Times New Roman;Times;serif" w:hAnsi="Times New Roman;Times;serif"/>
          <w:sz w:val="24"/>
        </w:rPr>
        <w:t xml:space="preserve">”), and if the Grant Date Fair Value would exceed the Initial Award Limit, 50% of such Initial Awards will be paid in options and 50% will be paid in restricted stock units, based on the Grant Date Fair Values of such options and restricted stock units as of the applicable date of grant and subject to rounding as results in a Grant Date Fair Value that is closest to but does not exceed the Initial Award Limit. No Non-Employee Director shall be granted more than one Initial Award. </w:t>
      </w:r>
    </w:p>
    <w:p>
      <w:pPr>
        <w:pStyle w:val="TextBody"/>
        <w:bidi w:val="0"/>
        <w:spacing w:before="0" w:after="0"/>
        <w:ind w:left="0" w:right="0" w:hanging="0"/>
        <w:jc w:val="both"/>
        <w:rPr>
          <w:rFonts w:ascii="Times New Roman;Times;serif" w:hAnsi="Times New Roman;Times;serif"/>
          <w:sz w:val="24"/>
        </w:rPr>
      </w:pPr>
      <w:bookmarkStart w:id="1238" w:name="_Hlk169187331"/>
      <w:bookmarkEnd w:id="1238"/>
      <w:r>
        <w:rPr>
          <w:rFonts w:ascii="Times New Roman;Times;serif" w:hAnsi="Times New Roman;Times;serif"/>
          <w:sz w:val="24"/>
        </w:rPr>
        <w:t>B.</w:t>
      </w:r>
      <w:r>
        <w:rPr>
          <w:rFonts w:ascii="Times New Roman;Times;serif" w:hAnsi="Times New Roman;Times;serif"/>
          <w:sz w:val="24"/>
          <w:u w:val="single"/>
        </w:rPr>
        <w:t>Subsequent Awards</w:t>
      </w:r>
      <w:r>
        <w:rPr>
          <w:rFonts w:ascii="Times New Roman;Times;serif" w:hAnsi="Times New Roman;Times;serif"/>
          <w:sz w:val="24"/>
        </w:rPr>
        <w:t>.  A Non-Employee Director who (i) has been serving as a Non-Employee Director on the Board for at least six months as of the date of any annual meeting of the Company’s stockholders on or after the Effective Date and (ii) will continue to serve as a Non-Employee Director immediately following such meeting, shall receive an option to purchase</w:t>
      </w:r>
      <w:bookmarkStart w:id="1239" w:name="OLE_LINK2"/>
      <w:bookmarkStart w:id="1240" w:name="OLE_LINK1"/>
      <w:bookmarkEnd w:id="1239"/>
      <w:bookmarkEnd w:id="1240"/>
      <w:r>
        <w:rPr>
          <w:rFonts w:ascii="Times New Roman;Times;serif" w:hAnsi="Times New Roman;Times;serif"/>
          <w:sz w:val="24"/>
        </w:rPr>
        <w:t xml:space="preserve"> 10,000 shares of the Company’s common stock and 6,667 restricted stock units on the date of such annual meeting.  The awards described in this Section II(B) shall be referred to as “</w:t>
      </w:r>
      <w:r>
        <w:rPr>
          <w:rFonts w:ascii="Times New Roman;Times;serif" w:hAnsi="Times New Roman;Times;serif"/>
          <w:b/>
          <w:i/>
          <w:sz w:val="24"/>
        </w:rPr>
        <w:t>Subsequent Awards</w:t>
      </w:r>
      <w:r>
        <w:rPr>
          <w:rFonts w:ascii="Times New Roman;Times;serif" w:hAnsi="Times New Roman;Times;serif"/>
          <w:sz w:val="24"/>
        </w:rPr>
        <w:t>.”  Notwithstanding the foregoing, in no event will the aggregate Grant Date Fair Value of the Subsequent Awards granted to a given Non-Employee Director at an annual meeting exceed $600,000 (the “</w:t>
      </w:r>
      <w:r>
        <w:rPr>
          <w:rFonts w:ascii="Times New Roman;Times;serif" w:hAnsi="Times New Roman;Times;serif"/>
          <w:b/>
          <w:i/>
          <w:sz w:val="24"/>
        </w:rPr>
        <w:t>Annual</w:t>
      </w:r>
      <w:r>
        <w:rPr>
          <w:rFonts w:ascii="Times New Roman;Times;serif" w:hAnsi="Times New Roman;Times;serif"/>
          <w:sz w:val="24"/>
        </w:rPr>
        <w:t xml:space="preserve"> </w:t>
      </w:r>
      <w:r>
        <w:rPr>
          <w:rFonts w:ascii="Times New Roman;Times;serif" w:hAnsi="Times New Roman;Times;serif"/>
          <w:b/>
          <w:i/>
          <w:sz w:val="24"/>
        </w:rPr>
        <w:t>Award Limit</w:t>
      </w:r>
      <w:r>
        <w:rPr>
          <w:rFonts w:ascii="Times New Roman;Times;serif" w:hAnsi="Times New Roman;Times;serif"/>
          <w:sz w:val="24"/>
        </w:rPr>
        <w:t xml:space="preserve">”), and if the Grant Date Fair Value would exceed the Annual Award Limit, 50% of such Subsequent Awards will be paid in options and 50%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will be paid in restricted stock units, based on the Grant Date Fair Values of such options and restricted stock units as of the applicable date of grant and subject to rounding as results in a Grant Date Fair Value that is closest to but does not exceed the Annual Award Limit.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Termination of Employment of Employee Directors</w:t>
      </w:r>
      <w:r>
        <w:rPr>
          <w:rFonts w:ascii="Times New Roman;Times;serif" w:hAnsi="Times New Roman;Times;serif"/>
          <w:sz w:val="24"/>
        </w:rPr>
        <w:t xml:space="preserve">.  Members of the Board who are employees of the Company or any </w:t>
      </w:r>
      <w:bookmarkStart w:id="1241" w:name="OLE_LINK8"/>
      <w:bookmarkStart w:id="1242" w:name="OLE_LINK7"/>
      <w:bookmarkEnd w:id="1241"/>
      <w:bookmarkEnd w:id="1242"/>
      <w:r>
        <w:rPr>
          <w:rFonts w:ascii="Times New Roman;Times;serif" w:hAnsi="Times New Roman;Times;serif"/>
          <w:sz w:val="24"/>
        </w:rPr>
        <w:t>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Terms of Awards Granted to Non-Employee Directors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i/>
          <w:sz w:val="24"/>
        </w:rPr>
        <w:t>Exercise Price</w:t>
      </w:r>
      <w:r>
        <w:rPr>
          <w:rFonts w:ascii="Times New Roman;Times;serif" w:hAnsi="Times New Roman;Times;serif"/>
          <w:sz w:val="24"/>
        </w:rPr>
        <w:t xml:space="preserve">.  The per share exercise price of each option granted to a Non-Employee Director under this Program shall equal the Market Value (as defined in the Equity Plan) of a share of the Company’s common stock on the date the option is granted.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i/>
          <w:sz w:val="24"/>
        </w:rPr>
        <w:t>Vesting</w:t>
      </w:r>
      <w:r>
        <w:rPr>
          <w:rFonts w:ascii="Times New Roman;Times;serif" w:hAnsi="Times New Roman;Times;serif"/>
          <w:sz w:val="24"/>
        </w:rPr>
        <w:t xml:space="preserve">.  Each Initial Award shall vest and become exercisable in three (3)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in a single installment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 </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i/>
          <w:sz w:val="24"/>
        </w:rPr>
        <w:t>Term</w:t>
      </w:r>
      <w:r>
        <w:rPr>
          <w:rFonts w:ascii="Times New Roman;Times;serif" w:hAnsi="Times New Roman;Times;serif"/>
          <w:sz w:val="24"/>
        </w:rPr>
        <w:t>.  The maximum term of each stock option granted to a Non-Employee Director under this Program shall be ten (10) years from the date the option is granted.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i/>
          <w:sz w:val="24"/>
        </w:rPr>
        <w:t>Black-Scholes Value</w:t>
      </w:r>
      <w:r>
        <w:rPr>
          <w:rFonts w:ascii="Times New Roman;Times;serif" w:hAnsi="Times New Roman;Times;serif"/>
          <w:sz w:val="24"/>
        </w:rPr>
        <w:t>. “</w:t>
      </w:r>
      <w:r>
        <w:rPr>
          <w:rFonts w:ascii="Times New Roman;Times;serif" w:hAnsi="Times New Roman;Times;serif"/>
          <w:b/>
          <w:i/>
          <w:sz w:val="24"/>
        </w:rPr>
        <w:t>Black-Scholes Value</w:t>
      </w:r>
      <w:r>
        <w:rPr>
          <w:rFonts w:ascii="Times New Roman;Times;serif" w:hAnsi="Times New Roman;Times;serif"/>
          <w:sz w:val="24"/>
        </w:rPr>
        <w:t xml:space="preserve">” means, with respect to an option, the per share fair value of the option determined as of the option’s date of grant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and using as inputs to such model (i) the Market Value of a share of the Company’s common stock on the date the option is granted and (ii) such other assumptions as shall be determined by the Company’s Chief Accounting Officer on or before the date the option is granted. </w:t>
      </w:r>
    </w:p>
    <w:p>
      <w:pPr>
        <w:pStyle w:val="TextBody"/>
        <w:bidi w:val="0"/>
        <w:spacing w:before="0" w:after="200"/>
        <w:ind w:left="0" w:right="0" w:firstLine="216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i/>
          <w:sz w:val="24"/>
        </w:rPr>
        <w:t>Grant Date Fair Value</w:t>
      </w:r>
      <w:r>
        <w:rPr>
          <w:rFonts w:ascii="Times New Roman;Times;serif" w:hAnsi="Times New Roman;Times;serif"/>
          <w:sz w:val="24"/>
        </w:rPr>
        <w:t>. “</w:t>
      </w:r>
      <w:r>
        <w:rPr>
          <w:rFonts w:ascii="Times New Roman;Times;serif" w:hAnsi="Times New Roman;Times;serif"/>
          <w:b/>
          <w:i/>
          <w:sz w:val="24"/>
        </w:rPr>
        <w:t>Grant Date Fair Value</w:t>
      </w:r>
      <w:r>
        <w:rPr>
          <w:rFonts w:ascii="Times New Roman;Times;serif" w:hAnsi="Times New Roman;Times;serif"/>
          <w:sz w:val="24"/>
        </w:rPr>
        <w:t xml:space="preserve">” means (a) with respect to an option, the Black-Scholes Value of the option and (b) with respect to a restricted stock unit, the Market Value of a share of the Company’s common stock on the date the restricted stock unit is granted.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Times New Roman;Times;serif" w:hAnsi="Times New Roman;Times;serif"/>
          <w:b/>
          <w:sz w:val="20"/>
        </w:rPr>
      </w:pPr>
      <w:bookmarkStart w:id="1243" w:name="_Hlk46330493"/>
      <w:bookmarkStart w:id="1244" w:name="_Hlk38462330"/>
      <w:bookmarkStart w:id="1245" w:name="rytm-20250630xex31d1.htm"/>
      <w:bookmarkStart w:id="1246" w:name="ksrytm20250630xex31d1"/>
      <w:bookmarkEnd w:id="1243"/>
      <w:bookmarkEnd w:id="1244"/>
      <w:bookmarkEnd w:id="1245"/>
      <w:bookmarkEnd w:id="1246"/>
      <w:r>
        <w:rPr>
          <w:rFonts w:ascii="Times New Roman;Times;serif" w:hAnsi="Times New Roman;Times;serif"/>
          <w:b/>
          <w:sz w:val="20"/>
        </w:rPr>
        <w:t>Exhibit 31.1</w:t>
      </w:r>
      <w:r>
        <w:br w:type="page"/>
      </w:r>
    </w:p>
    <w:p>
      <w:pPr>
        <w:pStyle w:val="TextBody"/>
        <w:bidi w:val="0"/>
        <w:spacing w:lineRule="auto" w:line="285" w:before="0" w:after="240"/>
        <w:ind w:left="0" w:right="0" w:firstLine="720"/>
        <w:jc w:val="center"/>
        <w:rPr>
          <w:rFonts w:ascii="Times New Roman;Times;serif" w:hAnsi="Times New Roman;Times;serif"/>
          <w:sz w:val="20"/>
        </w:rPr>
      </w:pPr>
      <w:r>
        <w:rPr>
          <w:rFonts w:ascii="Times New Roman;Times;serif" w:hAnsi="Times New Roman;Times;serif"/>
          <w:sz w:val="20"/>
        </w:rPr>
        <w:t xml:space="preserve">CERTIFICATION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David P. Meeker, certify that: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Rhythm Pharmaceuticals, Inc.;</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720" w:right="0" w:hanging="0"/>
        <w:jc w:val="left"/>
        <w:rPr/>
      </w:pPr>
      <w:r>
        <w:rPr/>
        <w:t>​</w:t>
      </w:r>
    </w:p>
    <w:tbl>
      <w:tblPr>
        <w:tblW w:w="3875" w:type="dxa"/>
        <w:jc w:val="center"/>
        <w:tblInd w:w="0" w:type="dxa"/>
        <w:tblLayout w:type="fixed"/>
        <w:tblCellMar>
          <w:top w:w="0" w:type="dxa"/>
          <w:left w:w="0" w:type="dxa"/>
          <w:bottom w:w="0" w:type="dxa"/>
          <w:right w:w="0" w:type="dxa"/>
        </w:tblCellMar>
      </w:tblPr>
      <w:tblGrid>
        <w:gridCol w:w="3721"/>
        <w:gridCol w:w="15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362835" cy="175260"/>
                      <wp:effectExtent l="0" t="0" r="0" b="0"/>
                      <wp:wrapNone/>
                      <wp:docPr id="230" name="Frame230"/>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31" name="Frame2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7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pBdr/>
              <w:bidi w:val="0"/>
              <w:spacing w:lineRule="auto" w:line="285" w:before="0" w:after="0"/>
              <w:ind w:left="0" w:right="0" w:hanging="540"/>
              <w:jc w:val="left"/>
              <w:rPr>
                <w:rFonts w:ascii="Times New Roman;Times;serif" w:hAnsi="Times New Roman;Times;serif"/>
                <w:sz w:val="20"/>
              </w:rPr>
            </w:pPr>
            <w:r>
              <w:rPr>
                <w:rFonts w:ascii="Times New Roman;Times;serif" w:hAnsi="Times New Roman;Times;serif"/>
                <w:sz w:val="20"/>
              </w:rPr>
              <w:t xml:space="preserve">Title: President and Chief Executive Officer </w:t>
            </w:r>
          </w:p>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Times New Roman;Times;serif" w:hAnsi="Times New Roman;Times;serif"/>
          <w:b/>
          <w:sz w:val="20"/>
        </w:rPr>
      </w:pPr>
      <w:bookmarkStart w:id="1247" w:name="rytm-20250630xex31d2.htm"/>
      <w:bookmarkStart w:id="1248" w:name="ksrytm20250630xex31d2"/>
      <w:bookmarkEnd w:id="1247"/>
      <w:bookmarkEnd w:id="1248"/>
      <w:r>
        <w:rPr>
          <w:rFonts w:ascii="Times New Roman;Times;serif" w:hAnsi="Times New Roman;Times;serif"/>
          <w:b/>
          <w:sz w:val="20"/>
        </w:rPr>
        <w:t>Exhibit 31.2</w:t>
      </w:r>
      <w:r>
        <w:br w:type="page"/>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 xml:space="preserve">CERTIFICATION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Hunter C. Smith, certify that: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Rhythm Pharmaceuticals, Inc.;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5" w:before="0" w:after="0"/>
        <w:ind w:left="288"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w:t>
      </w:r>
    </w:p>
    <w:tbl>
      <w:tblPr>
        <w:tblW w:w="3770" w:type="dxa"/>
        <w:jc w:val="center"/>
        <w:tblInd w:w="0" w:type="dxa"/>
        <w:tblLayout w:type="fixed"/>
        <w:tblCellMar>
          <w:top w:w="0" w:type="dxa"/>
          <w:left w:w="0" w:type="dxa"/>
          <w:bottom w:w="0" w:type="dxa"/>
          <w:right w:w="0" w:type="dxa"/>
        </w:tblCellMar>
      </w:tblPr>
      <w:tblGrid>
        <w:gridCol w:w="3616"/>
        <w:gridCol w:w="154"/>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96160" cy="29210"/>
                      <wp:effectExtent l="0" t="0" r="0" b="0"/>
                      <wp:wrapNone/>
                      <wp:docPr id="232" name="Frame232"/>
                      <a:graphic xmlns:a="http://schemas.openxmlformats.org/drawingml/2006/main">
                        <a:graphicData uri="http://schemas.microsoft.com/office/word/2010/wordprocessingShape">
                          <wps:wsp>
                            <wps:cNvSpPr txBox="1"/>
                            <wps:spPr>
                              <a:xfrm>
                                <a:off x="0" y="0"/>
                                <a:ext cx="2296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8425" cy="175260"/>
                      <wp:effectExtent l="0" t="0" r="0" b="0"/>
                      <wp:wrapNone/>
                      <wp:docPr id="233" name="Frame23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249" w:name="_Hlk38462695"/>
      <w:bookmarkStart w:id="1250" w:name="rytm-20250630xex32d1.htm"/>
      <w:bookmarkStart w:id="1251" w:name="ksrytm20250630xex32d1"/>
      <w:bookmarkEnd w:id="1249"/>
      <w:bookmarkEnd w:id="1250"/>
      <w:bookmarkEnd w:id="1251"/>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EXECUTIVE OFFICER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OF THE SARBANES-OXLEY ACT OF 2002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  David P. Meeker, M.D., certify pursuant to 18 U.S.C. Section 1350, as adopted pursuant to Section 906 of the Sarbanes-Oxley Act of 2002, that, to the best of my knowledge, the Quarterly Report on Form 10-Q of Rhythm Pharmaceuticals, Inc. for the fiscal quarter ended June 30, 2025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p>
      <w:pPr>
        <w:pStyle w:val="TextBody"/>
        <w:bidi w:val="0"/>
        <w:spacing w:lineRule="auto" w:line="285" w:before="0" w:after="0"/>
        <w:ind w:left="0" w:right="0" w:hanging="0"/>
        <w:jc w:val="left"/>
        <w:rPr/>
      </w:pPr>
      <w:r>
        <w:rPr/>
        <w:t>​</w:t>
      </w:r>
    </w:p>
    <w:tbl>
      <w:tblPr>
        <w:tblW w:w="3830" w:type="dxa"/>
        <w:jc w:val="center"/>
        <w:tblInd w:w="0" w:type="dxa"/>
        <w:tblLayout w:type="fixed"/>
        <w:tblCellMar>
          <w:top w:w="0" w:type="dxa"/>
          <w:left w:w="0" w:type="dxa"/>
          <w:bottom w:w="0" w:type="dxa"/>
          <w:right w:w="0" w:type="dxa"/>
        </w:tblCellMar>
      </w:tblPr>
      <w:tblGrid>
        <w:gridCol w:w="3676"/>
        <w:gridCol w:w="15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34260" cy="175260"/>
                      <wp:effectExtent l="0" t="0" r="0" b="0"/>
                      <wp:wrapNone/>
                      <wp:docPr id="234" name="Frame234"/>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8425" cy="175260"/>
                      <wp:effectExtent l="0" t="0" r="0" b="0"/>
                      <wp:wrapNone/>
                      <wp:docPr id="235" name="Frame23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7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5, 2025</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252" w:name="rytm-20250630xex32d2.htm"/>
      <w:bookmarkStart w:id="1253" w:name="ksrytm20250630xex32d2"/>
      <w:bookmarkEnd w:id="1252"/>
      <w:bookmarkEnd w:id="1253"/>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FINANCIAL OFFICER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OF THE SARBANES-OXLEY ACT OF 2002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 Hunter C. Smith, certify pursuant to 18 U.S.C. Section 1350, as adopted pursuant to Section 906 of the Sarbanes-Oxley Act of 2002, that, to the best of my knowledge, the Quarterly Report on Form 10-Q of Rhythm Pharmaceuticals, Inc. for the fiscal quarter ended June 30, 2025 (the “Report”) fully complies with the requirements of Section 13(a) or 15(d) of the Securities Exchange Act of 1934 and the information contained in the Report fairly presents, in all material respects, the financial condition and results of operations of Rhythm Pharmaceuticals Inc.</w:t>
      </w:r>
    </w:p>
    <w:p>
      <w:pPr>
        <w:pStyle w:val="TextBody"/>
        <w:bidi w:val="0"/>
        <w:spacing w:lineRule="auto" w:line="285" w:before="0" w:after="0"/>
        <w:ind w:left="0" w:right="0" w:hanging="0"/>
        <w:jc w:val="left"/>
        <w:rPr/>
      </w:pPr>
      <w:r>
        <w:rPr/>
        <w:t>​</w:t>
      </w:r>
    </w:p>
    <w:tbl>
      <w:tblPr>
        <w:tblW w:w="3770" w:type="dxa"/>
        <w:jc w:val="center"/>
        <w:tblInd w:w="0" w:type="dxa"/>
        <w:tblLayout w:type="fixed"/>
        <w:tblCellMar>
          <w:top w:w="0" w:type="dxa"/>
          <w:left w:w="0" w:type="dxa"/>
          <w:bottom w:w="0" w:type="dxa"/>
          <w:right w:w="0" w:type="dxa"/>
        </w:tblCellMar>
      </w:tblPr>
      <w:tblGrid>
        <w:gridCol w:w="3616"/>
        <w:gridCol w:w="154"/>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96160" cy="175260"/>
                      <wp:effectExtent l="0" t="0" r="0" b="0"/>
                      <wp:wrapNone/>
                      <wp:docPr id="236" name="Frame236"/>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8425" cy="175260"/>
                      <wp:effectExtent l="0" t="0" r="0" b="0"/>
                      <wp:wrapNone/>
                      <wp:docPr id="237" name="Frame23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5, 2025</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altName w:val="Italic"/>
    <w:charset w:val="01"/>
    <w:family w:val="auto"/>
    <w:pitch w:val="default"/>
  </w:font>
  <w:font w:name="Times New Roman Bold">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04/000155837025008924/rytm-20250624xex3d1.htm" TargetMode="External"/><Relationship Id="rId3" Type="http://schemas.openxmlformats.org/officeDocument/2006/relationships/hyperlink" Target="https://www.sec.gov/Archives/edgar/data/1649904/000110465923126873/tm2332524d2_ex3-1.htm" TargetMode="External"/><Relationship Id="rId4" Type="http://schemas.openxmlformats.org/officeDocument/2006/relationships/hyperlink" Target="https://www.sec.gov/Archives/edgar/data/1649904/000110465924047492/tm2411919d1_ex3-1.htm" TargetMode="External"/><Relationship Id="rId5" Type="http://schemas.openxmlformats.org/officeDocument/2006/relationships/hyperlink" Target="https://www.sec.gov/Archives/edgar/data/1649904/000155837024007076/rytm-20240331xex3d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70200</Words>
  <Characters>392427</Characters>
  <CharactersWithSpaces>463195</CharactersWithSpaces>
  <Paragraphs>5971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