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274320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139065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158750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2025</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9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6" w:lineRule="exact"/>
        <w:rPr>
          <w:sz w:val="24"/>
          <w:szCs w:val="24"/>
          <w:color w:val="auto"/>
        </w:rPr>
      </w:pPr>
    </w:p>
    <w:p>
      <w:pPr>
        <w:ind w:left="3780"/>
        <w:spacing w:after="0"/>
        <w:tabs>
          <w:tab w:leader="none" w:pos="574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Commission file number 001-38223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130810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RHYTHM PHARMACEUTICALS, INC.</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130810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6" w:lineRule="exact"/>
        <w:rPr>
          <w:sz w:val="24"/>
          <w:szCs w:val="24"/>
          <w:color w:val="auto"/>
        </w:rPr>
      </w:pPr>
    </w:p>
    <w:tbl>
      <w:tblPr>
        <w:tblLayout w:type="fixed"/>
        <w:tblInd w:w="1720" w:type="dxa"/>
        <w:tblCellMar>
          <w:top w:w="0" w:type="dxa"/>
          <w:left w:w="0" w:type="dxa"/>
          <w:bottom w:w="0" w:type="dxa"/>
          <w:right w:w="0" w:type="dxa"/>
        </w:tblCellMar>
      </w:tblPr>
      <w:tr>
        <w:trPr>
          <w:trHeight w:val="149"/>
        </w:trPr>
        <w:tc>
          <w:tcPr>
            <w:tcW w:w="17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500" w:type="dxa"/>
            <w:vAlign w:val="bottom"/>
          </w:tcPr>
          <w:p>
            <w:pPr>
              <w:jc w:val="center"/>
              <w:ind w:left="3478"/>
              <w:spacing w:after="0"/>
              <w:rPr>
                <w:sz w:val="20"/>
                <w:szCs w:val="20"/>
                <w:color w:val="auto"/>
              </w:rPr>
            </w:pPr>
            <w:r>
              <w:rPr>
                <w:rFonts w:ascii="Times New Roman" w:cs="Times New Roman" w:eastAsia="Times New Roman" w:hAnsi="Times New Roman"/>
                <w:sz w:val="13"/>
                <w:szCs w:val="13"/>
                <w:b w:val="1"/>
                <w:bCs w:val="1"/>
                <w:color w:val="auto"/>
                <w:w w:val="95"/>
              </w:rPr>
              <w:t>46-2159271</w:t>
            </w:r>
          </w:p>
        </w:tc>
      </w:tr>
      <w:tr>
        <w:trPr>
          <w:trHeight w:val="135"/>
        </w:trPr>
        <w:tc>
          <w:tcPr>
            <w:tcW w:w="17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4500" w:type="dxa"/>
            <w:vAlign w:val="bottom"/>
          </w:tcPr>
          <w:p>
            <w:pPr>
              <w:jc w:val="center"/>
              <w:ind w:left="3498"/>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170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4500" w:type="dxa"/>
            <w:vAlign w:val="bottom"/>
          </w:tcPr>
          <w:p>
            <w:pPr>
              <w:jc w:val="center"/>
              <w:ind w:left="3498"/>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232"/>
        </w:trPr>
        <w:tc>
          <w:tcPr>
            <w:tcW w:w="1700" w:type="dxa"/>
            <w:vAlign w:val="bottom"/>
          </w:tcPr>
          <w:p>
            <w:pPr>
              <w:spacing w:after="0"/>
              <w:rPr>
                <w:sz w:val="20"/>
                <w:szCs w:val="20"/>
                <w:color w:val="auto"/>
              </w:rPr>
            </w:pPr>
          </w:p>
        </w:tc>
        <w:tc>
          <w:tcPr>
            <w:tcW w:w="4500" w:type="dxa"/>
            <w:vAlign w:val="bottom"/>
          </w:tcPr>
          <w:p>
            <w:pPr>
              <w:jc w:val="center"/>
              <w:ind w:right="1358"/>
              <w:spacing w:after="0"/>
              <w:rPr>
                <w:sz w:val="20"/>
                <w:szCs w:val="20"/>
                <w:color w:val="auto"/>
              </w:rPr>
            </w:pPr>
            <w:r>
              <w:rPr>
                <w:rFonts w:ascii="Times New Roman" w:cs="Times New Roman" w:eastAsia="Times New Roman" w:hAnsi="Times New Roman"/>
                <w:sz w:val="13"/>
                <w:szCs w:val="13"/>
                <w:b w:val="1"/>
                <w:bCs w:val="1"/>
                <w:color w:val="auto"/>
                <w:w w:val="95"/>
              </w:rPr>
              <w:t>222 Berkeley Street</w:t>
            </w:r>
          </w:p>
        </w:tc>
      </w:tr>
      <w:tr>
        <w:trPr>
          <w:trHeight w:val="142"/>
        </w:trPr>
        <w:tc>
          <w:tcPr>
            <w:tcW w:w="1700" w:type="dxa"/>
            <w:vAlign w:val="bottom"/>
          </w:tcPr>
          <w:p>
            <w:pPr>
              <w:spacing w:after="0"/>
              <w:rPr>
                <w:sz w:val="12"/>
                <w:szCs w:val="12"/>
                <w:color w:val="auto"/>
              </w:rPr>
            </w:pPr>
          </w:p>
        </w:tc>
        <w:tc>
          <w:tcPr>
            <w:tcW w:w="4500" w:type="dxa"/>
            <w:vAlign w:val="bottom"/>
          </w:tcPr>
          <w:p>
            <w:pPr>
              <w:jc w:val="center"/>
              <w:ind w:right="1338"/>
              <w:spacing w:after="0" w:line="142" w:lineRule="exact"/>
              <w:rPr>
                <w:sz w:val="20"/>
                <w:szCs w:val="20"/>
                <w:color w:val="auto"/>
              </w:rPr>
            </w:pPr>
            <w:r>
              <w:rPr>
                <w:rFonts w:ascii="Times New Roman" w:cs="Times New Roman" w:eastAsia="Times New Roman" w:hAnsi="Times New Roman"/>
                <w:sz w:val="11"/>
                <w:szCs w:val="11"/>
                <w:b w:val="1"/>
                <w:bCs w:val="1"/>
                <w:color w:val="auto"/>
              </w:rPr>
              <w:t>12</w:t>
            </w:r>
            <w:r>
              <w:rPr>
                <w:rFonts w:ascii="Times New Roman" w:cs="Times New Roman" w:eastAsia="Times New Roman" w:hAnsi="Times New Roman"/>
                <w:sz w:val="16"/>
                <w:szCs w:val="16"/>
                <w:b w:val="1"/>
                <w:bCs w:val="1"/>
                <w:color w:val="auto"/>
                <w:vertAlign w:val="superscript"/>
              </w:rPr>
              <w:t>th</w:t>
            </w:r>
            <w:r>
              <w:rPr>
                <w:rFonts w:ascii="Times New Roman" w:cs="Times New Roman" w:eastAsia="Times New Roman" w:hAnsi="Times New Roman"/>
                <w:sz w:val="11"/>
                <w:szCs w:val="11"/>
                <w:b w:val="1"/>
                <w:bCs w:val="1"/>
                <w:color w:val="auto"/>
              </w:rPr>
              <w:t xml:space="preserve"> Floor</w:t>
            </w:r>
          </w:p>
        </w:tc>
      </w:tr>
      <w:tr>
        <w:trPr>
          <w:trHeight w:val="137"/>
        </w:trPr>
        <w:tc>
          <w:tcPr>
            <w:tcW w:w="1700" w:type="dxa"/>
            <w:vAlign w:val="bottom"/>
          </w:tcPr>
          <w:p>
            <w:pPr>
              <w:spacing w:after="0"/>
              <w:rPr>
                <w:sz w:val="11"/>
                <w:szCs w:val="11"/>
                <w:color w:val="auto"/>
              </w:rPr>
            </w:pPr>
          </w:p>
        </w:tc>
        <w:tc>
          <w:tcPr>
            <w:tcW w:w="4500" w:type="dxa"/>
            <w:vAlign w:val="bottom"/>
          </w:tcPr>
          <w:p>
            <w:pPr>
              <w:jc w:val="center"/>
              <w:ind w:right="1338"/>
              <w:spacing w:after="0" w:line="137" w:lineRule="exact"/>
              <w:rPr>
                <w:sz w:val="20"/>
                <w:szCs w:val="20"/>
                <w:color w:val="auto"/>
              </w:rPr>
            </w:pPr>
            <w:r>
              <w:rPr>
                <w:rFonts w:ascii="Times New Roman" w:cs="Times New Roman" w:eastAsia="Times New Roman" w:hAnsi="Times New Roman"/>
                <w:sz w:val="13"/>
                <w:szCs w:val="13"/>
                <w:b w:val="1"/>
                <w:bCs w:val="1"/>
                <w:color w:val="auto"/>
                <w:w w:val="95"/>
              </w:rPr>
              <w:t>Boston, MA 02116</w:t>
            </w:r>
          </w:p>
        </w:tc>
      </w:tr>
      <w:tr>
        <w:trPr>
          <w:trHeight w:val="135"/>
        </w:trPr>
        <w:tc>
          <w:tcPr>
            <w:tcW w:w="1700" w:type="dxa"/>
            <w:vAlign w:val="bottom"/>
          </w:tcPr>
          <w:p>
            <w:pPr>
              <w:spacing w:after="0"/>
              <w:rPr>
                <w:sz w:val="11"/>
                <w:szCs w:val="11"/>
                <w:color w:val="auto"/>
              </w:rPr>
            </w:pPr>
          </w:p>
        </w:tc>
        <w:tc>
          <w:tcPr>
            <w:tcW w:w="4500" w:type="dxa"/>
            <w:vAlign w:val="bottom"/>
          </w:tcPr>
          <w:p>
            <w:pPr>
              <w:jc w:val="center"/>
              <w:ind w:right="1338"/>
              <w:spacing w:after="0" w:line="135" w:lineRule="exact"/>
              <w:rPr>
                <w:sz w:val="20"/>
                <w:szCs w:val="20"/>
                <w:color w:val="auto"/>
              </w:rPr>
            </w:pPr>
            <w:r>
              <w:rPr>
                <w:rFonts w:ascii="Times New Roman" w:cs="Times New Roman" w:eastAsia="Times New Roman" w:hAnsi="Times New Roman"/>
                <w:sz w:val="13"/>
                <w:szCs w:val="13"/>
                <w:color w:val="auto"/>
                <w:w w:val="97"/>
              </w:rPr>
              <w:t>(Address of Principal Executive Offices)</w:t>
            </w:r>
          </w:p>
        </w:tc>
      </w:tr>
      <w:tr>
        <w:trPr>
          <w:trHeight w:val="164"/>
        </w:trPr>
        <w:tc>
          <w:tcPr>
            <w:tcW w:w="1700" w:type="dxa"/>
            <w:vAlign w:val="bottom"/>
          </w:tcPr>
          <w:p>
            <w:pPr>
              <w:spacing w:after="0"/>
              <w:rPr>
                <w:sz w:val="14"/>
                <w:szCs w:val="14"/>
                <w:color w:val="auto"/>
              </w:rPr>
            </w:pPr>
          </w:p>
        </w:tc>
        <w:tc>
          <w:tcPr>
            <w:tcW w:w="4500" w:type="dxa"/>
            <w:vAlign w:val="bottom"/>
          </w:tcPr>
          <w:p>
            <w:pPr>
              <w:jc w:val="center"/>
              <w:ind w:right="1358"/>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227"/>
        </w:trPr>
        <w:tc>
          <w:tcPr>
            <w:tcW w:w="1700" w:type="dxa"/>
            <w:vAlign w:val="bottom"/>
          </w:tcPr>
          <w:p>
            <w:pPr>
              <w:spacing w:after="0"/>
              <w:rPr>
                <w:sz w:val="19"/>
                <w:szCs w:val="19"/>
                <w:color w:val="auto"/>
              </w:rPr>
            </w:pPr>
          </w:p>
        </w:tc>
        <w:tc>
          <w:tcPr>
            <w:tcW w:w="4500" w:type="dxa"/>
            <w:vAlign w:val="bottom"/>
          </w:tcPr>
          <w:p>
            <w:pPr>
              <w:jc w:val="center"/>
              <w:ind w:right="1338"/>
              <w:spacing w:after="0"/>
              <w:rPr>
                <w:sz w:val="20"/>
                <w:szCs w:val="20"/>
                <w:color w:val="auto"/>
              </w:rPr>
            </w:pPr>
            <w:r>
              <w:rPr>
                <w:rFonts w:ascii="Times New Roman" w:cs="Times New Roman" w:eastAsia="Times New Roman" w:hAnsi="Times New Roman"/>
                <w:sz w:val="13"/>
                <w:szCs w:val="13"/>
                <w:b w:val="1"/>
                <w:bCs w:val="1"/>
                <w:color w:val="auto"/>
                <w:w w:val="95"/>
              </w:rPr>
              <w:t>(857) 264-4280</w:t>
            </w:r>
          </w:p>
        </w:tc>
      </w:tr>
      <w:tr>
        <w:trPr>
          <w:trHeight w:val="164"/>
        </w:trPr>
        <w:tc>
          <w:tcPr>
            <w:tcW w:w="1700" w:type="dxa"/>
            <w:vAlign w:val="bottom"/>
          </w:tcPr>
          <w:p>
            <w:pPr>
              <w:spacing w:after="0"/>
              <w:rPr>
                <w:sz w:val="14"/>
                <w:szCs w:val="14"/>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r>
    </w:tbl>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2" w:lineRule="exact"/>
        <w:rPr>
          <w:sz w:val="24"/>
          <w:szCs w:val="24"/>
          <w:color w:val="auto"/>
        </w:rPr>
      </w:pPr>
    </w:p>
    <w:tbl>
      <w:tblPr>
        <w:tblLayout w:type="fixed"/>
        <w:tblInd w:w="10" w:type="dxa"/>
        <w:tblCellMar>
          <w:top w:w="0" w:type="dxa"/>
          <w:left w:w="0" w:type="dxa"/>
          <w:bottom w:w="0" w:type="dxa"/>
          <w:right w:w="0" w:type="dxa"/>
        </w:tblCellMar>
      </w:tblPr>
      <w:tr>
        <w:trPr>
          <w:trHeight w:val="175"/>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460" w:type="dxa"/>
            <w:vAlign w:val="bottom"/>
            <w:tcBorders>
              <w:top w:val="single" w:sz="8" w:color="auto"/>
              <w:bottom w:val="single" w:sz="8" w:color="auto"/>
            </w:tcBorders>
          </w:tcPr>
          <w:p>
            <w:pPr>
              <w:spacing w:after="0"/>
              <w:rPr>
                <w:sz w:val="15"/>
                <w:szCs w:val="15"/>
                <w:color w:val="auto"/>
              </w:rPr>
            </w:pPr>
          </w:p>
        </w:tc>
        <w:tc>
          <w:tcPr>
            <w:tcW w:w="2760" w:type="dxa"/>
            <w:vAlign w:val="bottom"/>
            <w:tcBorders>
              <w:top w:val="single" w:sz="8" w:color="auto"/>
              <w:bottom w:val="single" w:sz="8" w:color="auto"/>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3"/>
                <w:szCs w:val="13"/>
                <w:color w:val="auto"/>
                <w:w w:val="97"/>
              </w:rPr>
              <w:t>Trading Symbol(s)</w:t>
            </w:r>
          </w:p>
        </w:tc>
        <w:tc>
          <w:tcPr>
            <w:tcW w:w="3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248"/>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$0.001 par value per share</w:t>
            </w:r>
          </w:p>
        </w:tc>
        <w:tc>
          <w:tcPr>
            <w:tcW w:w="460" w:type="dxa"/>
            <w:vAlign w:val="bottom"/>
          </w:tcPr>
          <w:p>
            <w:pPr>
              <w:spacing w:after="0"/>
              <w:rPr>
                <w:sz w:val="21"/>
                <w:szCs w:val="21"/>
                <w:color w:val="auto"/>
              </w:rPr>
            </w:pPr>
          </w:p>
        </w:tc>
        <w:tc>
          <w:tcPr>
            <w:tcW w:w="276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3"/>
                <w:szCs w:val="13"/>
                <w:color w:val="auto"/>
                <w:w w:val="95"/>
              </w:rPr>
              <w:t>RYTM</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 (Nasdaq Global Market)</w:t>
            </w:r>
          </w:p>
        </w:tc>
      </w:tr>
      <w:tr>
        <w:trPr>
          <w:trHeight w:val="97"/>
        </w:trPr>
        <w:tc>
          <w:tcPr>
            <w:tcW w:w="3260" w:type="dxa"/>
            <w:vAlign w:val="bottom"/>
            <w:tcBorders>
              <w:left w:val="single" w:sz="8" w:color="auto"/>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3460" w:type="dxa"/>
            <w:vAlign w:val="bottom"/>
            <w:tcBorders>
              <w:bottom w:val="single" w:sz="8" w:color="auto"/>
              <w:right w:val="single" w:sz="8" w:color="auto"/>
            </w:tcBorders>
          </w:tcPr>
          <w:p>
            <w:pPr>
              <w:spacing w:after="0"/>
              <w:rPr>
                <w:sz w:val="8"/>
                <w:szCs w:val="8"/>
                <w:color w:val="auto"/>
              </w:rPr>
            </w:pPr>
          </w:p>
        </w:tc>
      </w:tr>
      <w:tr>
        <w:trPr>
          <w:trHeight w:val="88"/>
        </w:trPr>
        <w:tc>
          <w:tcPr>
            <w:tcW w:w="3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3460" w:type="dxa"/>
            <w:vAlign w:val="bottom"/>
          </w:tcPr>
          <w:p>
            <w:pPr>
              <w:spacing w:after="0"/>
              <w:rPr>
                <w:sz w:val="7"/>
                <w:szCs w:val="7"/>
                <w:color w:val="auto"/>
              </w:rPr>
            </w:pPr>
          </w:p>
        </w:tc>
      </w:tr>
    </w:tbl>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 (d) of the Securities Exchange Act of 1934 during the preceding 12 months (or for</w:t>
      </w:r>
    </w:p>
    <w:p>
      <w:pPr>
        <w:spacing w:after="0" w:line="1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180"/>
        <w:spacing w:after="0" w:line="14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80"/>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105" w:lineRule="exact"/>
        <w:rPr>
          <w:sz w:val="24"/>
          <w:szCs w:val="24"/>
          <w:color w:val="auto"/>
        </w:rPr>
      </w:pPr>
    </w:p>
    <w:p>
      <w:pPr>
        <w:ind w:left="186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92" w:lineRule="exact"/>
        <w:rPr>
          <w:sz w:val="24"/>
          <w:szCs w:val="24"/>
          <w:color w:val="auto"/>
        </w:rPr>
      </w:pPr>
    </w:p>
    <w:p>
      <w:pPr>
        <w:sectPr>
          <w:pgSz w:w="11900" w:h="16838" w:orient="portrait"/>
          <w:cols w:equalWidth="0" w:num="2">
            <w:col w:w="6240" w:space="720"/>
            <w:col w:w="2980"/>
          </w:cols>
          <w:pgMar w:left="980" w:top="661" w:right="979" w:bottom="1440" w:gutter="0" w:footer="0" w:header="0"/>
          <w:type w:val="continuous"/>
        </w:sectPr>
      </w:pPr>
    </w:p>
    <w:p>
      <w:pPr>
        <w:ind w:left="1880"/>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5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64" w:lineRule="exact"/>
        <w:rPr>
          <w:sz w:val="24"/>
          <w:szCs w:val="24"/>
          <w:color w:val="auto"/>
        </w:rPr>
      </w:pPr>
    </w:p>
    <w:p>
      <w:pPr>
        <w:sectPr>
          <w:pgSz w:w="11900" w:h="16838" w:orient="portrait"/>
          <w:cols w:equalWidth="0" w:num="2">
            <w:col w:w="5960" w:space="720"/>
            <w:col w:w="3260"/>
          </w:cols>
          <w:pgMar w:left="980" w:top="661" w:right="979" w:bottom="1440" w:gutter="0" w:footer="0" w:header="0"/>
          <w:type w:val="continuous"/>
        </w:sectPr>
      </w:pPr>
    </w:p>
    <w:p>
      <w:pPr>
        <w:ind w:right="100"/>
        <w:spacing w:after="0" w:line="15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outstanding of the registrant’s Common Stock as of April 30, 2025 was 63,621,472.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499745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79375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122555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1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8180" w:type="dxa"/>
            <w:vAlign w:val="bottom"/>
            <w:gridSpan w:val="21"/>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1. Condensed Consolidated Financial Statements (Unaudited)</w:t>
            </w:r>
          </w:p>
        </w:tc>
        <w:tc>
          <w:tcPr>
            <w:tcW w:w="2680" w:type="dxa"/>
            <w:vAlign w:val="bottom"/>
            <w:gridSpan w:val="7"/>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Convertible Preferred Stock and Stockholders’ Equity</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120" w:type="dxa"/>
            <w:vAlign w:val="bottom"/>
            <w:gridSpan w:val="4"/>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500" w:type="dxa"/>
            <w:vAlign w:val="bottom"/>
            <w:gridSpan w:val="2"/>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580" w:type="dxa"/>
            <w:vAlign w:val="bottom"/>
            <w:gridSpan w:val="5"/>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PART II OTHER INFORMATION</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5600" w:type="dxa"/>
            <w:vAlign w:val="bottom"/>
            <w:gridSpan w:val="12"/>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900" w:type="dxa"/>
            <w:vAlign w:val="bottom"/>
            <w:gridSpan w:val="14"/>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2600" w:type="dxa"/>
            <w:vAlign w:val="bottom"/>
            <w:gridSpan w:val="6"/>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4. Mine Safety Disclosure</w:t>
            </w:r>
          </w:p>
        </w:tc>
        <w:tc>
          <w:tcPr>
            <w:tcW w:w="600" w:type="dxa"/>
            <w:vAlign w:val="bottom"/>
            <w:tcBorders>
              <w:top w:val="single" w:sz="8" w:color="0000EE"/>
            </w:tcBorders>
          </w:tcPr>
          <w:p>
            <w:pPr>
              <w:spacing w:after="0"/>
              <w:rPr>
                <w:sz w:val="24"/>
                <w:szCs w:val="24"/>
                <w:color w:val="auto"/>
              </w:rPr>
            </w:pPr>
          </w:p>
        </w:tc>
        <w:tc>
          <w:tcPr>
            <w:tcW w:w="4620" w:type="dxa"/>
            <w:vAlign w:val="bottom"/>
            <w:gridSpan w:val="10"/>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5620" w:type="dxa"/>
            <w:vAlign w:val="bottom"/>
            <w:gridSpan w:val="13"/>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Item 6. Exhibits</w:t>
            </w:r>
          </w:p>
        </w:tc>
        <w:tc>
          <w:tcPr>
            <w:tcW w:w="6340" w:type="dxa"/>
            <w:vAlign w:val="bottom"/>
            <w:gridSpan w:val="15"/>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304"/>
        </w:trPr>
        <w:tc>
          <w:tcPr>
            <w:tcW w:w="1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080" w:type="dxa"/>
            <w:vAlign w:val="bottom"/>
            <w:gridSpan w:val="17"/>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106,095</w:t>
            </w:r>
          </w:p>
        </w:tc>
        <w:tc>
          <w:tcPr>
            <w:tcW w:w="46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208,393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17,825</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17,659</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369,288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assets</w:t>
            </w:r>
          </w:p>
        </w:tc>
        <w:tc>
          <w:tcPr>
            <w:tcW w:w="4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386,685</w:t>
            </w:r>
          </w:p>
        </w:tc>
        <w:tc>
          <w:tcPr>
            <w:tcW w:w="46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w:t>
            </w: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11,912</w:t>
            </w:r>
          </w:p>
        </w:tc>
        <w:tc>
          <w:tcPr>
            <w:tcW w:w="46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59,314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current liability - LG Chem</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Lease liability</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Deferred royalty obligation, current</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111,823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royalty obligation</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107,934</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Lease liability, non-current</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223,596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Series A convertible preferred stock, $0.001 par value: 150,000 shares authorized;</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150,000 and 150,000 shares issued and outstanding at March 31, 2025 and December</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31, 2024, respectively. Liquidation preference of $150,000 as of March 31, 2025.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144,142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 shares issued and</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outstanding at March 31, 2025 and December 31, 2024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$0.001 par value: 120,000,000 shares authorized; 63,494,892 and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62,390,654 shares issued and outstanding at March 31, 2025 and December 31, 2024,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1,223,772</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1,177,045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(1,204,836)</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(1,155,338)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18,947</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386,685</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17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 net</w:t>
            </w:r>
          </w:p>
        </w:tc>
        <w:tc>
          <w:tcPr>
            <w:tcW w:w="5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37,718</w:t>
            </w:r>
          </w:p>
        </w:tc>
        <w:tc>
          <w:tcPr>
            <w:tcW w:w="4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 revenue</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32,704</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39,087</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79,708</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(49,498)</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dividends on convertible preferred stock</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(50,820)</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63,059,165</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60,143,558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5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(50,820)</w:t>
            </w:r>
          </w:p>
        </w:tc>
        <w:tc>
          <w:tcPr>
            <w:tcW w:w="4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Unrealized (loss), net on marketable securities</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(50,832)</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Rhythm Pharmaceuticals,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Condensed Consolidated Statements of Convertible Preferred Stock &amp; Stockholders’ Equity</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80" w:type="dxa"/>
            <w:vAlign w:val="bottom"/>
            <w:gridSpan w:val="5"/>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Series A Convertible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58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02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58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Borders>
              <w:right w:val="single" w:sz="8" w:color="auto"/>
            </w:tcBorders>
          </w:tcPr>
          <w:p>
            <w:pPr>
              <w:spacing w:after="0"/>
              <w:rPr>
                <w:sz w:val="10"/>
                <w:szCs w:val="10"/>
                <w:color w:val="auto"/>
              </w:rPr>
            </w:pPr>
          </w:p>
        </w:tc>
        <w:tc>
          <w:tcPr>
            <w:tcW w:w="660" w:type="dxa"/>
            <w:vAlign w:val="bottom"/>
            <w:tcBorders>
              <w:top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86"/>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Income (Loss)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at December 31, 2024</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150,000</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142,820</w:t>
            </w:r>
          </w:p>
        </w:tc>
        <w:tc>
          <w:tcPr>
            <w:tcW w:w="160" w:type="dxa"/>
            <w:vAlign w:val="bottom"/>
            <w:tcBorders>
              <w:top w:val="single" w:sz="8" w:color="CCEEFF"/>
              <w:right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62,390,654</w:t>
            </w: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61</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1,177,045</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(39)</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(1,155,338)</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21,729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 compensation expense</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right w:val="single" w:sz="8" w:color="auto"/>
            </w:tcBorders>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12,862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12,862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ESPP</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21,875</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tcPr>
          <w:p>
            <w:pPr>
              <w:ind w:left="8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exercise of stock options</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and vesting of restricted stock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494,853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Issuance of common stock upon completion of ATM equity offering, net</w:t>
            </w: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tcBorders>
              <w:right w:val="single" w:sz="8" w:color="auto"/>
            </w:tcBorders>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of $739 offering costs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587,510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32,108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32,108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Accretion of preferred stock dividends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1,322</w:t>
            </w:r>
          </w:p>
        </w:tc>
        <w:tc>
          <w:tcPr>
            <w:tcW w:w="160" w:type="dxa"/>
            <w:vAlign w:val="bottom"/>
            <w:tcBorders>
              <w:right w:val="single" w:sz="8" w:color="auto"/>
            </w:tcBorders>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(1,322)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(1,322)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Net unrealized loss on marketable securities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right w:val="single" w:sz="8" w:color="auto"/>
            </w:tcBorders>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(49,498)</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(49,498)</w:t>
            </w:r>
          </w:p>
        </w:tc>
        <w:tc>
          <w:tcPr>
            <w:tcW w:w="0" w:type="dxa"/>
            <w:vAlign w:val="bottom"/>
          </w:tcPr>
          <w:p>
            <w:pPr>
              <w:spacing w:after="0"/>
              <w:rPr>
                <w:sz w:val="1"/>
                <w:szCs w:val="1"/>
                <w:color w:val="auto"/>
              </w:rPr>
            </w:pPr>
          </w:p>
        </w:tc>
      </w:tr>
      <w:tr>
        <w:trPr>
          <w:trHeight w:val="155"/>
        </w:trPr>
        <w:tc>
          <w:tcPr>
            <w:tcW w:w="350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Balance at March 31, 2025</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150,000</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144,142</w:t>
            </w:r>
          </w:p>
        </w:tc>
        <w:tc>
          <w:tcPr>
            <w:tcW w:w="160" w:type="dxa"/>
            <w:vAlign w:val="bottom"/>
            <w:tcBorders>
              <w:right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63,494,892</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62</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1,223,772</w:t>
            </w: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(51)</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(1,204,836)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18,947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4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Balance at December 31, 2023</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right w:val="single" w:sz="8" w:color="auto"/>
            </w:tcBorders>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59,426,559</w:t>
            </w:r>
          </w:p>
        </w:tc>
        <w:tc>
          <w:tcPr>
            <w:tcW w:w="360" w:type="dxa"/>
            <w:vAlign w:val="bottom"/>
            <w:gridSpan w:val="2"/>
          </w:tcPr>
          <w:p>
            <w:pPr>
              <w:jc w:val="right"/>
              <w:ind w:right="1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w:t>
            </w:r>
          </w:p>
        </w:tc>
        <w:tc>
          <w:tcPr>
            <w:tcW w:w="2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1,064,302</w:t>
            </w:r>
          </w:p>
        </w:tc>
        <w:tc>
          <w:tcPr>
            <w:tcW w:w="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134</w:t>
            </w:r>
          </w:p>
        </w:tc>
        <w:tc>
          <w:tcPr>
            <w:tcW w:w="220" w:type="dxa"/>
            <w:vAlign w:val="bottom"/>
            <w:gridSpan w:val="2"/>
          </w:tcPr>
          <w:p>
            <w:pPr>
              <w:jc w:val="right"/>
              <w:ind w:right="13"/>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(894,736)</w:t>
            </w:r>
          </w:p>
        </w:tc>
        <w:tc>
          <w:tcPr>
            <w:tcW w:w="100" w:type="dxa"/>
            <w:vAlign w:val="bottom"/>
          </w:tcPr>
          <w:p>
            <w:pPr>
              <w:spacing w:after="0"/>
              <w:rPr>
                <w:sz w:val="10"/>
                <w:szCs w:val="10"/>
                <w:color w:val="auto"/>
              </w:rPr>
            </w:pPr>
          </w:p>
        </w:tc>
        <w:tc>
          <w:tcPr>
            <w:tcW w:w="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169,759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7,767</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7,767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ESPP</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right w:val="single" w:sz="8" w:color="auto"/>
            </w:tcBorders>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28,495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exercise of stock options and</w:t>
            </w: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tcBorders>
              <w:right w:val="single" w:sz="8" w:color="auto"/>
            </w:tcBorders>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1,077,271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6,352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6,353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common stock as consideration for LGC license</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right w:val="single" w:sz="8" w:color="auto"/>
            </w:tcBorders>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432,143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18,716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18,716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Unrealized loss on marketable securities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right w:val="single" w:sz="8" w:color="auto"/>
            </w:tcBorders>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(141,372)</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(141,372)</w:t>
            </w:r>
          </w:p>
        </w:tc>
        <w:tc>
          <w:tcPr>
            <w:tcW w:w="0" w:type="dxa"/>
            <w:vAlign w:val="bottom"/>
          </w:tcPr>
          <w:p>
            <w:pPr>
              <w:spacing w:after="0"/>
              <w:rPr>
                <w:sz w:val="1"/>
                <w:szCs w:val="1"/>
                <w:color w:val="auto"/>
              </w:rPr>
            </w:pPr>
          </w:p>
        </w:tc>
      </w:tr>
      <w:tr>
        <w:trPr>
          <w:trHeight w:val="115"/>
        </w:trPr>
        <w:tc>
          <w:tcPr>
            <w:tcW w:w="350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Balance at March 31, 2024</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60,964,468</w:t>
            </w:r>
          </w:p>
        </w:tc>
        <w:tc>
          <w:tcPr>
            <w:tcW w:w="1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60</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1,097,810</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(181)</w:t>
            </w: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(1,036,108)</w:t>
            </w: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61,581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17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7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(49,498)</w:t>
            </w:r>
          </w:p>
        </w:tc>
        <w:tc>
          <w:tcPr>
            <w:tcW w:w="5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(141,372)</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7,767</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interest expense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4,009</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accretion &amp; amortization of short-term investments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rent expense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fair value of embedded derivative liability</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Acquired IPR&amp;D assets classified as investing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92,385</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(2,421)</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5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(3,633)</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(40,351)</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(40,743)</w:t>
            </w: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short-term investments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(33,521)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Maturities of short-term investments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58,333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70,050</w:t>
            </w:r>
          </w:p>
        </w:tc>
        <w:tc>
          <w:tcPr>
            <w:tcW w:w="0" w:type="dxa"/>
            <w:vAlign w:val="bottom"/>
          </w:tcPr>
          <w:p>
            <w:pPr>
              <w:spacing w:after="0"/>
              <w:rPr>
                <w:sz w:val="1"/>
                <w:szCs w:val="1"/>
                <w:color w:val="auto"/>
              </w:rPr>
            </w:pPr>
          </w:p>
        </w:tc>
      </w:tr>
      <w:tr>
        <w:trPr>
          <w:trHeight w:val="203"/>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Acquisition of IPR&amp;D assets</w:t>
            </w:r>
          </w:p>
        </w:tc>
        <w:tc>
          <w:tcPr>
            <w:tcW w:w="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5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24,812</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30,050</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of deferred royalty obligation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0" w:type="dxa"/>
            <w:vAlign w:val="bottom"/>
          </w:tcPr>
          <w:p>
            <w:pPr>
              <w:spacing w:after="0"/>
              <w:rPr>
                <w:sz w:val="1"/>
                <w:szCs w:val="1"/>
                <w:color w:val="auto"/>
              </w:rPr>
            </w:pP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6,353</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issuance of common stock from ESPP</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0" w:type="dxa"/>
            <w:vAlign w:val="bottom"/>
          </w:tcPr>
          <w:p>
            <w:pPr>
              <w:spacing w:after="0"/>
              <w:rPr>
                <w:sz w:val="1"/>
                <w:szCs w:val="1"/>
                <w:color w:val="auto"/>
              </w:rPr>
            </w:pPr>
          </w:p>
        </w:tc>
      </w:tr>
      <w:tr>
        <w:trPr>
          <w:trHeight w:val="203"/>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Proceeds from ATM equity offering</w:t>
            </w:r>
          </w:p>
        </w:tc>
        <w:tc>
          <w:tcPr>
            <w:tcW w:w="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34,034</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5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32,499</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4,243</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Effect of exchange rates on cash</w:t>
            </w:r>
          </w:p>
        </w:tc>
        <w:tc>
          <w:tcPr>
            <w:tcW w:w="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(6,521)</w:t>
            </w:r>
          </w:p>
        </w:tc>
        <w:tc>
          <w:tcPr>
            <w:tcW w:w="0" w:type="dxa"/>
            <w:vAlign w:val="bottom"/>
          </w:tcPr>
          <w:p>
            <w:pPr>
              <w:spacing w:after="0"/>
              <w:rPr>
                <w:sz w:val="1"/>
                <w:szCs w:val="1"/>
                <w:color w:val="auto"/>
              </w:rPr>
            </w:pPr>
          </w:p>
        </w:tc>
      </w:tr>
      <w:tr>
        <w:trPr>
          <w:trHeight w:val="203"/>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89,601</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60,409</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106,559</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53,888</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7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liability issued in exchange for the acquisition of IPR&amp;D</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33,669</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in exchange for IPR&amp;D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18,716</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preferred stock dividends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5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jc w:val="both"/>
        <w:ind w:left="60" w:right="59" w:firstLine="648"/>
        <w:spacing w:after="0" w:line="243" w:lineRule="auto"/>
        <w:rPr>
          <w:sz w:val="20"/>
          <w:szCs w:val="20"/>
          <w:color w:val="auto"/>
        </w:rPr>
      </w:pPr>
      <w:r>
        <w:rPr>
          <w:rFonts w:ascii="Times New Roman" w:cs="Times New Roman" w:eastAsia="Times New Roman" w:hAnsi="Times New Roman"/>
          <w:sz w:val="18"/>
          <w:szCs w:val="18"/>
          <w:color w:val="auto"/>
        </w:rPr>
        <w:t>Rhythm Pharmaceuticals, Inc. (the “Company” or “we”) is a global, commercial-stage biopharmaceutical company dedicated to transforming the lives of patients living with rare neuroendocrine diseases. We are focused on advancing our melanocortin-4 (MC4R) receptor agonists, including our lead asset, IMCIVREE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(setmelanotide), as a precision medicine designed to treat hyperphagia and severe obesity caused by rare MC4R pathway diseases. While obesity affects hundreds of millions of people worldwide, we are developing therapies for a subset of individuals who have hyperphagia, a pathological insatiable hunger and impaired satiety accompanied by persistent and abnormal food-seeking behaviors, decreased energy expenditure and severe obesity due to diseases such as acquired or congenital hypothalamic obesity, Bardet-Biedl syndrome (BBS) or other diseases caused by impaired MC4R pathway signaling. The MC4R pathway is an 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and Great Britain, Canada, and other countries and regions.</w:t>
      </w:r>
    </w:p>
    <w:p>
      <w:pPr>
        <w:spacing w:after="0" w:line="20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is a Delaware corporation organized in February 2013 under the name Rhythm Metabolic, Inc., and as of October 2015, under the name Rhythm Pharmaceuticals, Inc. The Company has wholly owned subsidiaries in the US, Ireland, the United Kingdom, the Netherlands, France, Germany, Italy, Spain and Canada.</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commercial-stage companies in the biotechnology industry, including but not limited to, risks associated with the commercialization of approved products,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Commercialization of approved products will require significant resources and in order to market IMCIVREE, the Company must continue to build its sales, marketing, managerial and other non-technical capabilities or make arrangements with third parties to perform these services.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though the Company has an approved product, and even if the Company’s further product development efforts are successful, it is uncertain when, if ever, the Company will realize sufficient revenue from product sales to fund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incurred operating losses and experienced negative cash flows from operations since inception. As of March 31, 2025, the Company had an accumulated deficit of $1.2 billion. The Company has funded these losses primarily from the proceeds from the sales of common and preferred stock, product revenue, asset sales, royalty financing, out-license arrangements, as well as capital contributions received from the former parent company, Rhythm Holdings LLC. While the Company is generating product revenue, management expects operating losses to continue for the foreseeable future. The Company has devoted substantially all of its resources to its drug development efforts, comprised of research and development, the acquisition of in process research and development assets, manufacturing, conducting clinical trials for its product candidates, protecting its intellectual property, commercialization activities and general and administrative functions relating to these operations. The future success of the Company is dependent on its ability to develop its product candidates and ultimately upon its ability to attain profitable operations.</w:t>
      </w:r>
    </w:p>
    <w:p>
      <w:pPr>
        <w:spacing w:after="0" w:line="19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$314,488 of cash and cash equivalents and short-term investments on hand. In the future, the Company will be dependent on obtaining funding from third parties, such as proceeds from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issuance of debt, sale of equity, proceeds from out license arrangements, product sales and funded research and development programs to maintain the Company's operations and meet the Company's obligations. There is no guarantee that additional equity or other financing will be available to the Company on acceptable terms, or at all. If the Company fails to obtain additional funding when needed, the Company would be forced to scale back, terminate its operations or seek to merge with or be acquired by another company. Management believes that the Company's existing cash resources will be sufficient to fund the Company’s operations through at least the next twelve months from the filing of this Quarterly Report on Form 10-Q with the SEC.</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accounting principles generally accepted in the United States, or GAAP, and the applicable rules and regulations of the Securities and Exchange Commission, or SEC, regarding interim financial reporting. Any reference in these notes to applicable guidance is meant to refer to the authoritative United States generally accepted accounting principles as found in the Accounting Standards Codification, or ASC, and Accounting Standards Updates, or ASU, of the Financial Accounting Standards Board, or FASB. As permitted under these rules, certain footnotes or other financial information that are normally required by GAAP have been condensed or omitted.</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March 31, 2025, the condensed consolidated statements of operations and comprehensive loss for the three months ended March 31, 2025 and 2024, the condensed consolidated statements of convertible preferred stock and stockholders’ equity for the three months ended March 31, 2025 and 2024 and the condensed consolidated statements of cash flows for the three months ended March 31, 2025 and 2024 and the related footnote disclosures are unaudited. In management's opinion, the unaudited condensed consolidated financial statements have been prepared on the same basis as the audited consolidated financial statements as of and for the year ended December 31, 2024 and include all adjustments, which are all normal recurring adjustments, necessary for the fair presentation of the interim financial statements. The results for the three months ended March 31, 2025 are not necessarily indicative of the results expected for the full fiscal year, any other interim periods, or any future year or period.</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the application of certain significant accounting policies as described below and elsewhere in these notes to the unaudited condensed consolidated financial statements. As of March 31, 2025, there have been no material changes in the Company's significant accounting policies from those that were disclosed in the Company’s Annual Report on Form 10-K for the year ended December 31,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The Company bases its estimates on historical experience and other market-specific or other relevant assumptions that it believes to be reasonable under the circumstances.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Significant estimates relied upon in preparing these financial statements include estimates related to determining our net product revenue and accruals related to research and development expenses. Estimates are periodically reviewed in light of changes in circumstances, facts and experience. Changes in estimates are recorded in the period in which they become known. Actual results could differ materially from those estimates.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Rhythm Pharmaceuticals, Inc. and its wholly-owned subsidiaries. All significant intercompany balances and transactions have been eliminated in consolidation.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Disclosure requirements about segments of an enterprise and related information establishes standards for reporting information regarding operating segments in annual financial statements and requires selected information of those segments to be presented in interim financial reports issued to shareholders. Operating segments are defined as components of an enterprise about which separate discrete financial information is available that is evaluated regularly by the chief operating decision maker, or decision-making group, in deciding how to allocate resources and in assessing performance. The Company’s chief operating decision maker is the chief executive officer. The Company and the chief executive officer view the Company’s operations and manage its business as one operating segment.</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 Segment Reporting (Topic 280) – Improvements to Reportable Segment Disclosures, which improves segment disclosure requirements, primarily through enhanced disclosure requirements for significant segment expenses. The improved disclosure requirements apply to all public entities that are required to report segment information, including those with only one reportable segment. The Company adopted the guidance in the fiscal year beginning January 1, 2024. There was no impact on the Company’s reportable segments identified and additional required disclosures have been included in Note 15.</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 of credit risk, consist primarily of cash and cash equivalents and short-term investments, which are maintained at two federally insured financial institutions. The deposits held at these two institutions are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 has no off-balance sheet risk, such as foreign exchange contracts, option contracts, or other foreign hedging arrangements.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is exposed to risks associated with extending credit to customers related to the sale of products. The Company does not require collateral to secure amounts due from its customers. For the three months ended March 31, 2025 and 2024, approximately 65% and 74% of all of the Company’s revenue was generated from a single customer in the United States. As of March 31, 2025 and December 31, 2024, approximately 61% and 67%, respectively, of the Company’s accounts receivable was outstanding from a single customer in the United States.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relies on third-party manufacturers and suppliers for the manufacture and supply of its product. The inability of the suppliers or manufacturers to fulfill supply requirements of the Company could materially impact future operating results. A change in the relationship with the suppliers or manufacturer, or an adverse change in their business, could materially impact future operating results.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relies on separate third parties to perform genetic testing in the United States and Europe, respectively. The inability of the vendors to fulfill testing services for the Company could materially impact future operating results and adversely impact our ability to further develop setmelanotide. A change in the relationship with the genetic testing service providers, or an adverse change in their business, could materially impact future operating results.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remaining maturity from the date of purchase of three months or less to be cash equivalents. Cash and cash equivalents includes bank demand deposits, U.S. treasury bills and money market funds that invest primarily in U.S. government treasuries.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Short-term investments consist of investments with maturities greater than 90 days, as of the date of purchase. The Company has classified its investments with maturities beyond one year as short term, based on their highly liquid nature and because such marketable securities represent the investment of cash that is available for current operations.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Company considers its investment portfolio available-for-sale. Accordingly, these investments are recorded at fair value, which is based on quoted market prices. Unrealized gains and losses are reported as a component of accumulated other comprehensive income (loss) in stockholders’ equity. To the extent the amortized cost basis of the available-for-sale debt securities exceeds the fair value, management assesses the debt securities for credit loss; however, management considers the risk of credit loss to be minimized by the Company's policy of investing in financial instruments issued by highly-rated financial institutions. When assessing the risk of credit loss, management considers factors such as the severity and the reason for the decline in value (i.e., any changes to the rating of the security by a rating agency or other adverse conditions specifically related to the security) and management's intended holding period and time horizon for selling. During the three months ended March 31, 2025 and 2024, the Company did not recognize any credit losses related to its available-for-sale debt securities. Further, as of March 31, 2025 and December 31, 2024, the Company did not record an allowance for credit losses related to its available-for-sale debt securities.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consists of amounts due from customers, net of customer allowances for cash discounts and any estimated expected credit losses. The Company's measurement of expected credit losses is based on relevant information about past events, including historical experience, current conditions, and reasonable and supportable forecasts that affect the collectability of the reported amount. To date, the Company has not experienced any credit losses. The Company's contracts with its customers have customary payment terms that generally require payment within 90 days. The Company analyzes amounts that are past due for collectability, and periodically evaluates the creditworthiness of its customers. As of March 31, 2025 and December 31, 2024, the Company determined an allowance for doubtful accounts was not required based upon our review of contractual payments and our customers’ circumstances.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Under ASC 606, an entity recognizes revenue when its customer obtains control of promised goods or services in an amount that reflects the consideration which the entity expects to receive in exchange for those goods or services.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“U.S.”), which accounts for the largest portion of our total revenues, the Company sells its product to one specialty pharmacy. The product is distributed through third-party logistics, or 3PL, distribution agent that does not take title to the product. Once the product is delivered to the Company’s specialty pharmacy provider, our customer in the U.S., the customer (or “wholesaler”) takes title to the product. The wholesaler then distributes the product to patients. In our distribution agreement with the 3PL company, the Company acts as principal because we retain control of the product. Internationally, we make sales primarily to specialty distributors and retail pharmacy chains, as well as hospitals, many of which are government-owned or supported. The Company offers returns of product sold to the customer on a limited basis, however, no material returns have been recognized to date.</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 from product sales is recognized when the customer obtains control of our product, which occurs at a point in time, upon transfer of title to the customer because at that point in time we have no ongoing obligations to the customer. There are no other performance obligations besides the sale of product. We classify payments to our customers or other parties in the distribution channel for services that are distinct and priced at fair value as selling, general and administrative expenses in our consolidated statements of operations and comprehensive loss. Otherwise, payments to a customer or other parties in the distribution channel that do not meet those criteria are classified as a reduction of revenue, as discussed further below. Taxes collected from the customer relating to product sales and remitted to governmental authorities are excluded from revenue. Because our payment terms are generally ninety days or less, the Company concluded there is not a significant financing component because the period between the transfer of a promised good or service to the customer and when the customer pays for that good or service will be one year or less. The Company expenses incremental costs of obtaining a contract as and when incurred since the expected amortization period of the asset that we would have recognized is one year or less.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 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considered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are the components of variable consideration related to product revenue:</w:t>
      </w:r>
    </w:p>
    <w:p>
      <w:pPr>
        <w:spacing w:after="0" w:line="22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The Company is subject to discount obligations under government programs,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Medicaid programs, Medicare and Tricare in the United States as well as certain government rebates and pricing adjustments in certain international markets that we operate. We estimate these rebates based upon a range of possible outcomes that are probability-weighted for the estimated payer mix. These reserves are recorded in the same period the related revenue is recognized, resulting in a reduction of product revenue and the establishment of a liability that is included in accrued expenses and other current liabilities on our condensed consolidated balance sheets. On a quarterly basis, we update our estimates and record any adjustments in the period that we identify the adjustments.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The Company provides customary invoice discounts on IMCIVREE sales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 our customers for prompt payment. These are recorded as a reduction of revenue in the period the related product revenue is recognized. In addition, we receive and pay for various distribution services from our customers in the distribution channel. For services that are not distinct from the sale of our product, such fees are classified as a reduction of product revenue.</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Our customers have limited return rights related to the product’s damage or defect.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the amount of product sales that may be returned and records the estimate as a reduction of revenue and a refund liability in the period the related product revenue is recognized. Based on the distribution model for IMCIVREE, the Company believes there will be minimal returns and these reserves have not been material to date.</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include co-payment assistance the Company provides to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insurance that have coverage and reside in states that allow co-payment assistance. The calculation of the accrual for co-pay assistance is based on an estimate of claims and the cost per claim that we expect to receive associated with product that has been recognized as revenue. The estimate is recorded as a reduction of revenue in the same period the related revenue is recognized.</w:t>
      </w:r>
    </w:p>
    <w:p>
      <w:pPr>
        <w:spacing w:after="0" w:line="18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Provisions for trade discounts, and allowances are recorded as reductions to accounts receivable, and returns, government rebates, and other incentives are recorded as a component of accrued expenses.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from license or similar agreements with pharmaceutical companies for the development and commercialization of certain of our products and product candidates. Such agreements may include the transfer of intellectual property rights in the form of licenses, transfer of technological know-how, delivery of drug substances, research and development services, and participation on certain committees with the counterparty. Payments made by the customers may include non-refundable upfront fees, payments upon the exercise of customer options, payments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based upon the achievement of defined milestones, and royalties on sales of products and product candidates if they are approved and commercialized.</w:t>
      </w:r>
    </w:p>
    <w:p>
      <w:pPr>
        <w:spacing w:after="0" w:line="16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a license to our intellectual property is determined to be distinct from the other performance obligations identified in the arrangement, we recognize the transaction price allocated to the license as revenue upon transfer of control of the license. We evaluate all other promised goods or services in the agreement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9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utilize judgment to determine the transaction price. In connection therewith, we evaluate contingent milestones at contract inception to estimate the amount which is not probable of a material reversal to include in the transaction price using the most likely amount method. Milestone payments that are not within our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we recognize revenue as or when the performance obligations under the contract are satisfied. At the end of each reporting period, we re-evaluate the probability of achieving development milestone payments that may not be subject to a material reversal and, if necessary, adjust our estimate of the overall transaction price. Any such adjustments are recorded on a cumulative catch-up basis, which would affect license and other revenue, as well as earnings, in the period of adjustment.</w:t>
      </w:r>
    </w:p>
    <w:p>
      <w:pPr>
        <w:spacing w:after="0" w:line="194"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We then determine whether the performance obligations or combined performance obligations are satisfied over time or at a point in time and, if over time, the appropriate method of measuring progress for purposes of recognizing revenue from non-refundable, upfront fees. We evaluate the measure of progress, as applicable, for each reporting period and, if necessary, adjust the measure of performance and related revenue recognition.</w:t>
      </w:r>
    </w:p>
    <w:p>
      <w:pPr>
        <w:spacing w:after="0" w:line="180"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transferring goods or services to the customer under the terms of a contract, a contract liability is recorded within deferred revenue. Contract liabilities within deferred revenue are recognized as revenue after control of the goods or services is transferred to the customer and all revenue recognition criteria have been met.</w:t>
      </w:r>
    </w:p>
    <w:p>
      <w:pPr>
        <w:spacing w:after="0" w:line="180"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we recognize revenue at the later of when the related sales occur or when the performance obligation to which some or all of the royalties have been allocated has been satisfied (or partially satisfied). See Note 12 – Significant Agreements for discussion related to the Company’s accounting for the RareStone Group, Ltd. agreement.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Royalty Obligation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treats the debt obligation to HealthCare Royalty Management, LLC as discussed further in Note 13, “Long-Term Obligations”, as a deferred royalty obligation, amortized using the effective interest rate method over the estimated life of the revenue streams. The Company recognizes interest expense thereon using the effective rate, which is based on our current estimates of future revenues over the life of the arrangement. In connection therewith, the Company periodically assesses its expected revenues using internal projections, imputes interest on the carrying value of the deferred royalty obligation, and records interest expense using the imputed effective interest rate. To the extent the Company’s estimates of future revenues are greater or less than previous estimates or the estimated timing of such payments is materially different than previous estimates, the Company will account for any such changes by adjusting the effective interest rate on a prospective basis, with a corresponding impact to the reclassification of our deferred royalty obligation. The assumptions used in determining the expected repayment term of the deferred royalty obligation and amortization period of the issuance costs requires the Company to make estimates that could impact the classification of such costs, as well as the period over which such costs will be amortized.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Prior to receiving approval from the FDA in November 2020 to sell IMCIVREE in the United States, the Company expensed all costs incurred related to the manufacture of IMCIVREE as research and development expense because of the inherent risks associated with the development of a drug candidate, the uncertainty about the regulatory approval process and the lack of history for the Company of regulatory approval of drug candidates. The Company values inventories at the lower of cost or estimated net realizable value. The Company determines the cost of inventories, which includes amounts related to materials and manufacturing overhead, on a first-in, first-out basis. Raw materials and work in process includes all inventory costs prior to packaging and labelling, including raw materials, active pharmaceutical ingredient, and drug product. Finished goods include packaged and labelled products. Raw materials and work in process that may be used for either research and development or commercial sale are classified as inventory until the material is consumed or otherwise allocated for research and development. If the material is intended to be used for research and development, it is expensed as research and development once that determination is made.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Cost of product sales consists of manufacturing costs, transportation and freight, amortization of capitalized intangibles, royalty payments and indirect overhead costs associated with the manufacturing and distribution of IMCIVREE. Cost of product sales may also include periodic costs related to certain manufacturing services and inventory adjustment charges. Finally, cost of sales may also include costs related to excess or obsolete inventory adjustment charges, abnormal costs, unabsorbed manufacturing and overhead costs, and manufacturing variances.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Definite-lived intangible assets related to capitalized milestones under license agreements are amortized on a straight-line basis over their remaining useful lives, which are estimated to be the remaining patent life. If our estimate of the product’s useful life is shorter than the remaining patent life, then a shorter period is used. Amortization expense is recorded as a component of cost of sales on the consolidated statements of operations and comprehensive loss.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evaluates its long-lived assets, which consist primarily of property and equipment and finite lived intangible assets, for impairment whenever events or changes in circumstances indicate that the carrying amount of such assets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The Company measures recoverability of assets to be held and used by comparing the carrying amount of an asset to the future undiscounted net cash flows expected to be generated by the asset. If such assets are considered to be impaired, the Company measures the impairment to be recognized by the amount by which the carrying amount of the asset exceeds the fair value of the asset, less the cost to sell. No events or changes in circumstances existed to require an impairment assessment during the three months ended March 31, 2025 and 2024, respectively.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Acquired IPR&amp;D and Milestone Expenses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an asset acquisition, payments incurred prior to regulatory approval to acquire rights to in-process research and development projects are expensed as acquired IPR&amp;D and recorded as a component of research and development expense in the condensed consolidated statements of operations and comprehensive net loss unless the project has an alternative future use. These costs include upfront and development milestone payments related to licensing arrangements, or other asset acquisitions that provide rights to develop, manufacture and/or sell pharmaceutical products. Where contingent development milestone payments are due to third parties, prior to regulatory approval, the payment obligations are expensed when the achievement of the underlying milestone becomes probable. Regulatory and commercial milestone payments made to third parties subsequent to regulatory approval are capitalized as intangible assets and amortized to cost of products sold over the remaining useful life of the related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assets and liabilities of the Company’s subsidiaries with functional currencies other than the U.S. dollar are translated into U.S. dollars at exchange rates in effect at the balance sheet date. Revenue and expense amounts for these subsidiaries are translated using the average exchange rates for the period. Changes resulting from foreign currency translation are included in accumulated other comprehensive income (loss) on the Company’s consolidated statement of stockholders’ equity. Net foreign currency exchange transaction gains (losses), which are included in other (expense) income, net on our consolidated statements of operations, were immaterial for the three months ended March 31, 2025 and 2024,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pacing w:after="0" w:line="225" w:lineRule="exact"/>
        <w:rPr>
          <w:sz w:val="20"/>
          <w:szCs w:val="20"/>
          <w:color w:val="auto"/>
        </w:rPr>
      </w:pPr>
    </w:p>
    <w:p>
      <w:pPr>
        <w:jc w:val="both"/>
        <w:ind w:left="1500" w:right="59" w:hanging="809"/>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1500" w:right="59" w:hanging="809"/>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cash equivalents and marketable securities and derivative asset as of March 31, 2025 and December 31, 2024 were carried at fair value, determined according to the fair value hierarchy. See Note 6 for further discussion.</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condensed consolidated balance sheets for accounts payable and accrued expenses and other current liabilities approximate their fair values due to their short-term maturities as of March 31, 2025 and December 31, 2024,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shareholders by the weighted average number of common shares outstanding during the period, without consideration of potential dilutive securities. Diluted net loss per common share is computed by adjusting the weighted average shares outstanding for the potential dilutive effects of common stock equivalents outstanding during the period calculated in accordance with the more dilutive of the if-converted or the treasury stock method. For purposes of the diluted net loss per share calculation, stock options, performance stock units and restricted stock units are considered to be common stock equivalents but have been excluded from the calculation of diluted net loss per share, as their effect would be anti-dilutive for all periods presented. Therefore, basic and diluted net loss per share is the same for all periods presented.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potential common shares that were excluded from the computation of diluted net loss per share as their effect would have been anti-dilutive for the periods indicated: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Performance stock units</w:t>
      </w:r>
    </w:p>
    <w:p>
      <w:pPr>
        <w:spacing w:after="0" w:line="9" w:lineRule="exact"/>
        <w:rPr>
          <w:sz w:val="20"/>
          <w:szCs w:val="20"/>
          <w:color w:val="auto"/>
        </w:rPr>
      </w:pPr>
    </w:p>
    <w:p>
      <w:pPr>
        <w:ind w:left="60" w:right="80"/>
        <w:spacing w:after="0" w:line="255" w:lineRule="auto"/>
        <w:rPr>
          <w:sz w:val="20"/>
          <w:szCs w:val="20"/>
          <w:color w:val="auto"/>
        </w:rPr>
      </w:pPr>
      <w:r>
        <w:rPr>
          <w:rFonts w:ascii="Times New Roman" w:cs="Times New Roman" w:eastAsia="Times New Roman" w:hAnsi="Times New Roman"/>
          <w:sz w:val="18"/>
          <w:szCs w:val="18"/>
          <w:color w:val="auto"/>
        </w:rPr>
        <w:t>Common stock reserved for the conversion of Series A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-4445</wp:posOffset>
            </wp:positionV>
            <wp:extent cx="564896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Potential common shares</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-3175</wp:posOffset>
            </wp:positionV>
            <wp:extent cx="19799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ind w:left="20"/>
        <w:spacing w:after="0"/>
        <w:tabs>
          <w:tab w:leader="none" w:pos="17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9"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18"/>
          <w:szCs w:val="18"/>
          <w:color w:val="auto"/>
        </w:rPr>
        <w:t>7,157,931</w:t>
      </w:r>
      <w:r>
        <w:rPr>
          <w:sz w:val="20"/>
          <w:szCs w:val="20"/>
          <w:color w:val="auto"/>
        </w:rPr>
        <w:tab/>
      </w:r>
      <w:r>
        <w:rPr>
          <w:rFonts w:ascii="Times New Roman" w:cs="Times New Roman" w:eastAsia="Times New Roman" w:hAnsi="Times New Roman"/>
          <w:sz w:val="18"/>
          <w:szCs w:val="18"/>
          <w:color w:val="auto"/>
        </w:rPr>
        <w:t>7,029,546</w:t>
      </w:r>
    </w:p>
    <w:p>
      <w:pPr>
        <w:spacing w:after="0" w:line="7"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18"/>
          <w:szCs w:val="18"/>
          <w:color w:val="auto"/>
        </w:rPr>
        <w:t>2,704,837</w:t>
      </w:r>
      <w:r>
        <w:rPr>
          <w:sz w:val="20"/>
          <w:szCs w:val="20"/>
          <w:color w:val="auto"/>
        </w:rPr>
        <w:tab/>
      </w:r>
      <w:r>
        <w:rPr>
          <w:rFonts w:ascii="Times New Roman" w:cs="Times New Roman" w:eastAsia="Times New Roman" w:hAnsi="Times New Roman"/>
          <w:sz w:val="18"/>
          <w:szCs w:val="18"/>
          <w:color w:val="auto"/>
        </w:rPr>
        <w:t>1,775,146</w:t>
      </w:r>
    </w:p>
    <w:p>
      <w:pPr>
        <w:spacing w:after="0" w:line="9" w:lineRule="exact"/>
        <w:rPr>
          <w:sz w:val="20"/>
          <w:szCs w:val="20"/>
          <w:color w:val="auto"/>
        </w:rPr>
      </w:pPr>
    </w:p>
    <w:p>
      <w:pPr>
        <w:ind w:left="220"/>
        <w:spacing w:after="0"/>
        <w:tabs>
          <w:tab w:leader="none" w:pos="2300" w:val="left"/>
        </w:tabs>
        <w:rPr>
          <w:sz w:val="20"/>
          <w:szCs w:val="20"/>
          <w:color w:val="auto"/>
        </w:rPr>
      </w:pPr>
      <w:r>
        <w:rPr>
          <w:rFonts w:ascii="Times New Roman" w:cs="Times New Roman" w:eastAsia="Times New Roman" w:hAnsi="Times New Roman"/>
          <w:sz w:val="18"/>
          <w:szCs w:val="18"/>
          <w:color w:val="auto"/>
        </w:rPr>
        <w:t>249,322</w:t>
      </w:r>
      <w:r>
        <w:rPr>
          <w:sz w:val="20"/>
          <w:szCs w:val="20"/>
          <w:color w:val="auto"/>
        </w:rPr>
        <w:tab/>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80"/>
        <w:spacing w:after="0"/>
        <w:tabs>
          <w:tab w:leader="none" w:pos="2300" w:val="left"/>
        </w:tabs>
        <w:rPr>
          <w:sz w:val="20"/>
          <w:szCs w:val="20"/>
          <w:color w:val="auto"/>
        </w:rPr>
      </w:pPr>
      <w:r>
        <w:rPr>
          <w:rFonts w:ascii="Times New Roman" w:cs="Times New Roman" w:eastAsia="Times New Roman" w:hAnsi="Times New Roman"/>
          <w:sz w:val="18"/>
          <w:szCs w:val="18"/>
          <w:color w:val="auto"/>
        </w:rPr>
        <w:t>3,124,999</w:t>
      </w:r>
      <w:r>
        <w:rPr>
          <w:sz w:val="20"/>
          <w:szCs w:val="20"/>
          <w:color w:val="auto"/>
        </w:rPr>
        <w:tab/>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color w:val="auto"/>
        </w:rPr>
        <w:t>13,237,089</w:t>
      </w:r>
      <w:r>
        <w:rPr>
          <w:sz w:val="20"/>
          <w:szCs w:val="20"/>
          <w:color w:val="auto"/>
        </w:rPr>
        <w:tab/>
      </w:r>
      <w:r>
        <w:rPr>
          <w:rFonts w:ascii="Times New Roman" w:cs="Times New Roman" w:eastAsia="Times New Roman" w:hAnsi="Times New Roman"/>
          <w:sz w:val="18"/>
          <w:szCs w:val="18"/>
          <w:color w:val="auto"/>
        </w:rPr>
        <w:t>8,804,692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34290</wp:posOffset>
            </wp:positionV>
            <wp:extent cx="19799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5660" w:space="720"/>
            <w:col w:w="2639"/>
          </w:cols>
          <w:pgMar w:left="1440" w:top="513" w:right="1440" w:bottom="1440" w:gutter="0" w:footer="0" w:header="0"/>
          <w:type w:val="continuous"/>
        </w:sectPr>
      </w:pPr>
    </w:p>
    <w:p>
      <w:pPr>
        <w:spacing w:after="0" w:line="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See Note 16.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Application of New or Revised Accounting Standards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7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or ASU 2023-09. The new guidance requires that an entity, on an annual basis, disclose additional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primarily related to the rate reconciliation and income taxes paid. The amendments in the ASU are intended to enhance the transparency and decision usefulness of income tax disclosures. The amendments in this update are effective for us beginning in fiscal year ending December 31, 2025. We are currently evaluating the impact of the new standard on our consolidated financial statements which is expected to result in enhanced disclosures, however, we do not otherwise expect the adoption of the new guidance to have a material impact on our financial condition or results of operations.</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standard requires disclosure of incremental segment information on an annual and interim basis and allows for multiple measures of a segment’s profit or loss provided that one of those measures is consistent with GAAP. The amendments in this update do not change how a public company identifies its operating segments, aggregates those operating segments, or applies the quantitative thresholds to determine its reportable segments, but rather requires public entities to provide in interim periods all disclosures about a reporting segment’s profit or loss and assets that are currently required annually. ASU 2023-07 becomes effective for the annual period starting on January 1, 2024, and for interim periods starting on January 1, 2025. The company adopted this standard in the year ending December 31, 2024.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Asset Acquisitions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LG Chem, Ltd.</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January 4, 2024, the Company entered into a license agreement and share issuance agreement with LG Chem, Ltd. (“LGC”). Under the terms of the license agreement, the Company obtained worldwide rights to LGC’s proprietary compound bivamelagon and assumed sponsorship of two ongoing LGC Phase 2 studies designed to evaluate safety, tolerability, pharmacokinetics and weight loss efficacy of bivamelagon.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total purchase consideration of $92.4 million was composed of $40.0 million of cash paid at closing and issued shares of the Company’s common stock with an aggregate value of $20.0 million. The shares were issued at a per share price equal to the ten-day volume weighted average closing price for our common stock, calculated as of the trading day immediately prior to January 4, 2024. As of January 4, 2024, the fair value of common stock issued was $18.7 million. The total purchase consideration also includes an additional $40.0 million license fee payable in 18 months, whose present value at closing was $33.7 million, and $0.8 million of transaction costs which are recorded as selling, general and administrative expenses. The carrying value of the license fee payable is $38.8 million as of March 31, 2025 and is reflected in current liabilities on our condensed consolidated balance sheet.</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under the terms of the license agreement, we agreed to pay LGC up to $205 million in cash upon achieving various regulatory and sales milestones based on net sales of bivamelagon. In addition, and subject to the completion of Phase 2 development of bivamelagon, the Company has agreed to pay LGC royalties of between low-to-mid single digit percent of net revenues from its MC4R portfolio, including bivamelagon,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bivamelagon in a region if bivamelagon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bivamelagon for the limited remainder of the royalty term in the relevant region.</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assets acquired were In-Process Research and Development (“IPR&amp;D”) assets. However, since the IPR&amp;D assets were determined to have no alternative future use, the Company recognized the $92.4 million of purchase consideration as research and development expense in the three months ended March 31, 2024.</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that the additional contingent consideration did not meet the definition of a derivative as of the acquisition date. Therefore, the Company did not record a contingent consideration liability on the acquisition date. The Company will recognize any future contingent consideration payments related to the LGC transaction in the period in which the achievement of the underlying milestones becomes probable.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800" w:type="dxa"/>
            <w:vAlign w:val="bottom"/>
            <w:tcBorders>
              <w:bottom w:val="single" w:sz="8" w:color="CCEEFF"/>
            </w:tcBorders>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WIP</w:t>
            </w: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9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2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Inventory</w:t>
            </w:r>
          </w:p>
        </w:tc>
        <w:tc>
          <w:tcPr>
            <w:tcW w:w="4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19,316</w:t>
            </w:r>
          </w:p>
        </w:tc>
        <w:tc>
          <w:tcPr>
            <w:tcW w:w="20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980" w:type="dxa"/>
            <w:vAlign w:val="bottom"/>
            <w:vMerge w:val="restart"/>
          </w:tcPr>
          <w:p>
            <w:pPr>
              <w:jc w:val="right"/>
              <w:ind w:right="21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8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8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17,871</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related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Royalties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r>
      <w:tr>
        <w:trPr>
          <w:trHeight w:val="216"/>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r>
      <w:tr>
        <w:trPr>
          <w:trHeight w:val="209"/>
        </w:trPr>
        <w:tc>
          <w:tcPr>
            <w:tcW w:w="6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59,314</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62,658</w:t>
            </w:r>
          </w:p>
        </w:tc>
      </w:tr>
      <w:tr>
        <w:trPr>
          <w:trHeight w:val="20"/>
        </w:trPr>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Fair Value of Financial Assets and Liabilities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March 31, 2025 and December 31, 2024, the carrying amount of cash and cash equivalents and short-term investments was $314,488 and $320,565 respectively, which approximates fair value. Cash and cash equivalents and short-term investments includes investments in U.S. treasury securities and money market funds that invest in U.S. government securities that are valued using quoted market prices. Accordingly, money market funds and government funds are categorized as Level 1. The financial assets valued based on Level 2 inputs consist of corporate debt securities and commercial paper, which consist of investments in highly-rated investment-grade corporations.</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level of the fair value hierarchy utilized to determine such fair value:</w:t>
      </w:r>
    </w:p>
    <w:p>
      <w:pPr>
        <w:spacing w:after="0" w:line="16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p>
      <w:pPr>
        <w:jc w:val="center"/>
        <w:ind w:left="4560"/>
        <w:spacing w:after="0"/>
        <w:rPr>
          <w:sz w:val="20"/>
          <w:szCs w:val="20"/>
          <w:color w:val="auto"/>
        </w:rPr>
      </w:pPr>
      <w:r>
        <w:rPr>
          <w:rFonts w:ascii="Times New Roman" w:cs="Times New Roman" w:eastAsia="Times New Roman" w:hAnsi="Times New Roman"/>
          <w:sz w:val="14"/>
          <w:szCs w:val="14"/>
          <w:b w:val="1"/>
          <w:bCs w:val="1"/>
          <w:color w:val="auto"/>
        </w:rPr>
        <w:t>March 31, 2025 using:</w:t>
      </w:r>
    </w:p>
    <w:tbl>
      <w:tblPr>
        <w:tblLayout w:type="fixed"/>
        <w:tblInd w:w="60" w:type="dxa"/>
        <w:tblCellMar>
          <w:top w:w="0" w:type="dxa"/>
          <w:left w:w="0" w:type="dxa"/>
          <w:bottom w:w="0" w:type="dxa"/>
          <w:right w:w="0" w:type="dxa"/>
        </w:tblCellMar>
      </w:tblPr>
      <w:tr>
        <w:trPr>
          <w:trHeight w:val="142"/>
        </w:trPr>
        <w:tc>
          <w:tcPr>
            <w:tcW w:w="40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6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89,850</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58,327</w:t>
            </w:r>
          </w:p>
        </w:tc>
      </w:tr>
      <w:tr>
        <w:trPr>
          <w:trHeight w:val="216"/>
        </w:trPr>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150,066</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148,177</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150,066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298,433</w:t>
            </w:r>
          </w:p>
        </w:tc>
      </w:tr>
      <w:tr>
        <w:trPr>
          <w:trHeight w:val="20"/>
        </w:trPr>
        <w:tc>
          <w:tcPr>
            <w:tcW w:w="4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550"/>
        </w:trPr>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3"/>
        </w:trPr>
        <w:tc>
          <w:tcPr>
            <w:tcW w:w="4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 using:</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6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16"/>
        </w:trPr>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71,334</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65,118</w:t>
            </w:r>
          </w:p>
        </w:tc>
      </w:tr>
      <w:tr>
        <w:trPr>
          <w:trHeight w:val="216"/>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166,310</w:t>
            </w:r>
          </w:p>
        </w:tc>
      </w:tr>
      <w:tr>
        <w:trPr>
          <w:trHeight w:val="21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0"/>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136,452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306,016</w:t>
            </w:r>
          </w:p>
        </w:tc>
      </w:tr>
      <w:tr>
        <w:trPr>
          <w:trHeight w:val="20"/>
        </w:trPr>
        <w:tc>
          <w:tcPr>
            <w:tcW w:w="4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estimated fair value of the derivative asset relates to our Royalty Interest Financing Agreement (RIFA) with HealthCare Royalty Partners was determined using Level 3 inputs. The fair value measurement of the derivative asset is sensitive to changes in the unobservable inputs used to value the financial instrument. Changes in the inputs could result in changes to the fair value of each financial instrument.</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embedded derivative asset associated with our deferred royalty obligation, as discussed further in Note 13, “Long-Term Obligations”, is measured at fair value using an option pricing Monte Carlo simulation model and is included as a component of the deferred royalty obligation on the condensed consolidated balance sheets. The embedded derivative asset is subject to remeasurement at the end of each reporting period, with changes in fair value recognized as a component of other (expense) income, net. The assumptions used in the option pricing Monte Carlo simulation model include: (1) our estimates of the probability and timing of related events; (2) the probability-weighted net sales of IMCIVREE, including worldwide net product sales, upfront payments, milestones and royalties; (3) our risk-adjusted discount rate that includes a company specific risk premium; (4) our cost of debt; (5) volatility; and (6) the probability of a change in control occurring during the term of the instrument.</w:t>
      </w:r>
    </w:p>
    <w:p>
      <w:pPr>
        <w:spacing w:after="0" w:line="18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changes in the estimated fair value of our embedded derivative liability (asset) (in thousands):</w:t>
      </w:r>
    </w:p>
    <w:p>
      <w:pPr>
        <w:spacing w:after="0" w:line="169"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20" w:type="dxa"/>
            <w:vAlign w:val="bottom"/>
            <w:tcBorders>
              <w:bottom w:val="single" w:sz="8" w:color="CCEEFF"/>
            </w:tcBorders>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aggregate estimated fair value of Level 3 liability (asset)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Change in fair value of embedded derivative</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aggregate estimated fair value of Level 3 liability (asset)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securities: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10"/>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Corporate debt securities and commercial paper (due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within 1 year)</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150,037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32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10"/>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Corporate debt securities and commercial paper (due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within 1 year)</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32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65,074</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231,329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tcBorders>
              <w:bottom w:val="single" w:sz="8" w:color="auto"/>
            </w:tcBorders>
            <w:gridSpan w:val="5"/>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bottom w:val="single" w:sz="8" w:color="auto"/>
            </w:tcBorders>
            <w:gridSpan w:val="5"/>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life (years)</w:t>
            </w:r>
          </w:p>
        </w:tc>
        <w:tc>
          <w:tcPr>
            <w:tcW w:w="160" w:type="dxa"/>
            <w:vAlign w:val="bottom"/>
          </w:tcPr>
          <w:p>
            <w:pPr>
              <w:spacing w:after="0"/>
              <w:rPr>
                <w:sz w:val="11"/>
                <w:szCs w:val="11"/>
                <w:color w:val="auto"/>
              </w:rPr>
            </w:pPr>
          </w:p>
        </w:tc>
        <w:tc>
          <w:tcPr>
            <w:tcW w:w="6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1"/>
                <w:szCs w:val="11"/>
                <w:color w:val="auto"/>
              </w:rPr>
            </w:pPr>
          </w:p>
        </w:tc>
        <w:tc>
          <w:tcPr>
            <w:tcW w:w="6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Milestones</w:t>
            </w:r>
          </w:p>
        </w:tc>
        <w:tc>
          <w:tcPr>
            <w:tcW w:w="134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$ 9,000</w:t>
            </w:r>
          </w:p>
        </w:tc>
        <w:tc>
          <w:tcPr>
            <w:tcW w:w="9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   (3,040)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$ 9,000</w:t>
            </w:r>
          </w:p>
        </w:tc>
        <w:tc>
          <w:tcPr>
            <w:tcW w:w="10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   (2,826)</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6,174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the Company’s finite-lived net intangible assets, which totaled $5,960, resulted from the capitalization of certain milestone payments made to Ipsen Pharma, S.A.S., or Ipsen, in accordance with the terms of the Company’s license agreement with Ipsen, in connection with the Company’s first commercial sale of IMCIVREE in the U.S. in March 2021 and in France in March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March 31, 2025, amortization expense for the next five years and beyond is summarized as follows: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09"/>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r>
      <w:tr>
        <w:trPr>
          <w:trHeight w:val="20"/>
        </w:trPr>
        <w:tc>
          <w:tcPr>
            <w:tcW w:w="6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totaled $214 and $214 for the three months ended March 31, 2025 and 2024, respectively. Amortization expense is included in cost of sales in the condensed consolidated statements of operations and comprehensive loss.</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provision of approximately $80 and $300 for the three months ended March 31, 2025 and 2024, respectively. The income tax provision is a result of taxable income from the Company’s foreign jurisdictions. The Company expects to maintain a full valuation allowance against its net deferred tax assets for the year ended December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Series A Convertible Preferred Stock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April 1, 2024, the Company entered into an Investment Agreement (the “Investment Agreement”) with certain affiliates of Perceptive Advisors LLC (“Perceptive”) and certain other investors (each, an “Investor” and collectively, the “Investors”), relating to the issuance and sale of 150,000 shares of a new series of the Company’s Series A Convertible Preferred Stock, par value $0.001 per share, titled the “Series A Convertible Preferred Stock” (the “Convertible Preferred Stock”), for an aggregate purchase price of $147,750, net of $2,250 of issuance costs, or $1,000 per share (the “Issuance”). The Issuance closed on April 15, 2024.</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determined the obligation to issue 150,000 shares of Convertible Preferred Stock to Perceptive and Investors in the future at a set price represented a forward contract which was required to be accounted for at fair value. The fair value of the forward contract was measured as the difference between the fair value of the Convertible Preferred Stock, as determined using a binomial lattice valuation model, and the consideration payable to the Company. The assumptions used in the binomial lattice model include: (1) the Company’s common stock price on the issuance and settlement dates; (2) the Conversion Price as of $48.00 as per the Agreement; (3) a 20-year term to maturity; (4) an estimate of the Company’s credit risk-adjusted discount rate; and (5) volatility. The fair value of the forward contract upon issuance was determined to be $0. Upon closing, the value of the forward contract was determined to be $8,900 and the fair value of the Convertible Preferred Stock was determined to be $141,100.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classifies its Convertible Preferred Stock outside of stockholders’ equity as the redemption of such shares is outside the Company’s control. The Company did not adjust the carrying values of the Convertible Preferred Stock to redemption value as the shares are not probable of becoming redeemable as of March 31, 2025.</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Convertible Preferred Stock has the following rights and privileges: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Convertible Preferred Stock will rank senior to the Company’s common stock with respect to the distribution of assets upon the Company’s liquidation, dissolution or winding up.</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Upon any liquidation, dissolution or winding-up of the Company, whether voluntary or involuntary (“Liquidation”), each holder of Convertible Preferred Stock shall be entitled to receive payment for the greater of (i) 1.75 multiplied by the sum of the Liquidation Preference (i.e., Initial Liquidation Preference of $1,000 per share plus Paid-in-Kind (“PIK”) Dividends) plus unpaid Regular Dividends (to the extent such accumulated and unpaid Regular Dividends are not included in such Liquidation Preference) or (ii) the amount such holder would have received if the Convertible Preferred Stock were fully converted to common stock. If the assets available for distribution are not sufficient to pay the holders of the Convertible Preferred Stock pursuant to the preceding sentence, the assets will be distributed ratably to the holders of the Convertible Preferred Stock.</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Holders of the Convertible Preferred Stock have the right to vote with the holders of common stock on each matter submitted for a vote on an as-converted basis, subject to the terms of the Convertible Preferred Stock as specified in the Amended and Restated Certificate of Designations.</w:t>
      </w:r>
    </w:p>
    <w:p>
      <w:pPr>
        <w:spacing w:after="0" w:line="1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holders of the Convertible Preferred Stock shall also have certain protective voting rights. Specifically, as long as the Convertible Preferred Stock are outstanding, each of the following events require at least a two thirds affirmative vote of the Convertible Preferred Stock holders: (a) any amendment or modification of the Certificate of Incorporation to authorize or create, or to increase the authorized number of shares of, any class or series of Dividend Parity Stock, Liquidation Parity Stock, Dividend Senior Stock or Liquidation Senior Stock, (b) any amendment, modification, repeal or waiver of any provision of the Certificate of Incorporation or the Amended and Restated Certificate of Designations that adversely affects the rights, preferences, privileges or powers of the Convertible Preferred Stock, (c) increase or decrease the number of authorized shares of Convertible Preferred Stock or issue additional shares of Convertible Preferred Stock, (d) the Company’s consolidation or combination with, or merger with or into, another Person, or any binding or statutory share exchange or involving the Convertible Preferred Stock, in each case unless: (i) the Convertible Preferred Stock either (x) remains outstanding after such consolidation, combination, merger, share exchange or reclassification; or (y) is converted or reclassified into, or is exchanged for, or represents solely the right to receive, preference securities of the continuing, resulting or surviving Person of such consolidation, combination, merger, share exchange or reclassification, or the parent thereof; (ii) the Convertible Preferred Stock that remains outstanding or such preference securities, as applicable, have rights, preferences and voting powers that, taken as a whole, are not materially less favorable to the Holders or the holders thereof, as applicable, than the rights, preferences and voting powers, taken as a whole, of the Convertible Preferred Stock immediately before the consummation of such consolidation, combination, merger, share exchange or reclassification; and (iii) the issuer of the Convertible Preferred Stock that remains outstanding or such preference securities, as applicable, is a corporation duly organized and existing under the laws of the United States of America, any State thereof or the District of Columbia that, if not the Company, will succeed to the Company under the Amended and Restated Certificate of Designations and the Convertible Preferred Stock.</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has the right to redeem all Convertible Preferred Stock after the Redemption Trigger Date, which is the fifth anniversary of the Initial Issue Date of April 15, 2024. The amount payable on the redemption date is equal to the Liquidation Preference (i.e., Initial Liquidation Preference of $1,000 per share plus PIK Dividends) plus any unpaid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Regular Dividends (to the extent such accumulated and unpaid Regular Dividends are not included in such Liquidation Preference).</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occurs, each holder shall have the right to require the Company to repurchase all, or any whole number of shares that is less than all, of the holder’s Convertible Preferred Stock at an amount equal to 1.75 multiplied by the sum of the Liquidation Preference (i.e., Initial Liquidation Preference of $1,000 per share plus PIK Dividends) plus any unpaid Regular Dividends (to the extent such accumulated and unpaid Regular Dividends are not included in such Liquidation Preference). As of March 31, 2025, the Company did not adjust the carrying value of the Convertible Preferred Stock to its redemption value, since a change of control was determined to not be probable.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After the second anniversary, dividends on the Convertible Preferred Stock accrue quarterly, at a 6% annual rate, and if not paid out in cash before the quarter end, will become PIK Dividends and added to the liquidation preference, or original issue price plus PIK Dividends. Since dividends do not commence until the second anniversary of the Issuance, the Convertible Preferred Stock is considered increasing rate preferred stock. Accordingly, the Company accretes the dividends, using the effective interest method, from Issuance to the first contractual call date, April 15, 2029. The Company accrued dividends of $1,322 for the three months ended March 31, 2025, as a reduction to Additional Paid-In Capital and an increase to the carrying value of Convertible Preferred Stock. The carrying value of Convertible Preferred Stock as of March 31, 2025 is $144,142.</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Conversions:</w:t>
      </w:r>
    </w:p>
    <w:p>
      <w:pPr>
        <w:spacing w:after="0" w:line="22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Holders of Convertible Preferred Stock have the option to convert any number of whole shares at any time. The conversion is based on the sum of the Liquidation Preference plus unpaid Dividends divided by the $48.00 Conversion Price. Given the Initial Liquidation Preference of $1,000, each share of Convertible Preferred Stock would be convertible into 20.8333 shares of common stock, prior to any adjustments such as PIK Dividends, unpaid Dividends, stock splits, or voluntary conversion rate increases. Upon conversion, cash will be paid in lieu of any fractional share of common stock. However, based on certain restrictions on the conversion of the Convertible Preferred Stock specified in the Amended and Restated Certificate of Designations, a holder of Convertible Preferred Stock is not entitled to effect a conversion of any portion of its shares of Convertible Preferred Stock, or to vote in its capacity as a holder of shares of Convertible Preferred Stock with respect to matters submitted to holders of the common stock if, after giving effect to such conversion, that holder would beneficially own in excess of 4.99%, in the case of one holder, or 9.99%, in the case of the other holder, of the number of shares of common stock outstanding immediately after giving effect to such exercise.</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July 10, 2024, the Company filed with the Securities Exchange Commission (the “SEC”) a prospectus supplement to the prospectus included in the Company’s registration statement on Form S-3ASR filed with the SEC on March 2, 2023, covering the resale from time to time by the Investors of up to an aggregate of 3,124,995 shares of common stock, to satisfy registration rights that the Company granted to such stockholders in connection with the Issuance.</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an aggregate of 14,096,737 shares of common stock were reserved for issuance under the Company’s stock plans, which includes stock options, restricted stock units, and performance stock units that have been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granted covering 10,112,090 shares of common stock, 150,000 shares of Convertible Preferred Stock potentially convertible into 3,125,000 shares of common stock, and 1,256,597 shares of common stock that remain available for future grants under the Company’s 2017 Equity Incentive Plan (the “2017 Plan”), 2017 Employee Stock Purchase Plan and 2022 Employment Inducement Plan (the “Inducement Plan”).</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February 29, 2024, the Company and Cowen entered into Amendment No. 1 to Sales Agreement (the “Amendment”) to increase the aggregate offering price of the shares of common stock that may be issued and sold pursuant to the Sales Agreement to $200,000,000 (excluding the aggregate offering price of shares of common stock issued and sold pursuant to the Sales Agreement prior to February 29, 2024). In connection with the Amendment, on February 29, 2024, the Company filed with the SEC a prospectus supplement, dated February 29, 2024, which, combined with the Base Prospectus (together, the “New Prospectus”), amended the Prior Prospectus in its entirety. The issuances and sales under the Sales Agreement, as amended by the Amendment, will be made pursuant to the Registration Statement and the New Prospectus. Between December 10, 2024 and December 31, 2024, the Company sold 744,595 shares of common stock in the ATM Program for net proceeds of $41.2 million. Between January 1, 2025 and January 21, 2025, the Company sold an additional 587,510 shares of common stock in the ATM Program for net proceeds of approximately $32.1 million.</w:t>
      </w:r>
    </w:p>
    <w:p>
      <w:pPr>
        <w:spacing w:after="0" w:line="19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On January 4, 2024, the Company issued 432,143 shares of common stock as partial consideration for its acquisition of the worldwide rights to LGC’s proprietary compound bivamelagon.</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February 9, 2022, the Company’s board of directors adopted the Inducement Plan, without stockholder approval pursuant to Rule 5635(c)(4) of the Nasdaq Stock Market LLC listing rules or Rule 5635(c)(4). In accordance with Rule 5635(c)(4), awards under the Inducement Plan may only be made to a newly hired employee who has not previously been a member of the Company’s board of directors, or an employee who is being rehired following a bona fide period of non-employment by the Company or a subsidiary, as a material inducement to the employee’s entering into employment with the Company or its subsidiary. An aggregate of 1,000,000 shares of the Company’s common stock have been reserved for issuance under the Inducement Plan. The Company continues to grant awards under the 2017 Plan pursuant to the terms thereof.</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exercise price of stock options granted under the Inducement Plan is not less than the fair market value of a share of the Company’s common stock on the grant date. Other terms of awards, including vesting requirements, are determined by the Company’s board of directors and are subject to the provisions of the Inducement Plan. Stock options granted to employees generally vest over a four-year period but may be granted with different vesting terms. Certain options may provide for accelerated vesting in the event of a change in control. Stock options granted under the Inducement Plan expire no more than 10 years from the date of grant. As of March 31, 2025, 556,100 stock option awards and 422,934 restricted stock unit awards have been granted under the Inducement Plan. As of March 31, 2025, 20,966 shares of common stock are available for future grant under the Inducement Plan.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Related-Party Transactions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Expenses paid directly to related parties for the three months ended March 31, 2025 and 2024, were immaterial.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Outstanding payments due to related parties as of March 31, 2025 and December 31, 2024 were also immaterial.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Significant Agreements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RareStone Group Ltd.</w:t>
      </w:r>
    </w:p>
    <w:p>
      <w:pPr>
        <w:spacing w:after="0" w:line="227" w:lineRule="exact"/>
        <w:rPr>
          <w:sz w:val="20"/>
          <w:szCs w:val="20"/>
          <w:color w:val="auto"/>
        </w:rPr>
      </w:pPr>
    </w:p>
    <w:p>
      <w:pPr>
        <w:jc w:val="both"/>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On March 14, 2025, we entered into a termination agreement (the “Termination Agreement”) with RareStone Group Ltd. (“RareStone”) and RareStone Medicine (Shenzhen) Co., Ltd. (“RareStone Shenzhen”), pursuant to which the Company, RareStone and RareStone Shenzhen have mutually agreed to terminate (i) the Exclusive License Agreement between the Company and RareStone, dated December 3, 2021 (the “License Agreement”); and (ii) the Share Purchase Agreement between the Company and RareStone, dated December 3, 2021 (the “Share Purchase Agreement”, and with the License Agreement the “RareStone Agreements”).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Termination Agreement, the Company agreed to pay $6.3 million as a repayment of a portion of the upfront payment made pursuant to Section 7.1 of the License Agreement. In connection with the Termination Agreement, the Company and RareStone also entered into a Share Repurchase Agreement dated March 14, 2025, pursuant to which the Company has agreed to convey all of the shares acquired under the original Share Purchase Agreement back to RareStone, for no additional consideration. The Company had previously written off the value of the shares in the year ended December 31, 2022. Prior to executing the termination agreement, the Company had recorded $1.3 million of deferred revenue related to this arrangement for unsatisfied performance obligations. As a result of the Termination Agreement, the Company recognized the $6.3 million paid to RareStone as a reduction in previously-recognized license revenue as it represented consideration paid to a customer, and recognized all existing deferred revenue resulting in a net reduction in license revenue of $5.0 million.</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Pursuant to the Termination Agreement, the RareStone Agreements were terminated and all rights and obligations under such agreements ceased. In addition, each party to the Termination Agreement discharged and released the other parties, subsidiaries, divisions, affiliates, predecessors, successors, and each of their past and present officers, directors, employees, attorneys, agents, affiliates, assigns, and representatives of and from any and all claims, demands, actions, or causes of action, known or unknown, contingent or non-contingent, which the parties may or might have against them, by reason of any general, special, or consequential damages, losses, or potential losses, arising out of and/or relating to the RareStone Agreements.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Long-Term Obligations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June 16, 2022, we entered into a RIFA with entities managed by HealthCare Royalty Management, LLC, collectively referred to as the Investors. Pursuant to the RIFA and subject to customary closing conditions, the Investors have agreed to pay the Company an aggregate investment amount of up to $100,000, or the Investment Amount. Under the terms of the RIFA, we received $37,500 on June 29, 2022 upon FDA approval of IMCIVREE in BBS, referred to as the Initial Investment Amount, and we received an additional $37,500 on September 29, 2022 of the Investment Amount upon EMA approval for BBS. On September 12, 2023, we received the remaining $24,370 of the Investment Amount, net of debt issuance costs, following the achievement of a specified amount of cumulative net sales of IMCIVREE between July 1, 2022 and September 30, 2023.</w:t>
      </w:r>
    </w:p>
    <w:p>
      <w:pPr>
        <w:spacing w:after="0" w:line="12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consideration for the Investment Amount and pursuant to the RIFA, we agreed to pay the Investors a tiered royalty on our annual net revenues, or Revenue Interest, including worldwide net product sales and upfront payments and milestones. The applicable tiered percentage will initially be 11.5% on annual net revenues up to $125,000, 7.5% on annual net revenues of between $125,000 and $300,000 and 2.5% on annual net revenues exceeding $300,000. If the Investors have not received cumulative minimum payments equal to 60% of the amount funded by the Investors to date by March 31, 2027, or 120% of the amount funded by the Investors to date by March 31, 2029, we must make a cash payment immediately following each applicable date to the Investors sufficient to gross the Investors up to such minimum amounts after giving full consideration of the cumulative amounts paid by us to the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We made repayments of $4,615 in the three months ended March 31, 2025. As of March 31, 2025 we have made cumulative payments of $25,045.</w:t>
      </w:r>
    </w:p>
    <w:p>
      <w:pPr>
        <w:spacing w:after="0" w:line="10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Investors’ rights to receive the Revenue Interests will terminate on the date on which the Investors have received payments equal to a certain percentage of the funded portion of the Investment Amount including the aggregate of all payments made to the Investors as of such date, each percentage tier referred to as the Hard Cap, unless the RIFA is earlier terminated. The total Revenue Interests payable by us to the Investors is capped between 185% and 250% of the Investment Amount paid, dependent on the aggregate royalty paid between 2028 and 2032. If a change of control of occurs, the Investors may accelerate payments due under the RIFA up to the Hard Cap plus any other obligations payable under the RIFA.</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repayment period commenced on July 8, 2022 for the Initial Investment Amount, and expires on the earlier of</w:t>
      </w:r>
    </w:p>
    <w:p>
      <w:pPr>
        <w:spacing w:after="0" w:line="27" w:lineRule="exact"/>
        <w:rPr>
          <w:sz w:val="20"/>
          <w:szCs w:val="20"/>
          <w:color w:val="auto"/>
        </w:rPr>
      </w:pPr>
    </w:p>
    <w:p>
      <w:pPr>
        <w:jc w:val="both"/>
        <w:ind w:left="60" w:right="59" w:hanging="10"/>
        <w:spacing w:after="0" w:line="255" w:lineRule="auto"/>
        <w:tabs>
          <w:tab w:leader="none" w:pos="2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at which the Investors received cash payments totaling an aggregate of a Hard Cap ranging from 185% to 250% of the Initial Investment Amount or (ii) the legal maturity date of July 8, 2034. If the Investors have not received payments equal to 250% of the Investment Amount by the twelve-year anniversary of the initial closing date, we will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required to pay an amount equal to the Investment Amount plus a specific annual rate of return less payments previously received by Investors. In the event of a change of control, we are obligated to pay Investors an amount equal to the Hard Cap in effect at the time, ranging from 185% to 250% plus any Under Performance Payment of the Investment Amount less payments previously received by Investors. In addition, upon the occurrence of an event of default, including, among others, our failure to pay any amounts due to Investors under the deferred royalty obligation, insolvency, our failure to pay indebtedness when due, the revocation of regulatory approval of IMCIVREE in the U.S. or our breach of any covenant contained in the RIFA and our failure to cure the breach within the prescribed time frame, we are obligated to pay Investors an amount equal to the Hard Cap in effect at the time of default ranging from 185% to 250% plus any Under Performance Payment of the Investment Amount less payments previously received by Investors. In addition, upon an event of default, Investors may exercise all other rights and remedies available under the RIFA, including foreclosing on the collateral that was pledged to Investors, which consists of all of our present and future assets relating to IMCIVREE.</w:t>
      </w:r>
    </w:p>
    <w:p>
      <w:pPr>
        <w:spacing w:after="0" w:line="12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evaluated the terms of the RIFA and concluded that the features are similar to those of a debt instrument. Accordingly, we have accounted for the transaction as long-term debt and presented it as a deferred royalty obligation on our condensed consolidated balance sheets. We have further evaluated the terms of the RIFA and determined that the repayment of the Hard Cap in effect at the time which ranges from 185% to 250% of the Investment Amount, less any payments made to date, upon a change of control is an embedded derivative that requires bifurcation from the debt instrument and fair value recognition. We determined the fair value of the derivative using an option pricing Monte Carlo simulation model taking into account the probability of change of control occurring and potential repayment amounts and timing of such payments that would result under various scenarios, as further described in Note 2, “Summary of Significant Accounting Policies” to our condensed consolidated financial statements. The aggregate fair value of the embedded derivative asset (liability) was $190 and $270 as of March 31, 2025 and December 31, 2024, respectively. We will remeasure the embedded derivative to fair value each reporting period until the time the features lapse and/or termination of the deferred royalty obligation. For the three months ended March 31, 2025 and 2024, we recognized other income of ($80) and $490, respectively, due to the remeasurement of the embedded derivative liability.</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carrying value of the deferred royalty obligation as of March 31, 2025 was $109,524 based on $100,000 of proceeds, net of the fair value of the bifurcated embedded derivative liability upon execution of the RIFA, and debt issuance costs incurred. The carrying value is classified as $1,590 within current liabilities and $107,934 within long-term liabilities on the consolidated balance sheet as of March 31, 2025. The carrying value of the deferred royalty obligation approximated fair value as of March 31, 2025 and December 31, 2024. The effective interest rate as of March 31, 2025 was 15.99%. In connection with the deferred royalty obligation, we incurred debt issuance costs totaling $3,287. Debt issuance costs have been netted against the debt and are being amortized over the estimated term of the debt using the effective interest method, adjusted on a prospective basis for changes in the underlying assumptions and inputs. The assumptions used in determining the expected repayment term of the debt and amortization period of the issuance costs requires that we make estimates that could impact the short and long-term classification of these costs, as well as the period over which these costs will be amortized.</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party to various litigation arising in the ordinary course of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Company is party to various agreements, principally relating to licensed technology, that require future payments relating to milestones whose achievement may become probable in subsequent periods, or royalties on future sales of specified products. Additionally, the Company is party to various contracts with CROs and CMOs that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generally provide for termination on notice, with the exact amounts in the event of termination to be based on the timing of the termination and the terms of the agreement.</w:t>
      </w:r>
    </w:p>
    <w:p>
      <w:pPr>
        <w:spacing w:after="0" w:line="16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Based on the Company’s current development plans as of March 31, 2025, the Company does not expect to make milestone payments due to third parties during the next 12 months from the filing of this Form 10-Q, in connection with our license agreements. These milestones are generally recognized in the period in which the achievement of the underlying milestones becomes probable. When the achievement of these milestones or sales have not occurred, such contingencies are not recorded in the Company’s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Company currently operates in two business segments, which are U.S. and international segments for the development and commercialization of therapies for patients with rare diseases. A single management team that reports to the Chief Executive Officer comprehensively manages the entire business. The Company meets the aggregation criteria of ASC 280 and therefore has one reportable segment for the year ended March 31, 2025.</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table below is a summary of the segment profit or loss, including significant segment expenses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3700" w:type="dxa"/>
            <w:vAlign w:val="bottom"/>
            <w:gridSpan w:val="5"/>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5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Net product revenue - U.S.</w:t>
            </w:r>
          </w:p>
        </w:tc>
        <w:tc>
          <w:tcPr>
            <w:tcW w:w="1100" w:type="dxa"/>
            <w:vAlign w:val="bottom"/>
            <w:shd w:val="clear" w:color="auto" w:fill="CCEEFF"/>
          </w:tcPr>
          <w:p>
            <w:pPr>
              <w:jc w:val="right"/>
              <w:ind w:right="906"/>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24,369</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19,443</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Net product revenue - International</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13,349</w:t>
            </w:r>
          </w:p>
        </w:tc>
        <w:tc>
          <w:tcPr>
            <w:tcW w:w="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6,524</w:t>
            </w:r>
          </w:p>
        </w:tc>
      </w:tr>
      <w:tr>
        <w:trPr>
          <w:trHeight w:val="223"/>
        </w:trPr>
        <w:tc>
          <w:tcPr>
            <w:tcW w:w="5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Total net product revenue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37,718</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25,967</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License revenue</w:t>
            </w:r>
          </w:p>
        </w:tc>
        <w:tc>
          <w:tcPr>
            <w:tcW w:w="1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(5,014)</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52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Total net revenue</w:t>
            </w:r>
          </w:p>
        </w:tc>
        <w:tc>
          <w:tcPr>
            <w:tcW w:w="1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32,704</w:t>
            </w:r>
          </w:p>
        </w:tc>
        <w:tc>
          <w:tcPr>
            <w:tcW w:w="3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25,967</w:t>
            </w:r>
          </w:p>
        </w:tc>
      </w:tr>
      <w:tr>
        <w:trPr>
          <w:trHeight w:val="230"/>
        </w:trPr>
        <w:tc>
          <w:tcPr>
            <w:tcW w:w="5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Cost of sales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3,648</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2,807</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Global headcount expense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34,868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27,104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Preclinical, clinical and development expense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19,960</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21,954</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Commercial &amp; medical affairs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12,927</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Corporate, general &amp; administrative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7,983</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8,677</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segment expenses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92,385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(income) expense, net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644</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(524)</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(income) expense, net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1,709</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Income taxes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300</w:t>
            </w:r>
          </w:p>
        </w:tc>
      </w:tr>
      <w:tr>
        <w:trPr>
          <w:trHeight w:val="223"/>
        </w:trPr>
        <w:tc>
          <w:tcPr>
            <w:tcW w:w="520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Net loss</w:t>
            </w:r>
          </w:p>
        </w:tc>
        <w:tc>
          <w:tcPr>
            <w:tcW w:w="1100" w:type="dxa"/>
            <w:vAlign w:val="bottom"/>
            <w:tcBorders>
              <w:bottom w:val="single" w:sz="8" w:color="auto"/>
            </w:tcBorders>
          </w:tcPr>
          <w:p>
            <w:pPr>
              <w:jc w:val="right"/>
              <w:ind w:right="906"/>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6"/>
              </w:rPr>
              <w:t>(49,498)</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(141,372)</w:t>
            </w:r>
          </w:p>
        </w:tc>
      </w:tr>
      <w:tr>
        <w:trPr>
          <w:trHeight w:val="20"/>
        </w:trPr>
        <w:tc>
          <w:tcPr>
            <w:tcW w:w="5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Other segment expenses is composed of acquired in-process research and development costs associated with the acquisition of LGC’s proprietary compound bivamelagon in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Geographic Data</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allocates, for the purpose of geographic data reporting, its revenue based upon the location of its customers. Total product revenue, net, by geographic area was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80" w:type="dxa"/>
            <w:vAlign w:val="bottom"/>
          </w:tcPr>
          <w:p>
            <w:pPr>
              <w:spacing w:after="0"/>
              <w:rPr>
                <w:sz w:val="18"/>
                <w:szCs w:val="18"/>
                <w:color w:val="auto"/>
              </w:rPr>
            </w:pPr>
          </w:p>
        </w:tc>
      </w:tr>
      <w:tr>
        <w:trPr>
          <w:trHeight w:val="238"/>
        </w:trPr>
        <w:tc>
          <w:tcPr>
            <w:tcW w:w="40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19,443</w:t>
            </w:r>
          </w:p>
        </w:tc>
      </w:tr>
      <w:tr>
        <w:trPr>
          <w:trHeight w:val="216"/>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6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4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w:t>
            </w:r>
          </w:p>
        </w:tc>
      </w:tr>
      <w:tr>
        <w:trPr>
          <w:trHeight w:val="209"/>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6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37,718</w:t>
            </w: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25,967</w:t>
            </w:r>
          </w:p>
        </w:tc>
      </w:tr>
      <w:tr>
        <w:trPr>
          <w:trHeight w:val="20"/>
        </w:trPr>
        <w:tc>
          <w:tcPr>
            <w:tcW w:w="4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 of March 31, 2025 and December 31, 2024, long-lived assets at locations outside the United States were not material.</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No events or transactions occurred subsequent to the balance sheet date that require disclosure.</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together with our unaudited condensed consolidated financial statements and related notes appearing elsewhere in this Quarterly Report on Form 10-Q. In addition to historical information, some of the information contained in this discussion and analysis or set forth elsewhere in this Quarterly Report on Form 10-Q contains forward-looking statements within the meaning of Section 27A of the Securities Act of 1933, as amended, and Section 21E of the Securities Exchange Act of 1934, as amended, and is subject to the “safe harbor” created by those sections. All statements other than statements of historical facts contained in this Quarterly Report on Form 10-Q, including without limitation statements regarding: the promise or potential of any of our products or product candidates; the marketing, commercialization, and sales of IMCIVREE (setmelanotide), the design, success, cost and timing of our product development activities and clinical trials for setmelanotide, RM-718, bivamelagon, and our other product candidates; our ability to obtain regulatory approval for setmelanotide in further indications, </w:t>
      </w:r>
      <w:r>
        <w:rPr>
          <w:rFonts w:ascii="Times New Roman" w:cs="Times New Roman" w:eastAsia="Times New Roman" w:hAnsi="Times New Roman"/>
          <w:sz w:val="18"/>
          <w:szCs w:val="18"/>
          <w:color w:val="auto"/>
        </w:rPr>
        <w:t>as well as for</w:t>
      </w:r>
      <w:r>
        <w:rPr>
          <w:rFonts w:ascii="Times New Roman" w:cs="Times New Roman" w:eastAsia="Times New Roman" w:hAnsi="Times New Roman"/>
          <w:sz w:val="18"/>
          <w:szCs w:val="18"/>
          <w:i w:val="1"/>
          <w:iCs w:val="1"/>
          <w:color w:val="auto"/>
        </w:rPr>
        <w:t xml:space="preserve"> RM-718, bivamelagon, and our other product candidates; our financial performance, including our expectations regarding our existing cash, operating losses, expenses and sources of future financing; the sufficiency of our cash, cash equivalents and short-term investments to fund our operations; our ability to hire and retain necessary personnel; patient enrollments and the timing thereof; the timing of announcements regarding results of clinical trials; our ability to protect our intellectual property; ongoing activities under and our ability to negotiate our collaboration and license agreements, if needed, and the impact of termination; our marketing, commercial sales, revenue generation, and cost of revenue; expectations surrounding our manufacturing arrangements; the impact of the current or future economic conditions on our business and operations and our future financial results; and other statements identified by words such as “anticipates,” “believes,” “could,” “estimates,” “expects,” “intends,” “may,” “might,” “likely,” “plans,” “potential,” “predicts,” “projects,” “seeks,” “should,” “target,” “will,” “would,” or similar expressions and the negatives of those terms are forward-looking statements. These forward-looking statements are neither promises nor guarantees of future performance, and are subject to a variety of known and unknown risks, uncertainties, and other important factors, many of which are beyond our control, and which could cause actual results to differ materially from those contemplated in such forward-looking statements. We discuss factors that we believe could cause or contribute to these differences below and elsewhere in this report, including but not limited to those set forth in Part II, Item 1A under the heading “Risk Factors” of this Quarterly Report on Form 10-Q. Except as may be required by law, we have no plans to update our forward-looking statements to reflect events or circumstances after the date of this Quarterly Report on Form 10-Q. We caution readers not to place undue reliance upon any such forward-looking statements, which speak only as of the date made.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a global, commercial-stage biopharmaceutical company dedicated to transforming the lives of patients living with rare neuroendocrine diseases. We are focused on advancing our melanocortin-4 receptor (MC4R) agonists, including our lead asset, IMCIVREE® (setmelanotide), as precision medicines designed to treat hyperphagia and severe obesity caused by MC4R pathway diseases. While obesity affects hundreds of millions of people worldwide, we are advancing therapies for a subset of individuals who have hyperphagia, a pathological, insatiable hunger and impaired satiety accompanied by persistent and abnormal food-seeking behaviors, decreased energy expenditure and severe obesity due to diseases such as acquired or congenital hypothalamic obesity, Bardet-Biedel syndrome (BBS) or other diseases caused by impaired MC4R pathway signaling. The MC4R pathway is a neuro-endocrine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(EU), United Kingdom, Canada and other countries and regions.</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IMCIVREE is approved by the U.S. Food and Drug Administration (FDA) to reduce excess body weight and maintain weight reduction long term in adult and pediatric patients aged 2 years and older with syndromic or monogenic obesity due to Bardet-Biedl syndrome (BBS) or pro-opiomelanocortin (POMC), proprotein convertase subtilisin/kexin type 1 (PCSK1), or leptin receptor (LEPR) deficiency as determined by an FDA-approved test demonstrating variants in POMC, PCSK1, or LEPR genes that are interpreted as pathogenic, likely pathogenic, or of uncertain significance (VUS). The European Commission (EC) and the United Kingdom’s Medicines &amp; Healthcare Products Regulatory Agency (MHRA) have authorized IMCIVREE for the treatment of obesity and the control of hunger associated with genetically confirmed BBS or loss-of-function biallelic POMC, including PCSK1, deficiency or biallelic LEPR deficiency in adults and children 2 years of age and above. In addition to the United States, we have achieved market access or named patient sales of IMCIVREE for BBS or POMC and LEPR deficiencies, or both, in more than 15 countries outside the United States, and we continue to collaborate with authorities to achieve access in additional markets.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anticipate submitting applications to seek regulatory approval for setmelanotide as a treatment for acquired hypothalamic obesity in multiple geographies in the near term. Acquired hypothalamic obesity is a rare form of obesity that occurs following damage to the hypothalamic region of the brain. This disease most frequently follows the growth or surgical removal of craniopharyngioma, astrocytoma or other rare brain tumors. Additional causes of injury may include traumatic brain injury, stroke, or inflammation due to infection. Patients experience accelerated weight gain, a reduction in energy expenditure, and hyperphagia (a chronic pathological condition characterized by insatiable hunger, impaired satiety, and persistent abnormal food-seeking behaviors) leading to severe obesity within six to 12 months following tumor resection or other injury.</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April 7, 2025, we announced positive topline results from the pivotal Phase 3 TRANSCEND trial evaluating setmelanotide for the treatment of acquired hypothalamic obesity. The global trial, which we believe is the largest and longest placebo-controlled trial to evaluate a therapy for patients with acquired hypothalamic obesity, met its primary endpoint with a statistically significant and highly clinically meaningful reduction in body mass index (BMI) with setmelanotide in both adult and pediatric patients versus placebo. No new safety signals with setmelanotide were observed, in line with setmelanotide’s well-established and well-understood safety profile. Given these compelling new efficacy data with setmelanotide, we are preparing to submit a supplemental New Drug Application to the FDA and a Type II variation request to the European Medicines Agency in the third quarter of 2025. We anticipate reading out data from a 12-patient cohort in Japan in the first quarter of 2026 which we believe, if successful, could support registration of setmelanotide in Japan for this disease. With these planned submissions, we believe setmelanotide has the potential to become the first-ever approved therapy for patients with acquired hypothalamic obesity. We estimate there are 5,000 to 10,000 people living with hypothalamic obesity in the U.S., 5,000 to 8,000 people living with hypothalamic obesity in Japan, and 3,500 to 10,000 people living with hypothalamic obesity in the E.U.</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commercial efforts and inclusive of late-stage development efforts, we are advancing what we believe is the most comprehensive clinical research and development program ever initiated in MC4R pathway diseases, with multiple ongoing and planned clinical trials. Our MC4R pathway program is designed to expand the total number of patients who we believe would benefit from setmelanotide therapy or from one of our new drug candidates, RM-718,</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which is designed to be a more selective MC4R agonist with weekly administration, or bivamelagon, an investigational oral small molecule MC4R agonist in Phase 2 clinical trials. As mentioned above, our Phase 3 trial of setmelanotide in patients with acquired hypothalamic obesity met the primary and key secondary endpoints, and we have initiated an additional, independent substudy in patients with congenital hypothalamic obesity as part of that trial. We are advancing next-generation MC4R agonists in clinical trials. We anticipate reading out topline data from our Phase 2 trial evaluating bivamelagon in patients with acquired hypothalamic obesity in the third quarter of 2025, and we anticipate completing enrollment in Part C of the Phase 1 trial evaluating the weekly RM-718 in patients with acquired hypothalamic obesity. In addition, our Phase 3 EMANATE trial, comprised of four independent substudies evaluating setmelanotide in genetically caused MC4R pathway diseases is ongoing, and we recently completed our Phase 2 DAYBREAK trial evaluating setmelanotide in additional genetic indications.</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leveraging what we believe is the largest known DNA database focused on obesity - with approximately 100,000 sequencing samples as of December 31, 2024 - to improve the understanding, diagnosis and care of people living with severe obesity due to certain variants in genes associated with the MC4R pathway. Our sequencing-based epidemiology estimates show that each of these genetically-defined MC4R pathway deficiencies are considered rare diseases, according to established definitions based on patient populations. Our epidemiology estimates are approximately 4,600 to 7,500 for U.S. patients in initial FDA-approved indications, including obesity due to biallelic POMC, PCSK1 or LEPR deficiencies, and BBS. Our epidemiology estimates for the two more prevalent indications being studied in our Phase 3 EMANATE trial (SH2B1 and POMC/PCSK1) suggest that approximately 29,000 U.S. patients with one of these genetically driven obesities have the potential to respond well to setmelanotide. Similarly, our epidemiology estimates for patients with genetic indications who demonstrated an initial response following stage 1 of our Phase 2 DAYBREAK trial is approximately 65,300. We believe that all these patients face similar challenges as other patients with rare diseases, namely lack of awareness, resources, tests, tools and, especially, therapeutic options.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Additional recent clinical, regulatory, corporate and commercial updates include: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May 7, 2025, we announced:</w:t>
      </w:r>
    </w:p>
    <w:p>
      <w:pPr>
        <w:spacing w:after="0" w:line="225" w:lineRule="exact"/>
        <w:rPr>
          <w:sz w:val="20"/>
          <w:szCs w:val="20"/>
          <w:color w:val="auto"/>
        </w:rPr>
      </w:pPr>
    </w:p>
    <w:p>
      <w:pPr>
        <w:jc w:val="both"/>
        <w:ind w:left="1380" w:right="79" w:hanging="331"/>
        <w:spacing w:after="0" w:line="253"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global sales of IMCIVREE was $37.7 million for the first quarter of 2025. The number of patients on reimbursed therapy increased 14% in the first quarter of 2025 compared to the fourth quarter of 2024, as patient demand for IMCIVREE remained strong. Revenue of $24.5 million, or 65% of product revenue, was generated in the United States. The number of patients on reimbursed therapy in the United States continued to increase during the quarter. U.S. revenue was affected by an $8.3 million decrease in inventory at the specialty pharmacy that dispenses IMCIVREE to patients and a $1.1 million increase in product dispensed to patients, resulting in a net decrease in product revenue of $7.2 million in the first quarter of 2025 compared to the fourth quarter of 2024. Revenue of $13.2 million, or 35% of product revenue, was generated outside the United States, an increase of $3.2 million quarter over quarter.</w:t>
      </w:r>
    </w:p>
    <w:p>
      <w:pPr>
        <w:spacing w:after="0" w:line="194"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On April 7, 2025, we announced the pivotal Phase 3 TRANSCEND trial met its primary endpoint with a -19.8% placebo-adjusted body mass index (BMI) reduction with setmelanotide in patients (N=120) with acquired HO. Highlights included:</w:t>
      </w:r>
    </w:p>
    <w:p>
      <w:pPr>
        <w:spacing w:after="0" w:line="176" w:lineRule="exact"/>
        <w:rPr>
          <w:sz w:val="20"/>
          <w:szCs w:val="20"/>
          <w:color w:val="auto"/>
        </w:rPr>
      </w:pPr>
    </w:p>
    <w:p>
      <w:pPr>
        <w:ind w:left="1380" w:right="79" w:hanging="331"/>
        <w:spacing w:after="0" w:line="28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acquired HO on setmelanotide therapy (n=81) achieved mean BMI change of -16.5% compared with +3.3% for placebo (n=39) at 52 weeks (p&lt;0.0001);</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 placebo-adjusted BMI reduction achieved in adult patients 18 years old and older (n=49) at 52 weeks;</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 placebo-adjusted BMI reduction achieved in patients younger than 18 years old (n=71) at 52 weeks;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on setmelanotide achieved BMI reduction of 5% or greater at 52 weeks;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8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safety signals with setmelanotide were observed, in line with setmelanotide’s well-established and well-understood safety profile.</w:t>
      </w:r>
    </w:p>
    <w:p>
      <w:pPr>
        <w:spacing w:after="0" w:line="162" w:lineRule="exact"/>
        <w:rPr>
          <w:sz w:val="20"/>
          <w:szCs w:val="20"/>
          <w:color w:val="auto"/>
        </w:rPr>
      </w:pPr>
    </w:p>
    <w:p>
      <w:pPr>
        <w:ind w:left="60" w:right="839" w:firstLine="648"/>
        <w:spacing w:after="0" w:line="282" w:lineRule="auto"/>
        <w:rPr>
          <w:sz w:val="20"/>
          <w:szCs w:val="20"/>
          <w:color w:val="auto"/>
        </w:rPr>
      </w:pPr>
      <w:r>
        <w:rPr>
          <w:rFonts w:ascii="Times New Roman" w:cs="Times New Roman" w:eastAsia="Times New Roman" w:hAnsi="Times New Roman"/>
          <w:sz w:val="18"/>
          <w:szCs w:val="18"/>
          <w:color w:val="auto"/>
        </w:rPr>
        <w:t>Today, we announced new data from the Phase 3 TRANSCEND trial that demonstrated a consistent and statistically significant mean BMI reduction across three stratified age groups:</w:t>
      </w:r>
    </w:p>
    <w:p>
      <w:pPr>
        <w:spacing w:after="0" w:line="162" w:lineRule="exact"/>
        <w:rPr>
          <w:sz w:val="20"/>
          <w:szCs w:val="20"/>
          <w:color w:val="auto"/>
        </w:rPr>
      </w:pPr>
    </w:p>
    <w:p>
      <w:pPr>
        <w:ind w:left="1380" w:right="79" w:hanging="331"/>
        <w:spacing w:after="0" w:line="282" w:lineRule="auto"/>
        <w:tabs>
          <w:tab w:leader="none" w:pos="1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 placebo-adjusted BMI reduction achieved in pediatric patients ages 4 to younger than 12 years old (n=31: 20 setmelanotide, 11 placebo) at 52 weeks (p&lt;0.0001);</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placebo-adjusted BMI reduction achieved in adolescent patients ages 12 to younger than 18 years old (n=40: 28 setmelanotide, 12 placebo) at 52 weeks (p&lt;0.0001); and</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 placebo-adjusted BMI reduction achieved in adult patients ages 18 and older (n=49: 33 setmelanotide, 16 placebo) at 52 weeks (p&lt;0.0001).</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Additionally, on April 7, 2025, we announced that we dosed the first patients with Prader-Willi syndrome in a 26-week, open-label Phase 2 trial of setmelanotide. The trial will assess the safety and efficacy of a daily dose of subcutaneous setmelanotide in approximately 20 patients for up to 26 weeks.</w:t>
      </w:r>
    </w:p>
    <w:p>
      <w:pPr>
        <w:spacing w:after="0" w:line="176"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On March 20, 2025, we announced that we reacquired the rights to IMCIVREE® (setmelanotide) in China, including mainland China, Hong Kong and Macau, as we terminated our 2021 licensing agreement with RareStone Group Ltd.</w:t>
      </w:r>
    </w:p>
    <w:p>
      <w:pPr>
        <w:spacing w:after="0" w:line="176"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On March 19, 2025, we announced that we received orphan drug designation from Japan’s Ministry of Health, Labour and Welfare (MHLW) for setmelanotide as a treatment for acquired hypothalamic obesity.</w:t>
      </w:r>
    </w:p>
    <w:p>
      <w:pPr>
        <w:spacing w:after="0" w:line="162"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On March 18, 2025, we announced a new research collaboration with the Raymond A. Wood Foundation, a patient advocacy organization for survivors of craniopharyngioma and hypothalamic-pituitary brain tumors, to study the impact of fatigue on persons with craniopharyngioma.</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currently expect to achieve the following, near-term milestones:</w:t>
      </w:r>
    </w:p>
    <w:p>
      <w:pPr>
        <w:spacing w:after="0" w:line="225" w:lineRule="exact"/>
        <w:rPr>
          <w:sz w:val="20"/>
          <w:szCs w:val="20"/>
          <w:color w:val="auto"/>
        </w:rPr>
      </w:pPr>
    </w:p>
    <w:p>
      <w:pPr>
        <w:jc w:val="both"/>
        <w:ind w:left="1380" w:right="79" w:hanging="331"/>
        <w:spacing w:after="0" w:line="266"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supplemental New Drug Application to the FDA and a Type II variation request to the European Medicines Agency for setmelanotide for the treatment of acquired HO in the third quarter of 2025;</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topline data from the bivamelagon Phase 2 trial in acquired HO in the third quarter of 2025;</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enrollment in the setmelanotide Phase 2 trial in Prader-Willi syndrome (PWS) in the third quarter of 2025;</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enrollment in the Phase 1, Part C trial evaluating the weekly, MC4R agonist RM-718 in patients with acquired hypothalamic obesity and provide an update from the trial on efficacy, safety and tolerability results in the second half of 2025;</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enrollment in the setmelanotide Phase 3 trial substudy in congenital hypothalamic obesity in the second half of 2025;</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topline data in the 12-patient Japanese cohort of the setmelanotide Phase 3 trial in acquired HO in the first quarter of 2026; and</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topline data in the Phase 3 EMANATE trial evaluating setmelanotide in genetically caused MC4R pathway diseases in the first quarter of 2026.</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IMCIVREE first became commercially available to patients 6 years of age and older with obesity due to POMC, PCSK1 or LEPR deficiency in the U.S. in the first quarter of 2021 and patients 6 years of age and older with obesity due to BBS during June 2022. Following marketing authorizations in the EU, Great Britain and Canada, as well as expanded labels in the U.S., the EU and Great Britain and 2024 to make IMCIVREE available to patients as young as 2 years of age, we are continuing to pursue a country-by-country strategy to establish market access and reimbursement for IMCIVREE in additional countries. We expect to continue to fund our operations through the sale of equity, debt financings or other sources. We have built our own marketing and commercial sales infrastructure in the United States and are in the process of building a similar infrastructure in several European markets and the United Kingdom. We may enter into arrangements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p>
    <w:p>
      <w:pPr>
        <w:spacing w:after="0" w:line="190"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To date, we have not generated sufficient cash flow from product sales and have financed our operations primarily through the proceeds received from our sales of common and preferred stock, royalty interest financing, asset sales, as well as capital contributions from the former parent company, Rhythm Holdings LLC. From August 2015 through August 2017, we raised aggregate net proceeds of $80.8 million through our issuance of Convertible Preferred Stock. Since our initial public offering, or IPO, on October 10, 2017, through our underwritten follow-on offerings and through our ATM program through March 31, 2025, we have raised aggregate net proceeds of approximately $864.8 million through the issuance of our common stock after deducting underwriting discounts, commissions and offering related transaction costs. We also received $100.0 million from the sale of our Rare Pediatric Disease Priority Review Voucher (“PRV”), to Alexion Pharmaceuticals, Inc. in February 2021. In June 2022, we entered into the Revenue Interest Financing Agreement (“RIFA”), with entities managed by HealthCare Royalty Partners, collectively referred to as the Investors, and through March 31, 2025 have received cumulative proceeds of $96.7 million, net of certain transaction costs. On April 1, 2024, we entered into an Investment Agreement with certain affiliates of Perceptive Advisors LLC, or Perceptive, and certain other investors, relating to the issuance and sale of 150,000 shares of a new series of the Company’s Series A Convertible Preferred Stock, par value $0.001 per share, titled the “Series A Convertible Preferred Stock”, or the Convertible Preferred Stock, for an aggregate purchase price of $150.0 million, or $1,000 per share (as disclosed in Note 9, “Series A Preferred Stock”). We received $147.8 million in net proceeds under the Investment Agreement.</w:t>
      </w:r>
    </w:p>
    <w:p>
      <w:pPr>
        <w:spacing w:after="0" w:line="39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expect to continue to fund our operations through the sale of equity, debt financings or other sources. We have built our own marketing and commercial sales infrastructure in the United States and are in the process of building a similar infrastructure in several European markets and the United Kingdom. We may enter into collaborations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we had an accumulated deficit of $1.2 billion. Our net loss was $49.5 million and $141.4 million for the three months ended March 31, 2025 and March 31, 2024, respectively. We expect to continue to incur significant expenses and operating losses for the foreseeable future. Our expenses may increase in connection with our ongoing activities, as we:</w:t>
      </w:r>
    </w:p>
    <w:p>
      <w:pPr>
        <w:spacing w:after="0" w:line="153"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clinical trials for setmelanotide and our other product candidates;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contract manufacturing organizations, or CMOs, for the manufacture of clinical and commercial-grade setmelanotide;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setmelanotide for future indications, and for our other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clinical and financial operations and build a marketing and commercialization infrastructure;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the sales and marketing efforts necessary to support the continued commercial efforts of IMCIVREE globally;</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into account the levels, timing and collection of revenue earned from sales of IMCIVREE and other products approved in the future, if any;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our existing cash and cash equivalents and short-term investments were approximately $314.5 million. We expect that our existing cash and cash equivalents and short-term investments will be sufficient to fund our operations into 2027.</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To date, we have generated approximately $265.3 million in product revenue. Our lead product candidate, IMCIVREE, was approved by the FDA in November 2020 for chronic weight management in adult and pediatric patients six years of age and older with obesity due to POMC, PCSK1 or LEPR deficiency confirmed by genetic testing. IMCIVREE became commercially available in the United States in the first quarter of 2021. We recorded our first sales of IMCIVREE in the United States in March 2021 and we made our first sales in France during March 2022 under the paid early access program. IMCIVREE was approved by the FDA and the EC in adult and pediatric patients six years of age and older with obesity due to BBS in June and September 2022, respectively. In 2024, IMCIVREE was approved by the FDA to reduce excess body weight and maintain weight reduction long term in adult and pediatric patients aged 2 years and older with syndromic or monogenic obesity due to BBS or POMC, PCSK1, or LEPR deficiency as determined by an FDA-approved test demonstrating variants in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are interpreted as pathogenic, likely pathogenic, or of uncertain significance (VUS). Also in 2024, the EC and MHRA authorized IMCIVREE for the treatment of obesity and the control of hunger associated with genetically confirmed BBS or loss-of-function biallelic POMC, including PCSK1, deficiency or biallelic LEPR deficiency in adults and children 2 years of age and above. Following these approvals, we expect our sales of IMCIVREE will continue to grow as we identify and treat more patients with this disease and obtain reimbursement throughout the international markets in which we operate.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we recognized a reduction of previously-recognized license revenue of $5.0 million in connection with the termination of our exclusive license agreement with RareStone. See Note 12, “Significant Agreements” to the unaudited condensed consolidated financial statements included under Part I, Item 1 of this Quarterly Report on Form 10-Q.</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All of our inventory of IMCIVREE produced prior to FDA approval is available for commercial or clinical use. Most of the manufacturing costs have been recorded as research and development expenses in prior periods. We expect cost of sales to increase in 2025 as we continue to sell inventory that is produced after we began capitalizing manufacturing costs for IMCIVREE commercial inventory.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and genetic sequencing efforts, and the clinical development of setmelanotide, which include:</w:t>
      </w:r>
    </w:p>
    <w:p>
      <w:pPr>
        <w:spacing w:after="0" w:line="162" w:lineRule="exact"/>
        <w:rPr>
          <w:sz w:val="20"/>
          <w:szCs w:val="20"/>
          <w:color w:val="auto"/>
        </w:rPr>
      </w:pPr>
    </w:p>
    <w:p>
      <w:pPr>
        <w:jc w:val="both"/>
        <w:ind w:left="1040" w:right="79" w:hanging="315"/>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CROs that conduct research and development and preclinical activities on our behalf, and the cost of consultants and CMOs that manufacture drug products for use in our preclinical studies and clinical trials;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and clinical study materials;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genetic sequencing of potential patients in clinical studies;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rent and maintenance of facilities, insurance and other operating costs; and</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 process research and development costs associated with the acquisition of LG Chem, Ltd.’s, or LGC’s proprietary compound bivamelagon in the three months ended March 31, 2024.</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to operations as incurred. Nonrefundable advance payments for goods or services to be received in the future for use in research and development activities are recorded as prepaid expenses. The capitalized amounts are expensed as the related goods are delivered or the services are performed.</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current research and development expenses:</w:t>
      </w:r>
    </w:p>
    <w:p>
      <w:pPr>
        <w:spacing w:after="0" w:line="381"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2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58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Research and development summary</w:t>
            </w:r>
          </w:p>
        </w:tc>
        <w:tc>
          <w:tcPr>
            <w:tcW w:w="3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36,973</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128,665</w:t>
            </w:r>
          </w:p>
        </w:tc>
      </w:tr>
      <w:tr>
        <w:trPr>
          <w:trHeight w:val="20"/>
        </w:trPr>
        <w:tc>
          <w:tcPr>
            <w:tcW w:w="5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unable to predict the duration and costs of the current or future clinical trials of our product candidates. The duration, costs, and timing of clinical trials and development of setmelanotide, RM-718, bivamelagon, and a potential therapeutic product candidate for congenital hyperinsulinism (CHI) will depend on a variety of factors, including:</w:t>
      </w:r>
    </w:p>
    <w:p>
      <w:pPr>
        <w:spacing w:after="0" w:line="176" w:lineRule="exact"/>
        <w:rPr>
          <w:sz w:val="20"/>
          <w:szCs w:val="20"/>
          <w:color w:val="auto"/>
        </w:rPr>
      </w:pPr>
    </w:p>
    <w:p>
      <w:pPr>
        <w:ind w:left="1040" w:right="7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our ongoing, as well as any additional, clinical trials and other research and development activities;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enrollment in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demonstrated by setmelanotide and other product candidates in future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clinical trial design;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225"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would significantly change the costs and timing associated with its development and potential commercialization.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setmelanotide and other development programs progress. However, we do not believe that it is possible at this time to accurately project total program-specific expenses to commercialization and there can be no guarantee that we can meet the funding needs associated with these expenses.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Selling expenses consist of professional fees related to preparation for the commercialization of setmelanotide, as well as salaries and related benefits for commercial employees, including stock-based compensation. As we further implement and execute our commercialization plans to market setmelanotide in new territories and as we explore new collaborations to develop and commercialize setmelanotide, we anticipate that these expenses will materially increase.</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relating to our full-time employees not involved in R&amp;D or commercial activities. Other significant costs include rent, legal fees relating to patent and corporate matters and fees for accounting and consulting services.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current selling, general and administrative expenses:</w:t>
      </w:r>
    </w:p>
    <w:p>
      <w:pPr>
        <w:spacing w:after="0" w:line="31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7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70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Selling, general and administrative summary</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0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$ 39,087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$ 34,382</w:t>
            </w:r>
          </w:p>
        </w:tc>
      </w:tr>
      <w:tr>
        <w:trPr>
          <w:trHeight w:val="20"/>
        </w:trPr>
        <w:tc>
          <w:tcPr>
            <w:tcW w:w="7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in the future to support our continued and expanding commercialization efforts for IMCIVREE in the United States and the European Union as well as increased costs of operating as a global commercial stage biopharmaceutical public company. These increases will likely include increased costs related to the hiring of additional personnel and fees to outside consultants, lawyers and accountants, compliance with local rules and regulations in the United States and foreign jurisdictions, exchange listing and Securities and Exchange Commission, or SEC, expenses, insurance and investor relations costs, among other expenses.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we have prepared in accordance with accounting principles generally accepted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These items are monitored and analyzed by us for changes in facts and circumstances on an ongoing basis,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to our critical accounting policies as reported in our Annual Report on Form 10-K for the fiscal year ended December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2024, together with the changes in those items in dollars and as a percentage:</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w w:val="82"/>
              </w:rPr>
              <w:t>(in thousands)</w:t>
            </w:r>
          </w:p>
        </w:tc>
        <w:tc>
          <w:tcPr>
            <w:tcW w:w="76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 net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432"/>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 revenue</w:t>
            </w: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(86,146)</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vMerge w:val="continue"/>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Product revenue, net increased by $11.8 million to $37.7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from $26.0 million for the three months ended March 31, 2024, an increase of 45%. We expect our sales of IMCIVREE to continue to increase. We have achieved market access for IMCIVREE for BBS or POMC and LEPR deficiencies, or both, in more than 15 countries outside the United States, and we continue to collaborate with authorities to achieve access in additional markets. For the three months ended March 31, 2025 and 2024, a substantial amount of our product revenue, or 65% and 74%, respectively, was generated from sales of our product to patients in the United States.</w:t>
      </w:r>
    </w:p>
    <w:p>
      <w:pPr>
        <w:spacing w:after="0" w:line="18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License revenue</w:t>
      </w:r>
      <w:r>
        <w:rPr>
          <w:rFonts w:ascii="Times New Roman" w:cs="Times New Roman" w:eastAsia="Times New Roman" w:hAnsi="Times New Roman"/>
          <w:sz w:val="18"/>
          <w:szCs w:val="18"/>
          <w:color w:val="auto"/>
        </w:rPr>
        <w:t>. For the three months ended March 31, 2025, we recognized a reduction of previously-recognized license revenue of $5.0 million in connection with the termination of our exclusive license agreement with RareStone. See Note 12, “Significant Agreements” to the unaudited condensed consolidated financial statements included under Part I, Item 1 of this Quarterly Report on Form 10-Q.</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$0.8 million to $3.6 million for the three months ended 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$2.8 million for the three months ended March 31, 2024, an increase of 30%, which was driven by a corresponding increase in revenue in the three months ended March 31, 2025. Cost of sales is composed of royalty expense due to Ipsen Pharma S.A.S., or Ipsen, on our net product revenue; amortization of our capitalized sales-based milestone payment made to Ipsen, upon our first commercial sale in the United States and European Union, the cost of product, as well as costs associated with our patient assistance programs. Specifically, the $0.8 million increase in cost of sales in the three months ended March 31, 2025 from the same period in 2024 was due to $0.6 million of additional royalties due to our growth in sales and $0.2 million attributed to increased product cost associated with higher sales volume. We expect cost of sales as a percentage of revenue to continue to be in a range of 10% to 12% in the foreseeable future.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decreased by $91.7 million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$37.0 million for the three months ended March 31, 2025 from $128.7 million for the three months ended March 31, 2024, a decrease of 71%. The net decrease was primarily due to the following:</w:t>
      </w:r>
    </w:p>
    <w:p>
      <w:pPr>
        <w:spacing w:after="0" w:line="175" w:lineRule="exact"/>
        <w:rPr>
          <w:sz w:val="20"/>
          <w:szCs w:val="20"/>
          <w:color w:val="auto"/>
        </w:rPr>
      </w:pPr>
    </w:p>
    <w:p>
      <w:pPr>
        <w:jc w:val="both"/>
        <w:ind w:left="1040" w:right="79" w:hanging="315"/>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$92.5 million related to acquired In-Process Research and Development (“IPR&amp;D”) costs associated with the acquisition of LGC’s proprietary compound bivamelagon in the three months ended March 31, 2024, which did not recur in 2025; and</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of $4.7 million in our clinical trial costs due to the completion and wind down of our long-term extension trial, Phase 2 Basket trial, Phase 3 pediatrics trial, and switch trial, as well as decreased genetic sequencing costs.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above decreases were partially offset by:</w:t>
      </w:r>
    </w:p>
    <w:p>
      <w:pPr>
        <w:spacing w:after="0" w:line="225" w:lineRule="exact"/>
        <w:rPr>
          <w:sz w:val="20"/>
          <w:szCs w:val="20"/>
          <w:color w:val="auto"/>
        </w:rPr>
      </w:pPr>
    </w:p>
    <w:p>
      <w:pPr>
        <w:jc w:val="both"/>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$2.9 million in salaries, benefits and stock-based compensation related to the hiring of additional full-time employees in order to support the growth of our research and development programs; and</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$2.1 million associated with chemistry, manufacturing, and controls (CMC) costs for drug formulation to support our ongoing Phase 1 clinical trial of RM-718 and the Phase 2 bivamelagon trial acquired from LGC.</w:t>
      </w:r>
    </w:p>
    <w:p>
      <w:pPr>
        <w:spacing w:after="0" w:line="174"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$4.7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$39.1 million for the three months ended March 31, 2025 from $34.4 million for the three months ended March 31, 2024, an increase of 14%. The increase was primarily due to the following:</w:t>
      </w:r>
    </w:p>
    <w:p>
      <w:pPr>
        <w:spacing w:after="0" w:line="175" w:lineRule="exact"/>
        <w:rPr>
          <w:sz w:val="20"/>
          <w:szCs w:val="20"/>
          <w:color w:val="auto"/>
        </w:rPr>
      </w:pPr>
    </w:p>
    <w:p>
      <w:pPr>
        <w:jc w:val="both"/>
        <w:ind w:left="1040" w:right="7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$5.9 million due to increased compensation and benefits related costs, including stock-based compensation, associated with additional headcount to support our expanding business operations as well as to establish commercial operations in international regions; and</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 million related to increased marketing and promotion costs to support continued revenue growth.</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above increases were partially offset by:</w:t>
      </w:r>
    </w:p>
    <w:p>
      <w:pPr>
        <w:spacing w:after="0" w:line="225" w:lineRule="exact"/>
        <w:rPr>
          <w:sz w:val="20"/>
          <w:szCs w:val="20"/>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$2.0 million related to professional services costs, including legal, consulting and tax services;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$0.8 million related to CMC costs.</w:t>
      </w:r>
    </w:p>
    <w:p>
      <w:pPr>
        <w:spacing w:after="0" w:line="223"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(expense), net increased by $1.2 million to $2.4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 from $1.2 million for the three months ended March 31, 2024. The increase was primarily due to the following:</w:t>
      </w:r>
    </w:p>
    <w:p>
      <w:pPr>
        <w:spacing w:after="0" w:line="175" w:lineRule="exact"/>
        <w:rPr>
          <w:sz w:val="20"/>
          <w:szCs w:val="20"/>
          <w:color w:val="auto"/>
        </w:rPr>
      </w:pPr>
    </w:p>
    <w:p>
      <w:pPr>
        <w:ind w:left="1380" w:right="79" w:hanging="331"/>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$1.1 million of non-cash interest expense in the three months ended March 31, 2025 associated with accretion of the non-current liability payable to LGC in July 2025; and</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of $0.6 million recognized for the net change in fair value of the embedded derivatives in our debt royalty obligation, as well as realized foreign currency losses.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above amount was partially offset by: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hanging="331"/>
        <w:spacing w:after="0" w:line="266"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interest income of $0.6 million earned on our short-term investments, based on higher investment balances from the proceeds of $150.0 million from the convertible preferred stock issuance and proceeds of $75.0 million received from our ATM equity financing.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our cash and cash equivalents and short-term investments were approximately $314.5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2025 and 2024:</w:t>
      </w: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5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jc w:val="center"/>
              <w:ind w:left="437"/>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1"/>
                <w:szCs w:val="1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(40,351)</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(40,743)</w:t>
            </w: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30,050</w:t>
            </w: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w:t>
            </w:r>
          </w:p>
        </w:tc>
      </w:tr>
      <w:tr>
        <w:trPr>
          <w:trHeight w:val="20"/>
        </w:trPr>
        <w:tc>
          <w:tcPr>
            <w:tcW w:w="5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use of cash in all periods resulted primarily from our net loss adjusted for non-cash charges and changes in components of operating assets and liabilities.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$40.4 million for the three months ended March 31, 2025 and consisted primarily of a net loss of $49.5 million adjusted for non-cash items of $17.1 million, which consisted of stock-based compensation, non-cash interest expense, non-cash accretion and amortization of short-term investments, depreciation and amortization, rent expense and the change in the fair value of our embedded derivative asset. The change in operating assets and liabilities used net cash of approximately $7.9 million and was primarily driven by net decreases in accounts payable and accrued expenses of $3.6 million, the change in deferred revenue of $1.3 million, and net increases in prepaids and other current assets of $3.2 million. These net uses of cash were offset by net increases in other long-term assets of $0.1 million and net increases in accounts receivable and inventory of $0.1 million.</w:t>
      </w:r>
    </w:p>
    <w:p>
      <w:pPr>
        <w:spacing w:after="0" w:line="19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$40.7 million for the three months ended March 31, 2024 and consisted primarily of a net loss of $141.4 million adjusted for non-cash items of $102.8 million, which consisted of stock-based compensation, depreciation and amortization, and the change in the fair value of our embedded derivative liability, totaling $10.4 million. Our net loss adjusted for non-cash items also includes $92.4 million of acquired IPR&amp;D assets, which are classified as investing activities. The change in operating assets and liabilities used net cash of approximately $2.2 million, primarily driven by net increases in prepaid expenses and other assets of $2.4 million and net decreases in accounts payable and accrued expenses of $1.3 million, offset by a net increase in long-term assets of $1.2 million and decreases in accounts receivable and inventory of $0.3 million.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$24.8 million for the three months ended March 31, 2025 and relates to gross maturities of short-term investments of $58.3 million, offset by purchases of short-term investments for $33.5 million.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$30.1 million for the three months ended March 31, 2024 and relates to gross maturities of short-term investments of $70.1 million, offset by cash used for the purchase of LGC’s proprietary compound bivamelagon for $40.0 million in January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$32.5 million for the three months ended March 31, 2025, and consisted of net proceeds of $34.0 million from our ATM equity offering, as well as proceeds of $3.1 million from the exercise of stock options and the issuance of common stock from our Employee Stock Purchase Plan. These proceeds were offset by $4.6 million of repayments of our deferred royalty obligation.</w:t>
      </w:r>
    </w:p>
    <w:p>
      <w:pPr>
        <w:spacing w:after="0" w:line="180" w:lineRule="exact"/>
        <w:rPr>
          <w:sz w:val="20"/>
          <w:szCs w:val="20"/>
          <w:color w:val="auto"/>
        </w:rPr>
      </w:pPr>
    </w:p>
    <w:p>
      <w:pPr>
        <w:ind w:left="60" w:right="599"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$4.2 million for the three months ended March 31, 2024, and consisted of proceeds of $7.0 million from the exercise of stock options and the issuance of common stock from our Employee Stock Purchase Plan. These proceeds were offset by $2.8 million of repayments on our deferred royalty obligation.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clinical development of and seek marketing approval for setmelanotide for future indications, continue the clinical development of our other product candidates and build out our global organization. In addition, we expect to incur significant commercialization expenses related to product sales, marketing, manufacturing and distribution to the extent that such sales, marketing and distribution are not the responsibility of potential collaborators. We also expect to incur additional costs associated with operating as a public company.</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expect that our existing cash and cash equivalents and short-term investments as of March 31, 2025, will be sufficient to fund our operations into 2027. Our cash and cash equivalents are maintained at financial institutions in amounts that exceed federally-insured limits. In the event of failure of any of the financial institutions where we maintain our cash and cash equivalents, there can be no assurance that we will be able to access uninsured funds in a timely manner or at all.</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may need to obtain substantial additional funding in connection with our research and development activities and any continuing operations thereafter. If we are unable to raise capital when needed or on favorable terms, we would be forced to delay, reduce or eliminate our research and development programs or future commercialization efforts.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continue to commercialize setmelanotide, by growing our internal sales force or entering into collaborations with third parties and providing support services for patients;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clinical trials for our setmelanotide program as well as for RM-718 and bivamelagon, and in connection with a therapeutic product candidate for CHI;</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setmelanotide program as well as for RM-718 and bivamelagon, and in connection with a therapeutic product candidate for CHI;</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owed to Ipsen, Camurus AB, and LGC pursuant to our license agreements;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Although IMCIVREE has been approved by the FDA in certain indications, and became commercially available in the first quarter of 2021, IMCIVREE may not achieve commercial success. In addition, developing our setmelanotide program is a time-consuming, expensive and uncertain process that may take years to complete, and we may never generate the necessary data or results required to obtain future marketing approvals and achieve product sales. Accordingly, we will need to continue to rely on additional financing to achieve our business objectives. Adequate additional financing may not be available to us on acceptable terms, or at all.</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Further,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All of these factors could impact our liquidity and future funding requirements, including but not limited to our ability to raise additional capital when needed on acceptable terms, if at all. The duration of this economic slowdown is uncertain and the impact on our business is difficult to predict. See “Risk Factors— Unfavorable global political or economic conditions could adversely affect our business, financial condition or results of operations.”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involves agreements that include covenants limiting or restricting our ability to take specific actions, such as incurring additional debt, making capital expenditures or declaring dividends.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setmelanotide program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setmelanotide program that we would otherwise prefer to develop and market ourselves.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November 2, 2021, we entered into a Sales Agreement with Cowen and Company, LLC (“Cowen”), pursuant to which we may issue and sell shares of our common stock, having an aggregate offering price of up to $100.0 million, from time to time through an “at the market” equity offering program under which Cowen acts as sales agent (the “ATM Program”). Between August 10, 2023 and August 21, 2023, we sold approximately two million shares of our common stock in the ATM Program for net proceeds of approximately $48.9 million.</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February 29, 2024, the Company and Cowen entered into Amendment No. 1 to Sales Agreement (the “Amendment”) to increase the aggregate offering price of the shares of common stock that may be issued and sold pursuant to the Sales Agreement to $200,000,000 (excluding the aggregate offering price of shares of common stock issued and sold pursuant to the Sales Agreement prior to February 29, 2024). In connection with the Amendment, on February 29, 2024, we filed with the SEC a prospectus supplement, dated February 29, 2024, which, combined with the Base Prospectus (together, the “New Prospectus”), amended the Prior Prospectus in its entirety. The issuances and sales under the Sales Agreement, as amended by the Amendment, will be made pursuant to the Registration Statement and the New Prospectus.</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From December 10, 2024 to December 31, 2024, the Company sold 744,595 shares of common stock in the ATM Program for net proceeds of $41.2 million as of December 31, 2024. The Company sold an additional 587,510 shares of common stock in the ATM Program from January 1, 2025 through January 21, 2025 for net proceeds of approximately $32.1 million in the quarter ending March 31, 2025.</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there were no other material changes to our principal contractual obligations and commitments as reported in our Annual Report on Form 10-K for the fiscal year ended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there were no material changes to our quantitative and qualitative disclosures about market risks as reported in Part II, Item 7A “Quantitative and Qualitative Disclosures About Market Risks” in our Annual Report on Form 10-K for the fiscal year ended December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Quarterly Report on Form 10-Q. Based on such evaluation, our principal executive officer and principal financial officer have concluded that, as of March 31, 2025, our disclosure controls and procedures were effective at the reasonable assurance level.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which could adversely affect our business, financial condition, results of operations, cash flows, and the trading price of our common stock. Additional risks and uncertainties that we currently do not know about or that we currently believe to be immaterial may also impair our business. You should carefully consider the risks described below and the other information in this Quarterly Report on Form 10-Q for the period ended March 31, 2025 (the “Quarterly Report”), including our unaudited condensed consolidated financial statements and the related notes thereto, and “Management’s Discussion and Analysis of Financial Condition and Results of Operations.”</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commercial stage biopharmaceutical company with a limited operating history and have not generated significant revenue from product sales. We have incurred significant operating losses since our inception, anticipate that we will incur continued losses for the foreseeable future and may never achieve profitability.</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a global, commercial stage biopharmaceutical company with a limited operating history on which to base your investment decision. Biopharmaceutical product development is a highly speculative undertaking and involves a substantial degree of risk. We were incorporated in February 2013. Our operations to date have been primarily focused on developing and commercializing IMCIVREE® (setmelanotide) to treat patients living with hyperphagia and severe obesity caused by rare MC4R pathway diseases. Our business activities have included acquiring rights to intellectual property, business planning, raising capital, developing our technology, identifying potential product candidates, undertaking preclinical studies and conducting research and development activities, including clinical trials, for setmelanotide. To date we have generated approximately $265.3 million of revenue from product sales. In the United States, IMCIVREE is approved to reduce excess body weight and maintain weight reduction long term in adult and pediatric patients aged 2 years and older with syndromic or monogenic obesity due to Bardet-Biedl syndrome (BBS) or pro-opiomelanocortin (POMC), proprotein convertase subtilisin/kexin type 1 (PCSK1), or leptin receptor (LEPR) deficiency as determined by an FDA-approved test demonstrating variants in POMC, PCSK1, or LEPR genes that are interpreted as pathogenic, likely pathogenic, or of uncertain significance (VUS). The European Commission (EC) and the United Kingdom’s Medicines &amp; Healthcare Products Regulatory Agency (MHRA) has authorized IMCIVREE for the treatment of obesity and the control of hunger associated with genetically confirmed BBS or genetically confirmed loss-of-function biallelic POMC, including PCSK1, deficiency or biallelic LEPR deficiency in adults and children 2 years of age and above. Health Canada has approved IMCIVREE for weight management in adult and pediatric patients 6 years of age and older with obesity due to BBS or genetically-confirmed POMC, PCSK1, or LEPR deficiency due to variants interpreted as pathogenic, likely pathogenic, or VUS. In total, to date we have achieved market access or named patient sales of IMCIVREE for BBS or POMC and LEPR deficiencies, or both, in more than 15 countries outside the United States, and we continue to collaborate with authorities to achieve access in additional markets.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first commercialized IMCIVREE in the United States in the first quarter of 2021 and therefore do not have a long history operating as a commercial company. We are continuing to transition from a company with a research and development focus to a company capable of supporting commercial activities and we may not be successful in such transition. We are still at the early stages of demonstrating our ability to manufacture at commercial scale, or arrange for a third party to do so on our behalf, or conduct sales, marketing and distribution activities necessary for successful product commercialization. Consequently, any predictions made about our future success or viability may not be as accurate as they could be if we had a longer operating history.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February 2023, in order to expand our pipeline and build on our focus on rare endocrinology diseases, we acquired Xinvento B.V., a Netherlands-based biotech company focused on developing therapies for congenital hyperinsulinism (CHI). Our CHI program remains in the discovery phase and we do not expect to derive revenue from our CHI program for many years, if at all. There can be no assurance that regulatory approvals will be received or if received that they will be received when anticipated and ultimately we may fail to realize the anticipated benefits of our CHI program or those benefits may take longer to realize than expected.</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Since our inception, we have focused substantially all our efforts and financial resources on the research and development of setmelanotide, which is approved by the FDA and Health Canada and authorized by the EC and the MHRA, as noted above, and is in development to address patients affected by several other indications. We have funded our operations to date primarily through the proceeds from the sales of common stock and preferred stock, asset sales, royalty interest financing, as well as capital contributions from our former parent, Rhythm Holdings LLC, and have incurred losses in each year since our inception.</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net losses were $49.5 million and $141.4 million for the three months ending March 31, 2025 and 2024, respectively. As of March 31, 2025, we had an accumulated deficit of $1.2 billion. Substantially all our operating losses have resulted from costs incurred in connection with our development programs and from commercial and general and administrative costs associated with our operations. Our prior losses, combined with expected future losses, have had and will continue to have an adverse effect on our stockholders’ deficit and working capital. We expect our research and development expenses to significantly increase in connection with our additional clinical trials of setmelanotide, with clinical trials of our product candidates (RM-718), which is designed to be a more selective MC4R agonist with weekly administration (now in Phase 1 trials), and bivamelagon, an investigational oral small molecule, which is also designed to be a more selective MC4R agonist, (now in Phase 2 clinical trials), and with the development of any other product candidates we may choose to pursue, including a product candidate for CHI, yet to be identified. We also expect to devote substantial financial resources to the research and development and potential commercialization of a product candidate for CHI.</w:t>
      </w:r>
    </w:p>
    <w:p>
      <w:pPr>
        <w:spacing w:after="0" w:line="19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since we have market access for IMCIVREE for BBS or POMC and LEPR deficiencies, or both, in more than 15 countries outside of the United States, we expect to continue to incur significant sales, marketing and outsourced manufacturing expenses. Nevertheless, setmelanotide may not be a commercially successful drug. We have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As of March 31, 2025, we have generated approximately $265.3 million of revenue from product sales. Our ability to generate revenue depends on a number of factors, including, but not limited to, our ability to:</w:t>
      </w:r>
    </w:p>
    <w:p>
      <w:pPr>
        <w:spacing w:after="0" w:line="176" w:lineRule="exact"/>
        <w:rPr>
          <w:sz w:val="20"/>
          <w:szCs w:val="20"/>
          <w:color w:val="auto"/>
        </w:rPr>
      </w:pPr>
    </w:p>
    <w:p>
      <w:pPr>
        <w:ind w:left="1040" w:right="79" w:hanging="315"/>
        <w:spacing w:after="0" w:line="297"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setmelanotide by building a commercial organization and/or entering into collaborations with third parties;</w:t>
      </w:r>
    </w:p>
    <w:p>
      <w:pPr>
        <w:spacing w:after="0" w:line="14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IMCIVREE is available to patients;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achieve market acceptance of setmelanotide in the medical community and with third-party payors;</w:t>
      </w:r>
    </w:p>
    <w:p>
      <w:pPr>
        <w:spacing w:after="0" w:line="149"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initiate and successfully complete later-stage clinical trials for setmelanotide, RM-718, bivamelagon, or other product candidates that meet their clinical endpoints;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8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initiate and successfully complete all studies required to obtain U.S. and foreign marketing approvals for setmelanotide as a treatment to address patients with deficiencies affecting the MC4R pathway; and</w:t>
      </w:r>
    </w:p>
    <w:p>
      <w:pPr>
        <w:spacing w:after="0" w:line="163"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or contract with others to manufacture setmelanotide, or RM-718 and bivamelagon if approved.</w:t>
      </w:r>
    </w:p>
    <w:p>
      <w:pPr>
        <w:spacing w:after="0" w:line="14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currently in the early stages of commercializing IMCIVREE in its approved indications in the United States, Canada, the EU and the United Kingdom and advancing setmelanotide through clinical development for additional indications in the United States and for potential additional approvals in other countries. Developing pharmaceutical products is expensive and we expect our research and development expenses to increase substantially in connection with our ongoing activities, particularly as we advance setmelanotide in additional clinical trials, as well as in connection with research and development activities for setmelanotide, RM-718, and bivamelagon, and in connection with our CHI program and the potential identification and development of a product candidate for CHI. We intend to use our available cash resources to advance the clinical development of setmelanotide, for disease-education and community-building activities, patient identification, and commercialization activities related to IMCIVREE. Depending on the status of additional regulatory approvals and commercialization of setmelanotide, as well as the progress we make in sales of IMCIVREE, we may still require significant additional capital to fund the continued development of setmelanotide and our operating needs thereafter, as well as research and development activities for setmelanotide, RM-718, bivamelagon, and a product candidate for our CHI program. We may also need to raise additional funds if we choose to pursue additional indications and/or geographies for setmelanotide or otherwise expand more rapidly than we presently anticipate.</w:t>
      </w:r>
    </w:p>
    <w:p>
      <w:pPr>
        <w:spacing w:after="0" w:line="19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From August 2015 through August 2017, we raised aggregate net proceeds of $80.8 million through our issuance of series A preferred stock. In connection with our initial public offering, or IPO, in October 2017, our underwritten follow-on offerings and through our ATM Program through March 31, 2025, we raised aggregate net proceeds of approximately $864.8 million through the issuance of our common stock after deducting underwriting discounts, commissions and offering related transaction costs. We received a further $100.0 million from asset sales, specifically in connection with the sale of our Rare Pediatric Disease Priority Review Voucher, or PRV, to Alexion Pharmaceuticals, Inc. In June 2022, we entered into a Revenue Interest Financing Agreement, or RIFA, with HealthCare Royalty Partners for a total investment amount of up to $100.0 million, conditioned upon our achievement of certain clinical development and sales milestones. As of March 31, 2025, we have received $96.7 million of aggregate proceeds, net of debt issuance costs, under the RIFA. We also received $147.8 million in net proceeds under the Investment Agreement, with certain affiliates of Perceptive Advisors LLC, or Perceptive, and certain other investors, relating to the issuance and sale of 150,000 shares of a new series of the Company’s Series A Convertible Preferred Stock, par value $0.001 per share, titled the “Series A Convertible Preferred Stock”, or the Convertible Preferred Stock, for an aggregate purchase price of $150.0 million, or $1,000 per share. As of March 31, 2025, our cash and cash equivalents and short-term investments were approximately $314.5 million. We expect that our existing cash and cash equivalents and short-term investments will be sufficient to fund our operations into 2027.</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We will also require additional capital to obtain additional regulatory approvals for, and to continue to commercialize, setmelanotide, as well as for research and development activities for setmelanotide, RM-718, bivamelagon, and a product candidate for our CHI program. Raising funds in the current economic and geopolitical environment may present additional challenges. Even if we believe we have sufficient funds for our current or future operating plans, we may seek additional capital if market conditions are favorable or if we have specific strategic considerations.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commercialize IMCIVREE and develop setmelanotide, RM-718, bivamelagon, and a product candidate for our CHI program.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 third parties at an earlier stage than otherwise would be desirable and we may be required to relinquish rights to setmelanotide or technologies or otherwise agree to terms unfavorable to us, any of which may have a material adverse effect on our business, operating results and prospects.</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setmelanotide or be unable to expand our operations or otherwise capitalize on our business opportunities, as desired, which could materially adversely affect our business, financial condition and results of operations.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 Interest Financing Agreement with Healthcare Royalty Partners could restrict our ability to commercialize IMCIVREE, limit cash flow available for our operations and expose us to risks that could adversely affect our business, financial condition and results of operations.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June 16, 2022, we entered into the RIFA, with entities managed by HealthCare Royalty Management, collectively referred to as the RIFA Investors. Pursuant to the RIFA and subject to customary closing conditions, the RIFA Investors agreed to pay us an aggregate investment amount of up to $100.0 million (the “RIFA Investment Amount”). Under the terms of the RIFA, we received $37.5 million on June 29, 2022 upon FDA approval of IMCIVREE in BBS, and an additional $37.5 million on September 29, 2022, following EC marketing authorization for BBS on September 6, 2022. On September 12, 2023, we received the remaining $24.4 million of the RIFA Investment Amount, net of debt issuance costs, following the achievement of a specified amount of cumulative net sales of IMCIVREE between July 1, 2022 and September 30, 2023.</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consideration for the Investment Amount and pursuant to the RIFA, we agreed to pay the RIFA Investors a tiered royalty on our annual net revenues (the “Revenue Interest”), including worldwide net product sales and upfront payments and milestones. The applicable tiered percentage will initially be 11.5% on annual net revenues up to $125 million, 7.5% on annual net revenues of between $125 million and $300 million and 2.5% on annual net revenues exceeding $300 million. If the RIFA Investors have not received cumulative minimum payments equal to 60% of the amount funded by the Investors to date by March 31, 2027 or 120% of the amount funded by the RIFA Investors to date by March 31, 2029, we must make a cash payment immediately following each applicable date to the Investors sufficient to gross the Investors up to such minimum amounts after giving full consideration of the cumulative amounts paid by us to the RIFA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As of March 31, 2025 we have made $25.0 million of payments, including $4.6 million in the three months ended March 31, 2025.</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RIFA Investors’ rights to receive the Revenue Interests will terminate on the date on which the RIFA Investors have received payments equal to a certain percentage of the funded portion of the Investment Amount including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aggregate of all payments made to the RIFA Investors as of such date, each percentage tier referred to as the Hard Cap, unless the RIFA is earlier terminated. The total Revenue Interests payable by us to the RIFA Investors is capped between 185% and 250% of the RIFA Investment Amount paid to us, dependent on the aggregate royalty paid between 2028 and 2032. If a change of control event occurs, the RIFA Investors may accelerate payments due under the RIFA, up to the Hard Cap plus any other obligations payable under the RIFA.</w:t>
      </w:r>
    </w:p>
    <w:p>
      <w:pPr>
        <w:spacing w:after="0" w:line="18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obligations under the RIFA could have significant negative consequences for our security holders and our business, results of operations and financial condition by, among other things:</w:t>
      </w:r>
    </w:p>
    <w:p>
      <w:pPr>
        <w:spacing w:after="0" w:line="162"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or enter into IMCIVREE collaboration or other business agreements;</w:t>
      </w:r>
    </w:p>
    <w:p>
      <w:pPr>
        <w:spacing w:after="0" w:line="149"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cash flow from operations to service our indebtedness, which will reduce the amount of cash available for other purposes;</w:t>
      </w:r>
    </w:p>
    <w:p>
      <w:pPr>
        <w:spacing w:after="0" w:line="14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 and</w:t>
      </w:r>
    </w:p>
    <w:p>
      <w:pPr>
        <w:spacing w:after="0" w:line="149"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terms of the RIFA, resulting in an event of default that is not cured or waived, Investors could seek to enforce their security interest in our cash and cash equivalents and all assets relating to IMCIVREE that secures such indebtedness.</w:t>
      </w:r>
    </w:p>
    <w:p>
      <w:pPr>
        <w:spacing w:after="0" w:line="16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To the extent we incur additional debt (including without limitation additional amounts under the RIFA), the risks described above could increase.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Setmelanotide and Other Product Candidates and our CHI Program</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earlier clinical trials of setmelanotide may not be predictive of the results of later clinical trials of setmelanotide. If we cannot generate positive results in our later clinical trials of setmelanotide, we may be unable to successfully develop, obtain regulatory approval for, and commercialize additional indications for setmelanotide.</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Positive results from any of our Phase 1, Phase 2, or Phase 3 clinical trials of setmelanotide, or initial results from other clinical trials of setmelanotide, may not be predictive of the results of later clinical trials. The duration of effect of setmelanotide tested in our Phase 1 and Phase 2 clinical trials was often for shorter periods than in our pivotal Phase 3 clinical trials. The duration of effect of setmelanotide has only been studied in long-term durations for a small number of patients in our Phase 2 and Phase 3 clinical trials and safety or efficacy issues may arise when more patients are studied in longer trials and on commercial drug. It is possible that the effects seen in short-term clinical trials will not be replicated in long-term or larger clinical trials. In addition, not all of our trials demonstrated statistically significant weight loss in all patient populations studied and there can be no guarantee that future trials will achieve their endpoints.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Positive results observed in one patient population are not necessarily predictive of positive results for other populations. We have demonstrated statistically significant and clinically meaningful reductions in weight and hunger in Phase 3 clinical trials in obesity due to POMC, PCSK1 or LEPR deficiencies, BBS and hypothalamic obesity, and believe we have demonstrated proof of concept in Phase 2 clinical trials in impairments due to a variant in one of the two alleles in the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(HET obesity), as well as the SRC1 and SH2B1 genes, all genetic diseases of extreme and unrelenting appetite and obesity. We hypothesize that patients with other upstream genetic variants in genes upstream of the MC4R in the MC4R pathway may also respond with reductions in weight and hunger after treatment with setmelanotide. However, patients with other upstream genetic variants may not have a similar response to setmelanotide,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and until we obtain more clinical data in other genetic variants, we will not be sure that we can achieve proof of concept or magnitude of response sufficient to demonstrate statistical significance in such populations.</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actively working to advance additional genetic variants related to patient populations carrying such genetic variants in other MC4R pathway related genes in the MC4R pathway through our clinical development programs. Our continued development efforts are focused on obesity related to several single gene, or monogenic, MC4R pathway impairments: BBS; obesity due to a genetic variant in one of the two alleles of the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 or HETs; obesity due to steroid receptor coactivator 1, or SRC1, variants; obesity due to SH2B adapter protein 1, or SH2B1; hypothalamic obesity; Prader-Willi Syndrome (PWS) and MC4R deficiency obesity. For example, in April 2022 we enrolled the first patient in our pivotal Phase 3 EMANATE clinical trial of setmelanotide. The trial is a randomized, double-blind, placebo-controlled study with four independent sub-studies evaluating setmelanotide in patients with: heterozygous POMC/PCSK1 obesity; heterozygous LEPR obesity; certain variants of the SRC1; or certain variants of SH2B1 genes. Each of the four sub-studies is entirely independent of the others and, if successful, is designed to support separate regulatory submissions to the FDA and EMA in each studied population. However, the FDA and EMA may not view positive results in one sub-study, even if such results are statistically significant and clinically meaningful, as being sufficient for approval for any given indication</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Success in a basket trial, or any trial in one cohort, may not predict success in another cohort. In contrast, in the event of an adverse safety issue, clinical hold, or other adverse finding in one or more cohorts being tested, such event could adversely affect our trials in the other cohorts and may delay or prevent completion of such clinical trials.</w:t>
      </w:r>
    </w:p>
    <w:p>
      <w:pPr>
        <w:spacing w:after="0" w:line="176"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later stage clinical trials after achieving positive results in early-stage development, and we cannot be certain that we will not face similar setbacks. These setbacks have been caused by, among other things, pre-clinical findings made while clinical trials were underway.</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Additionally, setbacks may be caused by new safety or efficacy observations in clinical trials or in post-approval use in the real world, including previously unreported adverse events, or AEs. Moreover, preclinical and clinical data are often susceptible to varying interpretations and analyses, and many companies that believed their product candidates performed satisfactorily in preclinical studies and clinical trials nonetheless failed to obtain FDA approval or a marketing authorization from the EC or foreign regulatory authorities. If we fail to obtain positive results in our Phase 3 clinical trials of setmelanotide, the development timeline and regulatory approval and commercialization prospects for setmelanotide and, correspondingly, our business and financial prospects, would be materially adversely affected, but even if we obtain results in our Phase 3 clinical trials that we believe are positive, there is no guarantee that the FDA or the EC or foreign regulatory authorities will agree that such results are sufficient to support submission or approval of an NDA or NDA supplement.</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preclinical and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or reported. As a result, topline data should be viewed with caution until the final data are available.</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preliminary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or interim data and final data could significantly harm our business prospects. Further, disclosure of interim data by us or by our competitors could result in volatility in the price of our common stock.</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also disclose real-world data from early access programs in particular patient cohorts, which are not controlled trials and may not be predictive of future results.</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a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license agreement with LGC is important to our business. If we or LGC fail to adequately perform under the agreement, the development of bivamelagon could be delayed, or if we or LGC terminate the agreement, we would lose our rights to develop and commercialize bivamelagon.</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January 2024, we entered into a license agreement and share issuance agreement with LGC. Pursuant to the terms of the license agreement, we obtained exclusive worldwide rights to develop LGC’s proprietary compound bivamelagon and assumed sponsorship of two ongoing LGC Phase 2 studies designed to evaluate safety, tolerability, pharmacokinetics and weight loss efficacy of bivamelagon, one of which remains ongoing. Subject to the completion of Phase 2 development of bivamelagon, we agreed to pay LGC royalties of between low-to-mid single digit percent of net revenues from our MC4R portfolio, including bivamelagon,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bivamelagon in a region if bivamelagon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bivamelagon for the limited remainder of the royalty term in the relevant region. The license agreement will continue until the expiration of the obligation to pay royalties in all countries or regions, unless terminated earlier. We or LGC can terminate the license agreement in certain circumstances, including for the other party’s material uncured breach. If the license agreement is terminated, we would lose our rights to develop and commercialize bivamelagon, and, under some circumstances, we could be subject to certain ongoing payments, penalties and fees, all of which in turn would have a material adverse effect on our business.</w:t>
      </w:r>
    </w:p>
    <w:p>
      <w:pPr>
        <w:spacing w:after="0" w:line="19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number of patients with each of the MC4R pathway variants we are targeting is small and has not been established with precision. If the actual number of patients is smaller than we estimate, our revenue and ability to achieve profitability may be materially adversely affected.</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Due to the rarity of our target indications, there is no comprehensive patient registry or other method of establishing with precision the actual number of patients with MC4R pathway deficiencies. As a result, we have had to rely on other available sources to derive clinical prevalence estimates for our target indications. In addition, we have internal genetic sequencing results from individuals with severe obesity that provide another approach to estimating prevalence. As of December 31, 2024, our database had approximately 100,000 sequencing samples. Since the published epidemiology studies for these genetic variants are based on relatively small population samples, and are not amenable to robust statistical analyses, it is possible that these projections may significantly exceed the addressable population, particularly given the need to genotype patients to definitively confirm a diagnosis.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Based on multiple epidemiological methods, we have estimated the potential addressable patient populations with these MC4R pathway deficiencies based on the following sources and assumptions (which remain subject to change based on ongoing research and publications by us or any third party):</w:t>
      </w:r>
    </w:p>
    <w:p>
      <w:pPr>
        <w:spacing w:after="0" w:line="174" w:lineRule="exact"/>
        <w:rPr>
          <w:sz w:val="20"/>
          <w:szCs w:val="20"/>
          <w:color w:val="auto"/>
        </w:rPr>
      </w:pPr>
    </w:p>
    <w:p>
      <w:pPr>
        <w:jc w:val="both"/>
        <w:ind w:left="1380" w:right="79" w:hanging="331"/>
        <w:spacing w:after="0" w:line="270"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POMC Deficiency Obesity</w:t>
      </w:r>
      <w:r>
        <w:rPr>
          <w:rFonts w:ascii="Times New Roman" w:cs="Times New Roman" w:eastAsia="Times New Roman" w:hAnsi="Times New Roman"/>
          <w:sz w:val="18"/>
          <w:szCs w:val="18"/>
          <w:color w:val="auto"/>
        </w:rPr>
        <w:t>. POMC Deficiency Obesity is defined by the presence of biallelic variants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PCSK1</w:t>
      </w:r>
      <w:r>
        <w:rPr>
          <w:rFonts w:ascii="Times New Roman" w:cs="Times New Roman" w:eastAsia="Times New Roman" w:hAnsi="Times New Roman"/>
          <w:sz w:val="18"/>
          <w:szCs w:val="18"/>
          <w:color w:val="auto"/>
        </w:rPr>
        <w:t xml:space="preserve"> genes that are interpreted as pathogenic, likely pathogenic, or of uncertain significance. Our addressable patient population estimate for POMC deficiency obesity is approximately 100 to 500 patients in the United States, with a comparable addressable patient population in Europe. Our estimates are based on:</w:t>
      </w:r>
    </w:p>
    <w:p>
      <w:pPr>
        <w:spacing w:after="0" w:line="174" w:lineRule="exact"/>
        <w:rPr>
          <w:rFonts w:ascii="Times New Roman" w:cs="Times New Roman" w:eastAsia="Times New Roman" w:hAnsi="Times New Roman"/>
          <w:sz w:val="18"/>
          <w:szCs w:val="18"/>
          <w:color w:val="auto"/>
        </w:rPr>
      </w:pPr>
    </w:p>
    <w:p>
      <w:pPr>
        <w:jc w:val="both"/>
        <w:ind w:left="1700" w:right="79" w:hanging="327"/>
        <w:spacing w:after="0" w:line="269" w:lineRule="auto"/>
        <w:tabs>
          <w:tab w:leader="none" w:pos="17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patients with POMC deficiency obesity noted in a series of published case reports, each mostly reporting a single or small number of patients. However, we believe our addressable patient population for this deficiency may be approximately 100 to 500 patients in the United States, and a comparable addressable patient population in Europe, as most of the reported cases are from a small number of academic research centers, and because genetic testing for POMC deficiency obesity is often unavailable and currently is rarely performed;</w:t>
      </w:r>
    </w:p>
    <w:p>
      <w:pPr>
        <w:spacing w:after="0" w:line="174"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based on discussions with experts in rare diseases, that the number of diagnosed cases could increase several-fold with increased awareness of this deficiency and the availability of new treatments;</w:t>
      </w:r>
    </w:p>
    <w:p>
      <w:pPr>
        <w:spacing w:after="0" w:line="163" w:lineRule="exact"/>
        <w:rPr>
          <w:rFonts w:ascii="Times New Roman" w:cs="Times New Roman" w:eastAsia="Times New Roman" w:hAnsi="Times New Roman"/>
          <w:sz w:val="18"/>
          <w:szCs w:val="18"/>
          <w:color w:val="auto"/>
        </w:rPr>
      </w:pPr>
    </w:p>
    <w:p>
      <w:pPr>
        <w:jc w:val="both"/>
        <w:ind w:left="1700" w:right="79" w:hanging="327"/>
        <w:spacing w:after="0" w:line="271" w:lineRule="auto"/>
        <w:tabs>
          <w:tab w:leader="none" w:pos="17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figures for adults and children, and Centers for Disease Control and Prevention, or CDC, prevalence numbers for adults with severe obesity (body mass index, or BMI, greater than 40 kg/m</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and for children with severe early-onset obesity (99th percentile at ages two to 17 years old); and</w:t>
      </w:r>
    </w:p>
    <w:p>
      <w:pPr>
        <w:spacing w:after="0" w:line="183" w:lineRule="exact"/>
        <w:rPr>
          <w:rFonts w:ascii="Times New Roman" w:cs="Times New Roman" w:eastAsia="Times New Roman" w:hAnsi="Times New Roman"/>
          <w:sz w:val="18"/>
          <w:szCs w:val="18"/>
          <w:color w:val="auto"/>
        </w:rPr>
      </w:pPr>
    </w:p>
    <w:p>
      <w:pPr>
        <w:jc w:val="both"/>
        <w:ind w:left="1700" w:right="79" w:hanging="327"/>
        <w:spacing w:after="0" w:line="272" w:lineRule="auto"/>
        <w:tabs>
          <w:tab w:leader="none" w:pos="17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internal sequencing yield for POMC deficiency obesity patients (including both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PCSK1 </w:t>
      </w:r>
      <w:r>
        <w:rPr>
          <w:rFonts w:ascii="Times New Roman" w:cs="Times New Roman" w:eastAsia="Times New Roman" w:hAnsi="Times New Roman"/>
          <w:sz w:val="18"/>
          <w:szCs w:val="18"/>
          <w:color w:val="auto"/>
        </w:rPr>
        <w:t>gene diseases), defined as patients having biallelic variants in the</w:t>
      </w:r>
      <w:r>
        <w:rPr>
          <w:rFonts w:ascii="Times New Roman" w:cs="Times New Roman" w:eastAsia="Times New Roman" w:hAnsi="Times New Roman"/>
          <w:sz w:val="18"/>
          <w:szCs w:val="18"/>
          <w:i w:val="1"/>
          <w:iCs w:val="1"/>
          <w:color w:val="auto"/>
        </w:rPr>
        <w:t xml:space="preserve"> POMC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PCSK1 </w:t>
      </w:r>
      <w:r>
        <w:rPr>
          <w:rFonts w:ascii="Times New Roman" w:cs="Times New Roman" w:eastAsia="Times New Roman" w:hAnsi="Times New Roman"/>
          <w:sz w:val="18"/>
          <w:szCs w:val="18"/>
          <w:color w:val="auto"/>
        </w:rPr>
        <w:t>genes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interpreted as pathogenic, likely pathogenic, or of uncertain significance, of approximately 0.05%.</w:t>
      </w:r>
    </w:p>
    <w:p>
      <w:pPr>
        <w:spacing w:after="0" w:line="182" w:lineRule="exact"/>
        <w:rPr>
          <w:rFonts w:ascii="Times New Roman" w:cs="Times New Roman" w:eastAsia="Times New Roman" w:hAnsi="Times New Roman"/>
          <w:sz w:val="18"/>
          <w:szCs w:val="18"/>
          <w:color w:val="auto"/>
        </w:rPr>
      </w:pPr>
    </w:p>
    <w:p>
      <w:pPr>
        <w:jc w:val="both"/>
        <w:ind w:left="1380" w:right="79" w:hanging="331"/>
        <w:spacing w:after="0" w:line="270"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LEPR Deficiency Obesity</w:t>
      </w:r>
      <w:r>
        <w:rPr>
          <w:rFonts w:ascii="Times New Roman" w:cs="Times New Roman" w:eastAsia="Times New Roman" w:hAnsi="Times New Roman"/>
          <w:sz w:val="18"/>
          <w:szCs w:val="18"/>
          <w:color w:val="auto"/>
        </w:rPr>
        <w:t>. LEPR Deficiency Obesity is defined by the presence of biallelic variants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 that are interpreted as pathogenic, likely pathogenic, or of uncertain significance. Our addressable patient population estimate for LEPR deficiency obesity is approximately 500 to 2,000 patients in the United States, with a comparable addressable patient population in Europe. Our estimates are based on:</w:t>
      </w:r>
    </w:p>
    <w:p>
      <w:pPr>
        <w:spacing w:after="0" w:line="174"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epidemiology studies on LEPR deficiency obesity in small cohorts of patients comprised of children with severe obesity and adults with severe obesity who have a history of early onset obesity;</w:t>
      </w:r>
    </w:p>
    <w:p>
      <w:pPr>
        <w:spacing w:after="0" w:line="149"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figures for adults and children and CDC prevalence numbers for adults with severe obesity (BMI, greater than 40 kg/m</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and for children with severe early-onset obesity (99th percentile at ages two to 17 years old);</w:t>
      </w:r>
    </w:p>
    <w:p>
      <w:pPr>
        <w:spacing w:after="0" w:line="163"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wider availability of genetic testing expected for LEPR deficiency obesity and increased awareness of new treatments, our belief that up to 40% of patients with these diseases may eventually be diagnosed; and</w:t>
      </w:r>
    </w:p>
    <w:p>
      <w:pPr>
        <w:spacing w:after="0" w:line="163"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internal sequencing yield for LEPR deficiency obesity patients, defined as patients having biallelic variants in the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 that are interpreted as pathogenic, likely pathogenic, or of uncertain significance, of approximately 0.09%.</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Bardet-Biedl Syndrome</w:t>
      </w:r>
      <w:r>
        <w:rPr>
          <w:rFonts w:ascii="Times New Roman" w:cs="Times New Roman" w:eastAsia="Times New Roman" w:hAnsi="Times New Roman"/>
          <w:sz w:val="18"/>
          <w:szCs w:val="18"/>
          <w:color w:val="auto"/>
        </w:rPr>
        <w:t>. Our addressable patient population estimate for BBS is approximately 4,000 to</w:t>
      </w:r>
    </w:p>
    <w:p>
      <w:pPr>
        <w:spacing w:after="0" w:line="29"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patients in the United States based on:</w:t>
      </w:r>
    </w:p>
    <w:p>
      <w:pPr>
        <w:spacing w:after="0" w:line="220"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prevalence estimates of one in 100,000 in North America, which projects to approximately 3,250 people in the United States. We believe the majority of these patients are addressable patients;</w:t>
      </w:r>
    </w:p>
    <w:p>
      <w:pPr>
        <w:spacing w:after="0" w:line="163"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our patient identification efforts in Europe where we believe there are approximately 1,500 patients diagnosed and being cared for at academic centers in Europe;</w:t>
      </w:r>
    </w:p>
    <w:p>
      <w:pPr>
        <w:spacing w:after="0" w:line="149"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patient identification efforts to date in the United States;</w:t>
      </w:r>
    </w:p>
    <w:p>
      <w:pPr>
        <w:spacing w:after="0" w:line="238"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sequencing yield for biallelic pathogenic or likely pathogenic variants in BBS genes of approximately 0.3%; and</w:t>
      </w:r>
    </w:p>
    <w:p>
      <w:pPr>
        <w:spacing w:after="0" w:line="149"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with wider availability of genetic testing expected for BBS and increased awareness of new treatments, the number of patients diagnosed with this disorder will increase.</w:t>
      </w:r>
    </w:p>
    <w:p>
      <w:pPr>
        <w:spacing w:after="0" w:line="147" w:lineRule="exact"/>
        <w:rPr>
          <w:rFonts w:ascii="Times New Roman" w:cs="Times New Roman" w:eastAsia="Times New Roman" w:hAnsi="Times New Roman"/>
          <w:sz w:val="18"/>
          <w:szCs w:val="18"/>
          <w:color w:val="auto"/>
        </w:rPr>
      </w:pPr>
    </w:p>
    <w:p>
      <w:pPr>
        <w:jc w:val="both"/>
        <w:ind w:left="1380" w:right="79" w:hanging="331"/>
        <w:spacing w:after="0" w:line="270"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POMC, PCSK1, or LEPR Heterozygous Obesities; SRC1 and SH2B1 Obesities</w:t>
      </w:r>
      <w:r>
        <w:rPr>
          <w:rFonts w:ascii="Times New Roman" w:cs="Times New Roman" w:eastAsia="Times New Roman" w:hAnsi="Times New Roman"/>
          <w:sz w:val="18"/>
          <w:szCs w:val="18"/>
          <w:color w:val="auto"/>
        </w:rPr>
        <w:t>. Our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setmelanotide-responsive patient population estimate for POMC, PCSK1, or LEPR heterozygous, SRC1 and SH2B1 obesity patients with at least one variant interpreted as pathogenic, likely pathogenic, or of uncertain significance suspected pathogenic is approximately 53,000 patients in the United States. Our estimates are based on:</w:t>
      </w:r>
    </w:p>
    <w:p>
      <w:pPr>
        <w:spacing w:after="0" w:line="174"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population data and CDC prevalence numbers for early onset obesity (≥120% the 95th percentile with onset prior to 6 years of age);</w:t>
      </w:r>
    </w:p>
    <w:p>
      <w:pPr>
        <w:spacing w:after="0" w:line="149"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sequencing yield of patients with POMC, PCSK1, or LEPR heterozygous, SRC1 or SH2B1 variants interpreted as pathogenic, likely pathogenic, or of uncertain significance of approximately 10-15%; and</w:t>
      </w:r>
    </w:p>
    <w:p>
      <w:pPr>
        <w:spacing w:after="0" w:line="163"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response rate of 40% for patients carrying pathogenic or likely pathogenic variants, and 20% for patients carrying a variant of uncertain significance.</w:t>
      </w:r>
    </w:p>
    <w:p>
      <w:pPr>
        <w:spacing w:after="0" w:line="149"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The clinical response rate used in this calculation is based on the clinical data currently available to us from our trials and may change as more data become available.</w:t>
      </w:r>
    </w:p>
    <w:p>
      <w:pPr>
        <w:spacing w:after="0" w:line="160" w:lineRule="exact"/>
        <w:rPr>
          <w:sz w:val="20"/>
          <w:szCs w:val="20"/>
          <w:color w:val="auto"/>
        </w:rPr>
      </w:pPr>
    </w:p>
    <w:p>
      <w:pPr>
        <w:ind w:left="1380" w:right="79" w:hanging="331"/>
        <w:spacing w:after="0" w:line="300"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MC4R Deficiency Obesity</w:t>
      </w:r>
      <w:r>
        <w:rPr>
          <w:rFonts w:ascii="Times New Roman" w:cs="Times New Roman" w:eastAsia="Times New Roman" w:hAnsi="Times New Roman"/>
          <w:sz w:val="18"/>
          <w:szCs w:val="18"/>
          <w:color w:val="auto"/>
        </w:rPr>
        <w:t>. Our addressable patient population estimate for MC4R-rescuable deficiency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obesity is approximately 10,000 patients in the United States. This estimate is based on:</w:t>
      </w:r>
    </w:p>
    <w:p>
      <w:pPr>
        <w:spacing w:after="0" w:line="146"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population data and CDC prevalence numbers for early onset obesity (≥120% the 95th percentile between the ages of 2-5 years);</w:t>
      </w:r>
    </w:p>
    <w:p>
      <w:pPr>
        <w:spacing w:after="0" w:line="149"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biochemical screening study indicating there may be a defined subset of individuals who carry MC4R variants that may be rescued by an MC4R agonist; and</w:t>
      </w:r>
    </w:p>
    <w:p>
      <w:pPr>
        <w:spacing w:after="0" w:line="149"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sequencing yield for MC4R deficiency obesity patients of approximately 2.0% prior to application of functional filters.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380" w:right="79" w:hanging="331"/>
        <w:spacing w:after="0" w:line="283"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Obesity due to a deficiency in the MC4R pathway caused by variants in the SEMA3 family, PHIP, TBX3 or PLXNA family</w:t>
      </w:r>
      <w:r>
        <w:rPr>
          <w:rFonts w:ascii="Times New Roman" w:cs="Times New Roman" w:eastAsia="Times New Roman" w:hAnsi="Times New Roman"/>
          <w:sz w:val="18"/>
          <w:szCs w:val="18"/>
          <w:color w:val="auto"/>
        </w:rPr>
        <w:t>. Our addressable patient population estimate for obesity patient with variants in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genes is approximately 63,500 patients in the United States. This estimate is based on:</w:t>
      </w:r>
    </w:p>
    <w:p>
      <w:pPr>
        <w:spacing w:after="0" w:line="160" w:lineRule="exact"/>
        <w:rPr>
          <w:rFonts w:ascii="Times New Roman" w:cs="Times New Roman" w:eastAsia="Times New Roman" w:hAnsi="Times New Roman"/>
          <w:sz w:val="18"/>
          <w:szCs w:val="18"/>
          <w:color w:val="auto"/>
        </w:rPr>
      </w:pPr>
    </w:p>
    <w:p>
      <w:pPr>
        <w:jc w:val="both"/>
        <w:ind w:left="1700" w:right="79" w:hanging="327"/>
        <w:spacing w:after="0" w:line="271" w:lineRule="auto"/>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our URO genetic testing program with samples from more than 36,000 participants, classification of variants for pathogenic, likely pathogenic and 20% of with a variant of uncertain significance and applied to established estimate of approximately 5 million people in the United States with early-onset obesity.</w:t>
      </w:r>
    </w:p>
    <w:p>
      <w:pPr>
        <w:spacing w:after="0" w:line="186" w:lineRule="exact"/>
        <w:rPr>
          <w:sz w:val="20"/>
          <w:szCs w:val="20"/>
          <w:color w:val="auto"/>
        </w:rPr>
      </w:pPr>
    </w:p>
    <w:p>
      <w:pPr>
        <w:jc w:val="both"/>
        <w:ind w:left="60" w:right="59" w:firstLine="648"/>
        <w:spacing w:after="0" w:line="281" w:lineRule="auto"/>
        <w:rPr>
          <w:sz w:val="20"/>
          <w:szCs w:val="20"/>
          <w:color w:val="auto"/>
        </w:rPr>
      </w:pPr>
      <w:r>
        <w:rPr>
          <w:rFonts w:ascii="Times New Roman" w:cs="Times New Roman" w:eastAsia="Times New Roman" w:hAnsi="Times New Roman"/>
          <w:sz w:val="18"/>
          <w:szCs w:val="18"/>
          <w:color w:val="auto"/>
        </w:rPr>
        <w:t>We believe that the patient populations in the EU are similar to those in the United States. However, we do not have comparable epidemiological data from the EU and these estimates are therefore based solely on applying relative population percentages to the Company-derived estimates described above.</w:t>
      </w:r>
    </w:p>
    <w:p>
      <w:pPr>
        <w:spacing w:after="0" w:line="164" w:lineRule="exact"/>
        <w:rPr>
          <w:sz w:val="20"/>
          <w:szCs w:val="20"/>
          <w:color w:val="auto"/>
        </w:rPr>
      </w:pPr>
    </w:p>
    <w:p>
      <w:pPr>
        <w:jc w:val="both"/>
        <w:ind w:left="60" w:right="59" w:firstLine="648"/>
        <w:spacing w:after="0" w:line="270" w:lineRule="auto"/>
        <w:rPr>
          <w:sz w:val="20"/>
          <w:szCs w:val="20"/>
          <w:color w:val="auto"/>
        </w:rPr>
      </w:pPr>
      <w:r>
        <w:rPr>
          <w:rFonts w:ascii="Times New Roman" w:cs="Times New Roman" w:eastAsia="Times New Roman" w:hAnsi="Times New Roman"/>
          <w:sz w:val="18"/>
          <w:szCs w:val="18"/>
          <w:color w:val="auto"/>
        </w:rPr>
        <w:t>Defining the exact genetic variants that result in MC4R pathway diseases is complex, so if any approval that we obtain is based on a narrower definition of these patient populations than we had anticipated, then the potential market for setmelanotide for these indications will be smaller than we originally believed. In either case, a smaller patient population in our target indications would have a materially adverse effect on our ability to achieve commercialization and generate revenues.</w:t>
      </w:r>
    </w:p>
    <w:p>
      <w:pPr>
        <w:spacing w:after="0" w:line="184" w:lineRule="exact"/>
        <w:rPr>
          <w:sz w:val="20"/>
          <w:szCs w:val="20"/>
          <w:color w:val="auto"/>
        </w:rPr>
      </w:pPr>
    </w:p>
    <w:p>
      <w:pPr>
        <w:jc w:val="both"/>
        <w:ind w:left="1380" w:right="79" w:hanging="331"/>
        <w:spacing w:after="0" w:line="272"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Hypothalamic obesity</w:t>
      </w:r>
      <w:r>
        <w:rPr>
          <w:rFonts w:ascii="Times New Roman" w:cs="Times New Roman" w:eastAsia="Times New Roman" w:hAnsi="Times New Roman"/>
          <w:sz w:val="18"/>
          <w:szCs w:val="18"/>
          <w:color w:val="auto"/>
        </w:rPr>
        <w:t>. Our addressable patient population estimate for hypothalamic obesity (HO)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5,000 to 10,000 patients in the United States. We estimate there are 5,000 to 8,000 people living with hypothalamic obesity in Japan, and 3,500 to 10,000 people living with hypothalamic obesity in the E.U. These estimates are based on:</w:t>
      </w:r>
    </w:p>
    <w:p>
      <w:pPr>
        <w:spacing w:after="0" w:line="184" w:lineRule="exact"/>
        <w:rPr>
          <w:rFonts w:ascii="Times New Roman" w:cs="Times New Roman" w:eastAsia="Times New Roman" w:hAnsi="Times New Roman"/>
          <w:sz w:val="18"/>
          <w:szCs w:val="18"/>
          <w:color w:val="auto"/>
        </w:rPr>
      </w:pPr>
    </w:p>
    <w:p>
      <w:pPr>
        <w:ind w:left="1700" w:right="79" w:hanging="327"/>
        <w:spacing w:after="0" w:line="282" w:lineRule="auto"/>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diagnosis of an underlying HO etiology such as craniopharyngioma (CP), astrocytoma, or other brain tumors with CP accounting for approximately 50% of HO etiologies;</w:t>
      </w:r>
    </w:p>
    <w:p>
      <w:pPr>
        <w:spacing w:after="0" w:line="175" w:lineRule="exact"/>
        <w:rPr>
          <w:rFonts w:ascii="Times New Roman" w:cs="Times New Roman" w:eastAsia="Times New Roman" w:hAnsi="Times New Roman"/>
          <w:sz w:val="18"/>
          <w:szCs w:val="18"/>
          <w:color w:val="auto"/>
        </w:rPr>
      </w:pPr>
    </w:p>
    <w:p>
      <w:pPr>
        <w:jc w:val="both"/>
        <w:ind w:left="1700" w:right="79" w:hanging="327"/>
        <w:spacing w:after="0" w:line="274" w:lineRule="auto"/>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incidence of CP of approximately 1.3 to 2.2 per million per year in the United States, which projects to approximately 600 cases of CP per year based on a United States population of approximately 329 million;</w:t>
      </w:r>
    </w:p>
    <w:p>
      <w:pPr>
        <w:spacing w:after="0" w:line="182"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(based on a published range of 6% to 91%) of CP patients develop HO;</w:t>
      </w:r>
    </w:p>
    <w:p>
      <w:pPr>
        <w:spacing w:after="0" w:line="238"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estimates of overall survival (OS) after CP diagnosis, with a 20-year OS of 84%;</w:t>
      </w:r>
    </w:p>
    <w:p>
      <w:pPr>
        <w:spacing w:after="0" w:line="238" w:lineRule="exact"/>
        <w:rPr>
          <w:rFonts w:ascii="Times New Roman" w:cs="Times New Roman" w:eastAsia="Times New Roman" w:hAnsi="Times New Roman"/>
          <w:sz w:val="18"/>
          <w:szCs w:val="18"/>
          <w:color w:val="auto"/>
        </w:rPr>
      </w:pPr>
    </w:p>
    <w:p>
      <w:pPr>
        <w:ind w:left="1700" w:right="79" w:hanging="327"/>
        <w:spacing w:after="0" w:line="282" w:lineRule="auto"/>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for patients that develop HO due to other factors besides CP, results in an estimated HO prevalence after CP diagnosis in the United States exceeding 2,500-7,500 patients; and</w:t>
      </w:r>
    </w:p>
    <w:p>
      <w:pPr>
        <w:spacing w:after="0" w:line="175" w:lineRule="exact"/>
        <w:rPr>
          <w:rFonts w:ascii="Times New Roman" w:cs="Times New Roman" w:eastAsia="Times New Roman" w:hAnsi="Times New Roman"/>
          <w:sz w:val="18"/>
          <w:szCs w:val="18"/>
          <w:color w:val="auto"/>
        </w:rPr>
      </w:pPr>
    </w:p>
    <w:p>
      <w:pPr>
        <w:ind w:left="1700" w:right="79" w:hanging="327"/>
        <w:spacing w:after="0" w:line="282" w:lineRule="auto"/>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Company estimate is based on reported incidence of hypothalamic obesity following CP and long-term survival rates.</w:t>
      </w:r>
    </w:p>
    <w:p>
      <w:pPr>
        <w:spacing w:after="0" w:line="175" w:lineRule="exact"/>
        <w:rPr>
          <w:sz w:val="20"/>
          <w:szCs w:val="20"/>
          <w:color w:val="auto"/>
        </w:rPr>
      </w:pPr>
    </w:p>
    <w:p>
      <w:pPr>
        <w:ind w:left="1100" w:right="59"/>
        <w:spacing w:after="0" w:line="282" w:lineRule="auto"/>
        <w:rPr>
          <w:sz w:val="20"/>
          <w:szCs w:val="20"/>
          <w:color w:val="auto"/>
        </w:rPr>
      </w:pPr>
      <w:r>
        <w:rPr>
          <w:rFonts w:ascii="Times New Roman" w:cs="Times New Roman" w:eastAsia="Times New Roman" w:hAnsi="Times New Roman"/>
          <w:sz w:val="18"/>
          <w:szCs w:val="18"/>
          <w:color w:val="auto"/>
        </w:rPr>
        <w:t>Given the etiology of the disease, our estimates on HO are based on our internal review and interpretation of the literature and available prevalence data.</w:t>
      </w:r>
    </w:p>
    <w:p>
      <w:pPr>
        <w:spacing w:after="0" w:line="171"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retention of patients in clinical trials, our regulatory submissions or receipt of additional marketing approvals could be delayed or prevented.</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our planned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that are in the same therapeutic areas as our product candidates, including general obesity,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are limited patient pools from which to draw for clinical studies. In addition to the rarity of genetic diseases of obesity,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 Patient enrollment for our current or any future clinical trials may be affected by other factors, including:</w:t>
      </w:r>
    </w:p>
    <w:p>
      <w:pPr>
        <w:spacing w:after="0" w:line="194" w:lineRule="exact"/>
        <w:rPr>
          <w:sz w:val="20"/>
          <w:szCs w:val="20"/>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38"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163"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willingness to screen their patients for genetic markers to indicate which patients may be eligible for enrollment in our clinical trials;</w:t>
      </w:r>
    </w:p>
    <w:p>
      <w:pPr>
        <w:spacing w:after="0" w:line="149"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temporary suspension of the enrollment of patients in our planned clinical trial due to public health emergencies;</w:t>
      </w:r>
    </w:p>
    <w:p>
      <w:pPr>
        <w:spacing w:after="0" w:line="14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238"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including as a result of health conditions or being forced to quarantine, or, because they may be late-stage cancer patients or for other reasons, will not survive the full terms of the clinical trials.</w:t>
      </w:r>
    </w:p>
    <w:p>
      <w:pPr>
        <w:spacing w:after="0" w:line="16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the pediatric population is an important patient population for setmelanotide, RM-718, and bivamelagon, and our addressable patient population estimates include pediatric populations. However, it may be more challenging to conduct studies in younger participants, and to locate and enroll pediatric patients. 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also result in increased development costs for setmelanotide and any future product candidates and jeopardize our ability to obtain additional marketing approvals for the sale of setmelanotide. Furthermore, even if we are able to enroll a sufficient number of patients for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clinical trials, we may have difficulty maintaining participation in our clinical trials through the treatment and any follow-up periods.</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our planned clinical trials could result in increased costs to us and could delay, prevent or limit our ability to generate revenue, achieve profitability and continue our business.</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Successful completion of our ongoing and planned clinical trials is a prerequisite to submitting an NDA or NDA supplement to the FDA, an MAA to the EMA, and other applications for marketing authorization to equivalent competent authorities in foreign jurisdictions, and consequently, successful completion of such trials, at a minimum, will be required for regulatory approvals and the commercial marketing of setmelanotide for additional indications as well as RM-718 and bivamelagon.</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do not know whether our planned clinical trials will begin or whether any of our clinical trials will be completed on schedule, if at all, as the commencement and successful completion of clinical trials can be delayed or prevented for a number of reasons, including but not limited to:</w:t>
      </w:r>
    </w:p>
    <w:p>
      <w:pPr>
        <w:spacing w:after="0" w:line="174" w:lineRule="exact"/>
        <w:rPr>
          <w:sz w:val="20"/>
          <w:szCs w:val="20"/>
          <w:color w:val="auto"/>
        </w:rPr>
      </w:pPr>
    </w:p>
    <w:p>
      <w:pPr>
        <w:ind w:left="1040" w:right="79" w:hanging="315"/>
        <w:spacing w:after="0" w:line="300"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studies;</w:t>
      </w:r>
    </w:p>
    <w:p>
      <w:pPr>
        <w:spacing w:after="0" w:line="146"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completion of preclinical laboratory tests, animal studies and formulation studies in accordance with FDA’s good laboratory practice requirements and other applicable regulations;</w:t>
      </w:r>
    </w:p>
    <w:p>
      <w:pPr>
        <w:spacing w:after="0" w:line="149"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competent authorities in foreign jurisdictions may deny permission to proceed with our ongoing or planned trials or any other clinical trials we may initiate, or may place a clinical trial on hold or such trial may be suspended;</w:t>
      </w:r>
    </w:p>
    <w:p>
      <w:pPr>
        <w:spacing w:after="0" w:line="163"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authorization to proceed under an additional investigational new drug application, or IND, or similar foreign application if required;</w:t>
      </w:r>
    </w:p>
    <w:p>
      <w:pPr>
        <w:spacing w:after="0" w:line="149"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the FDA and other regulatory agencies on study design and obtaining regulatory authorization to commence clinical trials;</w:t>
      </w:r>
    </w:p>
    <w:p>
      <w:pPr>
        <w:spacing w:after="0" w:line="149"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63"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or maintaining Institutional Review Board, or IRB, and/or ethics committee approval or opinion to conduct a clinical trial at a prospective site or sites;</w:t>
      </w:r>
    </w:p>
    <w:p>
      <w:pPr>
        <w:spacing w:after="0" w:line="149"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many already diagnosed patients are at academic sites, delays in conducting clinical trials at academic sites due to the particular challenges and delays typically associated with those sites, as well as the lack of alternatives to these sites which have already diagnosed patients;</w:t>
      </w:r>
    </w:p>
    <w:p>
      <w:pPr>
        <w:spacing w:after="0" w:line="163"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quantity or quality of setmelanotide, RM-718, bivamelagon or other materials necessary to conduct clinical trials, including delays in the manufacturing of sufficient supply of finished drug product;</w:t>
      </w:r>
    </w:p>
    <w:p>
      <w:pPr>
        <w:spacing w:after="0" w:line="14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recruiting and training suitable clinical investigators;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suitable patients to participate in clinical trials;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 related side effects experienced by patients in a clinical trial, including side effects previously identified in our completed clinical trials;</w:t>
      </w:r>
    </w:p>
    <w:p>
      <w:pPr>
        <w:sectPr>
          <w:pgSz w:w="11900" w:h="16838" w:orient="portrait"/>
          <w:cols w:equalWidth="0" w:num="1">
            <w:col w:w="9019"/>
          </w:cols>
          <w:pgMar w:left="1440" w:top="513"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collaborating with patient groups and investigators;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perform in accordance with the FDA’s or any other regulatory authority’s GCPs or applicable regulatory guidelines in other countries;</w:t>
      </w:r>
    </w:p>
    <w:p>
      <w:pPr>
        <w:spacing w:after="0" w:line="149"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setmelanotide, RM-718 or bivamelagon that are viewed to outweigh their potential benefits, or occurrence of adverse events in trial of the same or similar class of agents conducted by other companies;</w:t>
      </w:r>
    </w:p>
    <w:p>
      <w:pPr>
        <w:spacing w:after="0" w:line="16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clinical trial protocols;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14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observation or analyses of resulting data;</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238"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or related non-clinical trials of our product candidates producing negative or inconclusive results, which may result in our deciding, or regulators requiring us, to conduct additional clinical trials or delay or abandon development of such product candidates; and</w:t>
      </w:r>
    </w:p>
    <w:p>
      <w:pPr>
        <w:spacing w:after="0" w:line="16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antibodies to the drug or adjuvants may result in loss of efficacy or safety events.</w:t>
      </w:r>
    </w:p>
    <w:p>
      <w:pPr>
        <w:spacing w:after="0" w:line="23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a clinical trial may be suspended or terminated by us, the FDA or other equivalent competent authorities in foreign jurisdictions, the IRB at the sites where the IRBs are overseeing a clinical trial, a data and safety monitoring board, or DSMB, or Safety Monitoring Committee, or SMC, overseeing the clinical trial at issue or other equivalent competent authorities due to a number of factors, including, among others:</w:t>
      </w:r>
    </w:p>
    <w:p>
      <w:pPr>
        <w:spacing w:after="0" w:line="180" w:lineRule="exact"/>
        <w:rPr>
          <w:sz w:val="20"/>
          <w:szCs w:val="20"/>
          <w:color w:val="auto"/>
        </w:rPr>
      </w:pPr>
    </w:p>
    <w:p>
      <w:pPr>
        <w:ind w:left="1380" w:right="79" w:hanging="331"/>
        <w:spacing w:after="0" w:line="297"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trial protocols;</w:t>
      </w:r>
    </w:p>
    <w:p>
      <w:pPr>
        <w:spacing w:after="0" w:line="149"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or other equivalent competent authorities that reveals deficiencies or violations that require us to undertake corrective action, including the imposition of a clinical hold;</w:t>
      </w:r>
    </w:p>
    <w:p>
      <w:pPr>
        <w:spacing w:after="0" w:line="163"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inconclusive results, unforeseen safety issues, adverse side effects or lack of effectiveness;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trial supply materials;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3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Delays in the completion of any preclinical or non-clinical studies or clinical trials of setmelanotide, RM-718 or bivamelagon will increase our costs, slow down our product candidate development and the regulatory approval processes and delay or potentially jeopardize our ability to commence product sales, generate product revenue and achieve profitability.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many of the factors that cause, or lead to, a delay in the commencement or completion of clinical trials may also ultimately lead to the denial of a regulatory approval for setmelanotide, RM-718 or bivamelagon. Any delays to our preclinical studies or clinical trials that occur as a result could shorten any period during which we may have the exclusive right to commercialize setmelanotide, RM-718 or bivamelagon, in each case if approved,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spacing w:after="0" w:line="19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It is currently unclear to what extent the United Kingdom will seek to align its regulations with the EU. On January 17, 2022, the MHRA launched an eight-week consultation on reframing the UK legislation for clinical trials and which aimed to streamline clinical trials approvals, enable innovation, enhance clinical trials transparency, enable greater risk proportionality, and promote patient and public involvement in clinical trials. The UK Government published its response to the consultation on March 21, 2023 confirming that it would bring forward changes to the legislation. These resulting legislative amendments will determine how closely the UK regulations are aligned with the CTR. A decision by the UK not to closely align its regulations with the new approach adopted in the EU may have an effect on the cost of conducting clinical trials in the UK as opposed to other countries. Under the terms of the Protocol on Ireland/Northern Ireland, provisions of the CTR which relate to the manufacture and import of investigational medicinal products and auxiliary medicinal products apply in Northern Ireland. Once the changes brought by the Windsor Framework are implemented, this may have a further impact on the application of the CTR in Northern Ireland.</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5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in the pharmaceutical industry is costly, risky, time-intensive and complicated. In particular, our CHI program is a pre-clinical discovery-stage program and we may not succeed in identifying a CHI program candidate to translate to development and even if we do we may not succeed in developing a CHI program product candidate.</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in the pharmaceutical industry is an expensive, high-risk, lengthy, complicated, resource intensive process. In order to develop a product successfully, we must, among other things: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scientific discovery in areas that are uncertain, unproven and complex;</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product candidates;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for and receive regulatory approvals or allowances to perform clinical trials;</w:t>
      </w:r>
    </w:p>
    <w:p>
      <w:pPr>
        <w:spacing w:after="0" w:line="225"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conduct appropriate preclinical studies and clinical trials according to good laboratory practices and good clinical practices and disease-specific expectations of the FDA and other regulatory bodies;</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and recruit suitable clinical investigators and subjects for our clinical trials;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correctly interpret data establishing adequate safety of our product candidates and demonstrating that our product candidates are effective for their proposed indications;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for and receive regulatory approvals; and</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the product candidates according to current Good Manufacturing Practices, or cGMPs, and other applicable standards and regulations.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There is a high rate of failure inherent in this process, and potential products that appear promising at early stages of the research and development process may fail for a number of reasons. Importantly, positive results from preclinical studies of a product candidate may not be predictive of similar results in human clinical trials, promising results from earlier clinical trials of a product candidate may not be replicated in later clinical trials, and observations from ongoing trials, including observations based on interim, preliminary, or blinded data, may not be representative of results after the trials are completed and all data are collected and analyzed. Many companies in the pharmaceutical and biotechnology industries have suffered significant setbacks in late-stage clinical trials even after achieving positive results in earlier stages of development and have abandoned development efforts or sought partnerships in order to continue development.</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there are many other difficulties and uncertainties inherent in pharmaceutical research and development that could significantly delay or otherwise materially impair our ability to develop future product candidates,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hanging="331"/>
        <w:spacing w:after="0" w:line="266"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regulators, ethics committees or institutional review boards for preclinical testing and clinical trials relating to the scope or design of our clinical trials, including selection of endpoints and number of required patients or clinical sites;</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designing clinical trials that may support any potential claims of superiority over current standard of care or future competitive therapies;</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placed upon, or other difficulties with respect to, clinical trials and clinical trial sites, including with respect to potential clinical holds or suspension or termination of clinical trials due to, among other things, potential safety or ethical concerns or noncompliance with regulatory requirements;</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reduced enrollment in clinical trials, high discontinuation rates or overly concentrated patient enrollment in specific geographic regions;</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third-party contractors, contract research organizations, or CROs, clinical investigators, clinical laboratories, or suppliers to comply with regulatory requirements or meet their contractual obligations in a timely manner;</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cost of our clinical trials;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product supply or inadequate product quality.</w:t>
      </w:r>
    </w:p>
    <w:p>
      <w:pPr>
        <w:spacing w:after="0" w:line="225" w:lineRule="exact"/>
        <w:rPr>
          <w:rFonts w:ascii="Times New Roman" w:cs="Times New Roman" w:eastAsia="Times New Roman" w:hAnsi="Times New Roman"/>
          <w:sz w:val="18"/>
          <w:szCs w:val="18"/>
          <w:color w:val="auto"/>
        </w:rPr>
      </w:pPr>
    </w:p>
    <w:p>
      <w:pPr>
        <w:jc w:val="both"/>
        <w:ind w:left="1380" w:right="79" w:hanging="331"/>
        <w:spacing w:after="0" w:line="258"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competitive landscape for our products and product candidates, which could cause us to modify our development programs, notwithstanding positive data or trial results in existing trials, in order to seek alternate indications or routes of administration or to substitute or otherwise modify our product candidates in light of the evolving competitive landscape and changing commercial prospects for our product and product candidates</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we cannot state with certainty when or whether our CHI program will ever identify a product candidate to translate from research to the development stage or whether our other product candidates now under development will be approved or launched; whether, if initially granted, such approval will be maintained; whether we will be able to develop, license, or otherwise acquire additional products or product candidates; or whether our products, once launched, will be commercially successful.</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Failure to successfully develop setmelanotide for additional indications or to develop product candidates for any of the foregoing reasons may materially adversely affect our business, financial condition, results of operations and prospects and the value of our common stock.</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Setmelanotide, RM-718 or bivamelagon may cause undesirable side effects that could delay or prevent additional regulatory approvals, limit the commercial profile of approved labeling, or result in significant negative consequences following marketing approval.</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First generation MC4R agonists were predominantly small molecules that failed in clinical trials due to significant safety issues, particularly increases in blood pressure, and had limited efficacy. Undesirable side effects caused by setmelanotide, RM-718 or bivamelagon could cause us or regulatory authorities to interrupt, delay or halt clinical trials and could result in a more restrictive labeling or the delay or denial of additional regulatory approvals by the FDA or other equivalent competent authorities in foreign jurisdictions.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Setmelanotide, RM-718 and bivamelagon are MC4R agonists. Potential side effects of MC4R agonism, which have been noted either with setmelanotide or with other MC4R agonists in clinical trials and preclinical studies, may include:</w:t>
      </w:r>
    </w:p>
    <w:p>
      <w:pPr>
        <w:spacing w:after="0" w:line="176" w:lineRule="exact"/>
        <w:rPr>
          <w:sz w:val="20"/>
          <w:szCs w:val="20"/>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cardiovascular parameters, such as increases in heart rate and blood pressure;</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erections in males and similar effects in women, such as sexual arousal, clitoral swelling and hypersensitivity;</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nausea and vomiting;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appetite;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headache;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on mood, depression, anxiety and other psychiatric manifestations; and</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effects, for which an investigator reported as unrelated to setmelanotide or for which no increased incidence or pattern or causal relationship is currently evident.</w:t>
      </w:r>
    </w:p>
    <w:p>
      <w:pPr>
        <w:spacing w:after="0" w:line="14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injection site reactions have been seen in subcutaneous, or SC, injections with setmelanotide. Also, setmelanotide has likely off target effects on the closely related MC1 receptor, which mediates skin pigmentation in response to sun exposure. Other MC1 receptor mediated effects include darkening of skin blemishes, such as freckles and moles, and hair color change. These MC1 receptor mediated skin effects are not tolerated by all patients, as a small number of patients have withdrawn from treatment due to skin darkening. These effects have generally been reversible in clinical trials after discontinuation of setmelanotide, but it is still unknown if they will be reversible with long term exposure. The MC1 receptor mediated effects may also carry risks. The long term impact of MC1 receptor activation has not been tested in clinical trials, and could potentially include increases in skin cancer, excess biopsy procedures and cosmetic blemishes. These skin changes may also result in unblinding, which could make interpretation of clinical trial results more complex and possibly subject to bias. We have also initiated trials of setmelanotide in potential new indications that include patients who might have more serious underlying conditions. It is possible that the underlying conditions in these patients, such as congestive heart failure and potentially other conditions, may confound the understanding of the safety profile of setmelanotide.</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these or other significant adverse events or other side effects are observed in any of our ongoing or planned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also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setmelanotide, RM-718 or bivamelagon from obtaining or maintaining marketing approval or obtaining additional approvals, undesirable side effects may inhibit market acceptance due to its tolerability versus other therapies. Any of these developments could materially adversely affect our business, financial condition and prospects.</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Further, if we or others identify undesirable side effects associated with or caused by the products, or any other similar product, before or after regulatory approvals, a number of potentially significant negative consequences could result, including:</w:t>
      </w:r>
    </w:p>
    <w:p>
      <w:pPr>
        <w:spacing w:after="0" w:line="176" w:lineRule="exact"/>
        <w:rPr>
          <w:sz w:val="20"/>
          <w:szCs w:val="20"/>
          <w:color w:val="auto"/>
        </w:rPr>
      </w:pPr>
    </w:p>
    <w:p>
      <w:pPr>
        <w:ind w:left="1380" w:right="79" w:hanging="331"/>
        <w:spacing w:after="0" w:line="297"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request that we withdraw the product from the market or may limit or vary their approval of the product through labeling or other means;</w:t>
      </w:r>
    </w:p>
    <w:p>
      <w:pPr>
        <w:sectPr>
          <w:pgSz w:w="11900" w:h="16838" w:orient="portrait"/>
          <w:cols w:equalWidth="0" w:num="1">
            <w:col w:w="9019"/>
          </w:cols>
          <w:pgMar w:left="1440" w:top="513"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97"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49" w:lineRule="exact"/>
        <w:rPr>
          <w:rFonts w:ascii="Times New Roman" w:cs="Times New Roman" w:eastAsia="Times New Roman" w:hAnsi="Times New Roman"/>
          <w:sz w:val="18"/>
          <w:szCs w:val="18"/>
          <w:color w:val="auto"/>
        </w:rPr>
      </w:pPr>
    </w:p>
    <w:p>
      <w:pPr>
        <w:jc w:val="both"/>
        <w:ind w:left="1380" w:right="79" w:hanging="331"/>
        <w:spacing w:after="0" w:line="271"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EU competent authorities and other equivalent competent authorities in foreign jurisdictions may require the addition of a Risk Evaluation and Mitigation Strategy, or REMS, or other specific obligations as a condition for marketing authorization due to the need to limit treatment to rare patient populations, or to address safety concerns;</w:t>
      </w:r>
    </w:p>
    <w:p>
      <w:pPr>
        <w:spacing w:after="0" w:line="185"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distributed or administered or change the labeling of the product;</w:t>
      </w:r>
    </w:p>
    <w:p>
      <w:pPr>
        <w:spacing w:after="0" w:line="149"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studies and clinical trials or comply with other post-market requirements to assess possible serious risks;</w:t>
      </w:r>
    </w:p>
    <w:p>
      <w:pPr>
        <w:spacing w:after="0" w:line="149"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long term safety follow-up evaluations, including setting up disease and drug based registries;</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marketplace;</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other MC4 agonist products or product candidates may be perceived by regulators or other third parties as unsafe, which could adversely affect our development efforts and product portfolio;</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the product;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3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setmelanotide, RM-718 or bivamelagon, and could substantially increase the costs of commercializing setmelanotide, RM-718 or bivamelagon and significantly impact our ability to successfully commercialize setmelanotide, RM-718 or bivamelagon and generate revenues.</w:t>
      </w:r>
    </w:p>
    <w:p>
      <w:pPr>
        <w:spacing w:after="0" w:line="176"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designations for setmelanotide, RM-718 or bivamelagon or to obtain or maintain orphan exclusivity. Even with exclusivity, competitors may obtain approval for different drugs that treat the same indications as setmelanotide, RM-718 and bivamelagon.</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FDA may designate drugs for relatively small patient populations as orphan drugs. Under the Orphan Drug Act of 1983, or the Orphan Drug Act, the FDA may designate a product candidate as an orphan drug if it is intended to treat a rare disease or condition, which is defined under the Federal Food, Drug and Cosmetic Act, or FDCA,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8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receives the first marketing approval for the disease or condition for which it has such designation, the product is entitled to a period of seven years of marketing exclusivity, which precludes the FDA from approving another marketing application for a product that constitutes the same drug treating the same disease or condition for that marketing exclusivity period, except in limited circumstances.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exclusivity period in the United States can be extended by six months if the NDA sponsor submits pediatric data that fairly respond to a written request from the FDA for such data. Orphan drug exclusivity may be revoked if the FDA determines that the request for designation was materially defective or if the manufacturer is unable to assure sufficient quantity of the product to meet the needs of patients with the rare disease or condition. Other potential benefits of orphan drug designation and/or approval of a designated drug include eligibility for: exemption from certain prescription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drug user fees, tax credits for certain qualified clinical testing expenses, and waivers from the pediatric assessment requirements of the Pediatric Research Equity Act.</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Grant of orphan designation by the EC also entitles the holder of this designation to financial incentives such as reduction of fees or fee waivers, protocol assistance, and access to the centralized marketing authorization procedure. In addition to a range of other benefits during the development and regulatory review, orphan medicinal products are, upon grant of marketing authorization and assuming the requirement for orphan designation are also met at the time the marketing authorization is granted, entitled to ten years of exclusivity in all EU member states for the approved therapeutic indication, which means that the competent authorities cannot accept another MAA,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ten-year market exclusivity in the EU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granting of an authorization for another similar orphan medicinal product where another product has market exclusivity can happen at any time: (i) the second applicant can establish that its product, although similar, is safer, more effective or otherwise clinically superior; (ii) the applicant cannot supply enough orphan medicinal product or (iii) where the applicant consents to a second orphan medicinal product application.</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IMCIVREE’s approval, the FDA granted us seven years of orphan drug exclusivity for setmelanotide for chronic weight management in adult and pediatric patients 6 years of age and older with obesity due to POMC, PCSK1, or LEPR deficiency confirmed by genetic testing demonstrating variants in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are interpreted as pathogenic, likely pathogenic, or of uncertain significance. The FDA also granted us seven years of orphan drug exclusivity for setmelanotide for chronic weight management in adult and pediatric patients 6 years of age and older with monogenic or syndromic obesity due to BBS. In the EU, we obtained ten years of market exclusivity for setmelanotide for the treatment of obesity and the control of hunger associated with genetically confirmed loss-of-function biallelic POMC, including PCSK1, deficiency or biallelic LEPR deficiency in adults and children 6 years of age and above. Following the FDA’s approval in December 2024 of the expanded indication for IMCIVREE to include patients as young as 2 years of age, in March 2025, the FDA expanded the scope of the current orphan drug exclusivity for IMCIVREE to provide for seven years of orphan-drug exclusivity for setmelanotide to reduce excess body weight and maintain weight reduction long term in pediatric patients aged 2 years to less than 6 years with syndromic or monogenic obesity due to POMC, PCSK1, LEPR deficiency as determined by an FDA-approved test demonstrating variants in POMC, PCSK1, or LEPR genes that are interpreted as pathogenic, likely pathogenic, or VUS.</w:t>
      </w:r>
    </w:p>
    <w:p>
      <w:pPr>
        <w:spacing w:after="0" w:line="19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have also been granted orphan designation for setmelanotide for the treatment of: (i) Alström syndrome in both the United States and the EU; (ii) Prader-Willi syndrome in the United States and the EU; and (iii) acquired hypothalamic obesity in the EU and Japan.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able to maintain the benefits of orphan drug exclusivity, or that the FDA or the EC or Japan’s Ministry of Health, Labour and Welfare will grant orphan designations for setmelanotide for other uses. In addition, orphan drug designation neither shortens the development time or regulatory review time of a drug nor gives the drug any advantage in the regulatory review or approval process.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Even though we have obtained orphan drug exclusivity for certain uses of setmelanotide, such exclusivities may not effectively protect setmelanotide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As discussed above, similar rules apply in the EU.</w:t>
      </w:r>
    </w:p>
    <w:p>
      <w:pPr>
        <w:spacing w:after="0" w:line="17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Breakthrough Therapy designation for setmelanotide for the treatment of obesity associated with certain defects upstream of the MC4R in the leptin melanocortin pathway, which includes POMC deficiency obesity, LEPR deficiency obesity, Bardet-Biedl syndrome and Alström syndrome, as well as hypothalamic obesity in the United States and PRIME designation in the EU for setmelanotide for the treatment of obesity and the control of hunger associated with deficiency disorders of the MC4R pathway, the FDA may rescind the Breakthrough Therapy designation and the EMA may withdraw the PRIME designation and we may be unable to obtain Breakthrough Therapy designation or the PRIME designation for other uses. In addition, Breakthrough Therapy designation by the FDA or PRIME designation by the EMA may not lead to a faster development, regulatory review or approval process, and neither do they increase the likelihood that setmelanotide will receive additional marketing approvals in the United States or additional marketing authorizations in the EU.</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FDA is authorized under the FDCA to give certain product candidates “Breakthrough Therapy designation.” A Breakthrough Therapy product candidate is defined as a product candidate that is intended, alone or in combination with one or more other drugs or biologics, to treat a serious or life-threatening disease or condition, where preliminary clinical evidence indicates that such product candidate may demonstrate substantial improvement on one or more clinically significant endpoints over existing therapies. The FDA will seek to ensure the sponsor of Breakthrough Therapy product candidate receives intensive guidance on an efficient drug development program, intensive involvement of senior managers and experienced staff on a proactive, collaborative and cross disciplinary review. In addition, the FDA may consider reviewing portions of an NDA before the sponsor submits the complete application, a process also known as rolling review. Product candidates designated as breakthrough therapies by the FDA may be eligible for other expedited programs, such as priority review, provided the relevant criteria are met.</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Designation as Breakthrough Therapy is within the discretion of the FDA. Accordingly, even if we believe our product candidates meet the criteria for designation as Breakthrough Therapy, the FDA may disagree. In any event, the receipt of Breakthrough Therapy designation for a product candidate, or acceptance for one or more of the FDA’s other expedited programs, may not result in a faster development process, review or approval compared to products considered for approval under conventional FDA procedures and does not guarantee ultimate approval by the FDA. Regulatory standards to demonstrate safety and efficacy must still be met. Additionally, the FDA may later decide that the product candidate no longer meets the conditions for designation and may withdraw designation at any time or decide that the time period for FDA review or approval will not be shortened.</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PRIME (PRIority MEdicines) scheme was launched by the EMA in 2016.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an MAA, early dialogue and scientific advice at key development milestones, and the potential to qualify products for accelerated review earlier in the application process. In late June 2018, setmelanotide was granted eligibility to PRIME by the Committee for Medicinal Products for Human Use, or CHMP for the treatment of obesity and the control of hunger associated with deficiency disorders of the MC4R receptor pathway. Acknowledging that setmelanotide targets an unmet medical need, the EMA offers enhanced support in the development of the medicinal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product through enhanced interaction and early dialogue to optimize our development plans and speed up regulatory evaluation in the EU. As part of this designation, the EMA has provided guidance to us concerning the development of setmelanotide. However, the EMA may later decide that such product candidates no longer meet the conditions for qualification or decide that the time period for review or approval will not be shortened. Neither does the PRIME designation guarantee that the EC will grant additional marketing authorizations for setmelanotide.</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pacing w:after="0" w:line="172"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translate the once-daily, subcutaneous injection formulations of setmelanotide into alternate formulations, including alternate methods of delivery for setmelanotide or alternative methods of delivery for or other product candidates that would be acceptable to the FDA or other equivalent competent authorities in foreign jurisdictions or commercially successful.</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Setmelanotide is currently administered by once-daily subcutaneous (SC) injection using small insulin type needles and syringes. SC injection is generally less well received by patients than other methods of administration, such as oral administration. Considerable additional resources and efforts, including potential studies, may be necessary in order to translate the once-daily formulation of setmelanotide into a once-weekly formulation that may be well received by patients.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entered into a license agreement with Camurus AB, or Camurus, for the use of Camurus’ drug delivery technology, FluidCrystal, to formulate once-weekly setmelanotide. This formulation, if successfully developed for setmelanotide, and approved by the FDA and other regulatory authorities, will be delivered subcutaneously, similar to our once-daily formulation, except that we anticipate it would be injected once weekly. In addition, we have initiated development of an auto-injector device designed to make administration of our once-weekly product candidate easier and more convenient for our patients.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While we have started consultations with regulatory authorities about the potential path for approval of the once-weekly formulation, and have initiated clinical studies of the once-weekly formulation, we cannot yet estimate the requirements for non-clinical and clinical data, manufacturing program, time, cost, and probability of success for approval. Regulatory authorities have limited experience evaluating Camurus’ formulations, which further complicates our understanding regarding the information that may be required to obtain approval of a once-weekly formulation.</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While we believe that this once-weekly formulation may be more convenient and less burdensome than setmelanotide, which is currently approved as a once-daily administration, we have paused development of this once-weekly formulation in favor of advancing RM-718. In the event RM-718 shows sufficiently positive efficacy and safety results, we plan to discontinue development of the weekly formulation of setmelanotide. Concurrently, we are engaging with applicable regulatory authorities to address the impact of our discontinuing development of the weekly formulation of setmelanotide, which was a component of our pediatric investigation plan, or PIP, in the EU (and the United Kingdom) and in January 2025 we submitted a request to modify the PIP to remove elements related to the weekly formulation and we expect to receive a decision sometime in the second quarter of 2025. We cannot estimate the probability of success with respect to our development of additional formulations, nor the resources and time needed to succeed. If we are unable to develop and gain approval of new formulations of setmelanotide or of our other product candidates, our products may not achieve significant market acceptance and our business, financial condition and results of operations may be materially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approach to treating patients with MC4R pathway deficiencies requires the identification of patients with unique genetic subtypes, for example, POMC genetic deficiency. The FDA or other equivalent competent authorities in foreign jurisdictions could require the clearance, approval or certification of an in vitro companion diagnostic device to ensure appropriate selection of patients as a condition of approving setmelanotide in additional indications. The requirement that we obtain clearance, approval or certification of an in vitro companion diagnostic device would require substantial financial resources, and could delay or prevent the receipt of additional regulatory approvals for setmelanotide, or adversely affect those approvals we have already obtained.</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focused our development of setmelanotide as a treatment for obesity caused by certain genetic deficiencies affecting the MC4R pathway. To date, we have employed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genetic diagnostic testing to select patients for enrollment in our clinical trials, including our clinical trials for IMCIVREE and for other potential indications for setmelanotide. If the safe and effective use of any of our product candidates depends on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that is not otherwise commercially available, then the FDA may require approval or clearance of that diagnostic, known as a companion diagnostic, at the same time as, or in connection with, the FDA approval of such product candidates.</w:t>
      </w:r>
    </w:p>
    <w:p>
      <w:pPr>
        <w:spacing w:after="0" w:line="187"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the EU, until May 25, 2022, in vitro diagnostic medical devices were regulated by Directive 98/79/EC, or the IVDD, which has been repealed and replaced by Regulation (EU) No 2017/746, or the IVDR. Unlike the IVDD, the IVDR is directly applicable in EU member states without the need for member states to implement into national law. The regulation of companion diagnostics is now subject to further requirements set forth in the IVDR. Following subsequent legislative changes, European institutions adopted a “progressive” roll-out of the IVDR to prevent disruption in the supply of in vitro diagnostic medical devices. The IVDR became applicable on May 26, 2022 but there is a tiered system extending the grace period for many devices (depending on their risk classification) before they have to be fully compliant with the regulation. For instance, under these provisions, class C devices (including devices that are intended to be used as companion diagnostics) had until May 26, 2026 to comply with the new requirements. In June 2024, to address issues related to notified body capacity, the EC adopted an extension of the grace period, resulting in an extended transition period until December 31, 2028 for certain class C devices, subject to compliance with the transitional provisions.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MAA for the medicinal product has been submitted through the centralized procedure. For other substances, the notified body can seek the opinion from a national competent authority or the EMA. These modifications may make it more difficult and costly for us to obtain regulatory clearances or approvals or certification for our companion diagnostics or to manufacture, market or distribute our products after clearance, approval or certification is obtained. Compliance with the new requirements may impact our development plans for setmelanotide.</w:t>
      </w:r>
    </w:p>
    <w:p>
      <w:pPr>
        <w:spacing w:after="0" w:line="20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the FDA or a comparable regulatory authority requires clearance, approval or certification of a companion diagnostic for setmelanotide, RM-718 or bivamelagon, any delay or failure by us or our current and future collaborators to develop or obtain regulatory clearance or approval of, or certification of, such tests, if necessary, could delay or prevent us from obtaining additional approvals for setmelanotide, or adversely affect the approvals we have already obtained. For example, in November 2020, the FDA approved IMCIVREE for chronic weight management in adult and pediatric patients 6 years of age and older with obesity due to POMC, PCSK1, or LEPR deficiencies confirmed by genetic testing demonstrating variants in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are interpreted as pathogenic, likely pathogenic, or of uncertain significance. Although the FDA did not require that we obtain approval of a companion diagnostic prior to approving the New Drug Application, or NDA, for IMCIVREE, in connection with the NDA approval we agreed as a post-marketing commitment to conduct adequate analytical and clinical validation testing to develop and establish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to accurately and reliably detect patients with variants in the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may benefit from setmelanotide therapy. In September 2020, our collaboration partner, Prevention Genetics, submitted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seeking FDA authorization to market such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for IMCIVREE as a Class II medical device. In January 2022, the FDA granted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for classification for the POMC/PCSK1/LEPR CDx Panel for market authorization as a Class II device. If the FDA or a comparable regulatory authority requires clearance, approval or certification of a companion diagnostic when we seek additional approvals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setmelanotide, RM-718 or bivamelagon, any delay or failure by us or our current and future collaborators to develop or obtain regulatory clearance or approval of, or certification of, such tests, if necessary, could delay or prevent us from obtaining such additional approvals for setmelanotide, or adversely affect the approvals we have already obtained.</w:t>
      </w:r>
    </w:p>
    <w:p>
      <w:pPr>
        <w:spacing w:after="0" w:line="172"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that we will continue to rely, on third parties to conduct research and discovery activities and in our clinical trials. If these third parties do not successfully carry out their contractual obligations or meet expected timelines, we may not be able to advance our pre-clinical and clinical programs or obtain, on a timely basis or at all, additional regulatory approvals for or commercialize our product candidates, and our business could be substantially harmed.</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agreements with third-party CROs to operationalize, provide monitors for and to manage data for our research and discovery efforts (including in our CHI program) and our ongoing clinical trials. We rely heavily on these parties for the execution of research and discovery activities and clinical trials and control only certain aspects of their activities. As a result, we have less direct control over the start-up, conduct, timing and completion of these activities and clinical trials, and the management of data developed through these activities and clinical trials than would be the case if we were relying entirely upon our own staff. Communicating with outside parties can also be challenging, potentially leading to mistakes as well as difficulties in coordinating activities. However, we remain responsible for the conduct of these activities and these trials and are subject to enforcement which may include civil and criminal liabilities for any violations of FDA rules and regulations and the comparable foreign regulatory provisions during the conduct of our clinical trials. Outside parties may:</w:t>
      </w:r>
    </w:p>
    <w:p>
      <w:pPr>
        <w:spacing w:after="0" w:line="194" w:lineRule="exact"/>
        <w:rPr>
          <w:sz w:val="20"/>
          <w:szCs w:val="20"/>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devote inadequate resources to our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more favorable relationships with other entities, some of which may be our competitors.</w:t>
      </w:r>
    </w:p>
    <w:p>
      <w:pPr>
        <w:spacing w:after="0" w:line="23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These factors, among others, may materially adversely affect the willingness or ability of third parties to conduct our research and discovery activities and our clinical trials and may subject us to unexpected cost increases that are beyond our control. Nevertheless, we are responsible for ensuring that all of our activities and each of our studies is conducted in accordance with the applicable protocol, legal, regulatory and scientific standards, and our reliance on third parties, including CROs, does not relieve us of our regulatory responsibilities. We and our CROs are required to comply with GCPs, which are regulations and guidelines enforced by the FDA, the competent authorities of the EU member states and equivalent competent authorities in foreign jurisdictions for any products in clinical development. The FDA and foreign regulatory authorities enforce GCPs through periodic inspections of clinical trial sponsors, principal investigators, and trial sites, and IRBs. If we or our CROs fail to comply with applicable GCPs, the clinical data generated in our clinical trials may be deemed unreliable and the FDA or other equivalent competent authorities in foreign jurisdictions may require us to perform additional clinical trials before approving our marketing applications, if ever. We cannot assure you that, upon inspection, the FDA or foreign regulatory authorities will determine that any of our clinical trials have complied with GCPs. In addition, our clinical trials must be conducted with products produced under cGMPs and similar foreign requirements.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19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obligations or meet expected timelines, if they need to be replaced or if the quality or accuracy of the clinical and other data they obtain are compromised due to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failure to adhere to our protocols, regulatory requirements or for other reasons, any related activities or clinical trials may be extended, delayed or terminated, and we may not be able to obtain regulatory approval for, or successfully commercialize a CHI therapeutic product, setmelanotide, RM-718 or bivamelagon. As a result, our financial results and the commercial prospects for setmelanotide, RM-718 or bivamelagon, would be harmed, our costs could increase and our ability to generate revenue could be delayed.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IMCIVREE and, if Approved, our Products Candidates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IMCIVREE and any other product candidates for which we obtain approval will depend in part on the extent to which governmental authorities, private health insurers, and other third-party payors provide coverage and adequate reimbursement. Failure to obtain or maintain coverage and adequate reimbursement for IMCIVREE or our other product candidates, if any and if approved, could limit our ability to market those products and decrease our ability to generate revenue</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IMCIVREE or any other product candidates for which we obtain approval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provide reimbursement.</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Increasing efforts by governmental and third-party payors in the United States and abroad to cap or reduce healthcare costs may cause such organizations to limit both coverage and the level of reimbursement for recently approved products, such as IMCIVREE, and, as a result, they may not cover or provide adequate payment. Even if we show improved efficacy or improved convenience of administration,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IMCIVREE or other product candidates, and may not be able to obtain a satisfactory financial return. Further, as we continue to grow as an organization, previously-established prices may no longer be sufficient and could create additional pricing pressure for us.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IMCIVREE to each payor separately, with no assurance that coverage and adequate reimbursement will be applied consistently or obtained in the first instance or that step edits or other conditions on reimbursement will not be imposed. Furthermore, rules and regulations regarding reimbursement change frequently, in some cases on short notice, and we believe that changes in these rules and regulations are likely.</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some foreign countries, particularly in Canada, the United Kingdom and in the EU member states, the pricing and reimbursement of prescription only medicinal products is subject to strict governmental control which varies widely between countries. In these countries, pricing negotiations with governmental authorities can take six to twelve months or longer after the receipt of regulatory approval and product launch. To obtain favorable reimbursement for the indications sought or pricing approval in some countries, we may be required to conduct a clinical trial that compares the cost effectiveness of IMCIVREE with other available therapies. If reimbursement for IMCIVREE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the EU, in particular, each EU member state can restrict the range of medicinal products for which its national health insurance system provides reimbursement and can control the prices of medicinal products for human use marketed in its territory. As a result, following receipt of marketing authorization in an EU member state, through any application route, an applicant is required to engage in pricing discussions and negotiations with the competent pricing authority in the individual EU member states. Some EU member states operate positive and negative list systems under which products may only be marketed once a reimbursement price has been agreed upon. Other EU member states approve a specific price for the medicinal product or may instead adopt a system of direct or indirect controls on the profitability of the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placing the medicinal product on the market. The downward pressure on healthcare costs in general, particularly prescription drugs, has become more intense. As a result, increasingly high barriers are being erected to the entry of new products. In addition, we may face competition for IMCIVREE from lower priced products in foreign countries that have placed price controls on pharmaceutical products.</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Health Technology Assessment, or HTA, of medicinal products, however, is becoming an increasingly common part of the pricing and reimbursement procedures in Canada, the United Kingdom and some EU member states, including France, Germany, Italy, Spain, the Netherlands, Belgium, Norway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 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The extent to which pricing and reimbursement decisions are influenced by the HTA of the specific medicinal product varies . In addition, in the EU, pursuant to Directive 2011/24/EU on the application of patients’ rights in cross border healthcare, a voluntary network of national authorities or bodies responsible for HTA in the individual EU member states was established. The purpose of the network is to facilitate and support the exchange of scientific information concerning HTAs. This may lead to harmonization of the criteria taken into account in the conduct of HTAs between EU member states and in pricing and reimbursement decisions and may negatively affect price in at least some EU member states.</w:t>
      </w:r>
    </w:p>
    <w:p>
      <w:pPr>
        <w:spacing w:after="0" w:line="19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This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maintain or expand our sales, marketing and distribution capabilities or enter into agreements with third parties to market, sell, and distribute IMCIVREE, we may not be able to generate revenue.</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order to market IMCIVREE, we must continue to build our sales, marketing, distribution, managerial and other non-technical capabilities or make arrangements with third parties to perform these services. Although we have received FDA and Health Canada approval, and EC and MHRA marketing authorization for certain indications, we are early in our commercialization efforts. Therefore, you should not compare us to commercial-stage biotechnology companies, and you should not expect that we will generate substantial revenues or become profitable in the near term. If we are unable to establish, maintain or expand our sales, marketing, market access, named patient sales, patient services, reimbursement and distribution capabilities, whether independently or with third parties, or if we are unable to do so on commercially reasonable terms, our business, results of operations, financial condition and prospects would be materially adversely affected.</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never receive regulatory approval to market setmelanotide outside of the United States, Canada, the European Union and the United Kingdom.</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intend to seek marketing authorizations in various countries worldwide. In order to market any product outside of the United States, Canada, the EU or the United Kingdom, we must establish and comply with the numerous and varying safety, efficacy and other regulatory requirements of other countries. Marketing authorization procedures vary among countries and can involve additional setmelanotide testing and additional administrative review periods. The time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required to obtain marketing authorization in other countries might differ from that required to obtain FDA approval or marketing authorization from the EC or the MHRA. The marketing authorization processes in other countries may implicate all of the risks detailed above regarding FDA approval in the United States as well as other risks. In particular, in many countries outside of the United States and Europe, products must receive pricing and reimbursement approval before the product can be commercialized. Obtaining this approval can result in substantial delays in bringing products to market in such countries. Grant of marketing authorization in one country does not ensure grant of marketing authorization in another country, but a failure or delay in obtaining marketing authorization in one country may have a negative effect on the regulatory process or commercial activities in others. Failure to obtain marketing authorization in other countries or any delay or other setback in obtaining such authorizations would impair our ability to market setmelanotide in such foreign markets. Any such impairment would reduce the size of our potential market share and could have a material adverse impact on our business, results of operations and prospects.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or maintain market acceptance for IMCIVREE, which would limit the revenue that we generate from the sale of IMCIVREE.</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commercial success of IMCIVREE will also depend upon the awareness and acceptance of IMCIVREE within the medical community, including physicians, patients and third-party payors. If IMCIVREE does not achieve or maintain an adequate level of acceptance by patients, physicians and third-party payors, we may not generate sufficient revenue to become or remain profitable. Before granting reimbursement approval, third-party payors may require us to demonstrate that, in addition to treating obesity caused by certain genetic deficiencies affecting the MC4R pathway, IMCIVREE also provides incremental health benefits to patients. Our efforts to educate the medical community and third-party payors about the benefits of IMCIVREE may require significant resources and may never be successful. All of these challenges may impact our ability to ever successfully market and sell IMCIVREE.</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 acceptance of IMCIVREE will depend on a number of factors, including, among others:</w:t>
      </w:r>
    </w:p>
    <w:p>
      <w:pPr>
        <w:spacing w:after="0" w:line="225" w:lineRule="exact"/>
        <w:rPr>
          <w:sz w:val="20"/>
          <w:szCs w:val="20"/>
          <w:color w:val="auto"/>
        </w:rPr>
      </w:pPr>
    </w:p>
    <w:p>
      <w:pPr>
        <w:jc w:val="both"/>
        <w:ind w:left="1380" w:right="79" w:hanging="331"/>
        <w:spacing w:after="0" w:line="271"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IMCIVREE to provide chronic weight management in patients with obesity caused by certain genetic deficiencies affecting the MC4R pathway and, if required by any competent authority in connection with the approval for these indications, to provide patients with incremental health benefits, as compared with other available treatments, therapies, devices or surgeries;</w:t>
      </w:r>
    </w:p>
    <w:p>
      <w:pPr>
        <w:spacing w:after="0" w:line="185"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clinical diagnosis and/or genetic testing, as needed, for certain of IMCIVREE’s indications, including obtaining and interpreting clinical or genetic results that support patient treatment with IMCIVREE;</w:t>
      </w:r>
    </w:p>
    <w:p>
      <w:pPr>
        <w:spacing w:after="0" w:line="163"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SC injections as the necessary method of administration of IMCIVREE, including as compared with other treatments for patients with obesity;</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IMCIVREE;</w:t>
      </w:r>
    </w:p>
    <w:p>
      <w:pPr>
        <w:spacing w:after="0" w:line="238"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IMCIVREE by the FDA or the specific obligations imposed as a condition for marketing authorization imposed by other equivalent competent authorities in foreign jurisdictions, particularly by the EC;</w:t>
      </w:r>
    </w:p>
    <w:p>
      <w:pPr>
        <w:spacing w:after="0" w:line="163"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a number of obesity therapies already approved or expected to be commercially launched in the near future;</w:t>
      </w:r>
    </w:p>
    <w:p>
      <w:pPr>
        <w:spacing w:after="0" w:line="149"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these diseases among our target populations through marketing and other cross-functional efforts;</w:t>
      </w:r>
    </w:p>
    <w:p>
      <w:pPr>
        <w:spacing w:after="0" w:line="149"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 and the willingness of the target patient population to try new therapies and of physicians to prescribe these therapies;</w:t>
      </w:r>
    </w:p>
    <w:p>
      <w:pPr>
        <w:sectPr>
          <w:pgSz w:w="11900" w:h="16838" w:orient="portrait"/>
          <w:cols w:equalWidth="0" w:num="1">
            <w:col w:w="9019"/>
          </w:cols>
          <w:pgMar w:left="1440" w:top="513"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97"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IMCIVREE to treat the maximum range of pediatric patients, and any limitations on its indications for use;</w:t>
      </w:r>
    </w:p>
    <w:p>
      <w:pPr>
        <w:spacing w:after="0" w:line="149"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IMCIVREE or competing products and treatments;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 and our ability to increase awareness of IMCIVREE through marketing efforts;</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w:t>
      </w:r>
    </w:p>
    <w:p>
      <w:pPr>
        <w:spacing w:after="0" w:line="238" w:lineRule="exact"/>
        <w:rPr>
          <w:rFonts w:ascii="Times New Roman" w:cs="Times New Roman" w:eastAsia="Times New Roman" w:hAnsi="Times New Roman"/>
          <w:sz w:val="18"/>
          <w:szCs w:val="18"/>
          <w:color w:val="auto"/>
        </w:rPr>
      </w:pPr>
    </w:p>
    <w:p>
      <w:pPr>
        <w:jc w:val="both"/>
        <w:ind w:left="1380" w:right="79" w:hanging="331"/>
        <w:spacing w:after="0" w:line="271"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 (including in the case of named patient sales, which can be a costly and uncertain source of revenues) and the willingness of healthcare providers to obtain reimbursement, which can be challenging and may factor into their decision to prescribe IMCIVREE; and</w:t>
      </w:r>
    </w:p>
    <w:p>
      <w:pPr>
        <w:spacing w:after="0" w:line="185" w:lineRule="exact"/>
        <w:rPr>
          <w:rFonts w:ascii="Times New Roman" w:cs="Times New Roman" w:eastAsia="Times New Roman" w:hAnsi="Times New Roman"/>
          <w:sz w:val="18"/>
          <w:szCs w:val="18"/>
          <w:color w:val="auto"/>
        </w:rPr>
      </w:pPr>
    </w:p>
    <w:p>
      <w:pPr>
        <w:jc w:val="both"/>
        <w:ind w:left="1380" w:right="79" w:hanging="331"/>
        <w:spacing w:after="0" w:line="271"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competent authorities in foreign jurisdictions may require development of a REMS or other specific obligations as a condition of approval or post-approval, may not agree with our proposed REMS or other specific obligations, or may impose additional requirements that limit the promotion, advertising, distribution or sales of IMCIVREE.</w:t>
      </w:r>
    </w:p>
    <w:p>
      <w:pPr>
        <w:spacing w:after="0" w:line="18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industry is intensely competitive. If we are not able to compete effectively against current and future competitors, we may not be able to generate revenue from the sale of IMCIVREE, our business will not grow and our financial condition and operations will suffer.</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compounds and generate data that could, even absent regulatory approvals, establish a perception of efficacy in our targeted patient population, which could make IMCIVREE appear obsolete or uneconomical. Any new product that competes with an approved product may need to demonstrate compelling advantages in efficacy, convenience, tolerability and safety to be commercially successful. In addition, payors may require that patients try other medications known as step therapy or a “step-edit,” including medications approved for treatment of general obesity, before receiving reimbursement for IMCIVREE. Other competitive factors, including generic competition, could force us to lower prices or could result in reduced sales. In addition, new products developed by others could emerge as competitors to IMCIVREE and our other product candidates. If we are not able to compete effectively against our current and future competitors, our business will not grow and our financial condition and operations will suffer.</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Currently, IMCIVREE is the only treatment approved to reduce excess body weight and maintain weight reduction long term in patients with obesity due to BBS or POMC, PCSK1 or LEPR deficiencies, and there are no comparable treatments approved for patients with deficiencies due to a variant in one of the two alleles in the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PCSK1, or LEPR </w:t>
      </w:r>
      <w:r>
        <w:rPr>
          <w:rFonts w:ascii="Times New Roman" w:cs="Times New Roman" w:eastAsia="Times New Roman" w:hAnsi="Times New Roman"/>
          <w:sz w:val="18"/>
          <w:szCs w:val="18"/>
          <w:color w:val="auto"/>
        </w:rPr>
        <w:t>genes (HET obesity), SRC1 deficiency obesity, SH2B1 deficiency obesity, MC4R deficiency obesity,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hypothalamic obesity. Bariatric surgery is often not considered an appropriate treatment option for these genetic diseases of obesity because the severe obesity and hyperphagia associated with these diseases are considered to be risk factors for poor outcomes with bariatric surgery. Also, existing therapies indicated for general obesity, including glucagon-like peptide-1 (GLP-1) receptor agonists, and glucose-dependent insulinotropic polypeptide (GIP) and glucagon-like peptide-1 (GLP-1) agonists, do not specifically restore function impaired by genetic deficiencies in the MC4R pathway, which we believe is the root cause of hyperphagia and obesity in patients with MC4R genetic variants. At present, we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aware of multiple ongoing research and development programs for general obesity with various new mechanisms of action including some MC4R agonists. New competitors may emerge which could limit our business opportunity in the future.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claims are brought against us, we may incur substantial liability.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use of setmelanotide, RM-718, and bivamelagon in clinical trials and the sale of IMCIVREE exposes us to the risk of product liability claims. Product liability claims might be brought against us by patients, healthcare providers or others selling or otherwise coming into contact with IMCIVREE. For example, we may be sued if any product we develop allegedly causes injury or is found to be otherwise unsuitable during product testing, manufacturing, marketing or sale. Any such product liability claims may include allegations of defects in manufacturing, defects in design or a failure to warn of dangers inherent in the product, including as a result of interactions with alcohol or other drugs, negligence, strict liability and a breach of warranties. Claims could also be asserted under state consumer protection laws and any equivalent laws in foreign countries.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194" w:lineRule="exact"/>
        <w:rPr>
          <w:sz w:val="20"/>
          <w:szCs w:val="20"/>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IMCIVREE or any future product candidates following marketing approval, if obtained;</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exposure to adverse publicity;</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IMCIVREE or any future product candidates, if approved.</w:t>
      </w:r>
    </w:p>
    <w:p>
      <w:pPr>
        <w:spacing w:after="0" w:line="23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maintain product liability insurance coverage for our clinical trials and commercial product with a $20.0 million annual aggregate coverage limit.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40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third-party suppliers to manufacture our clinical and commercial drug supplies of setmelanotide, RM-718, and bivamelagon, and we intend to rely on third parties to produce preclinical, clinical and commercial supplies of any future product candidate.</w:t>
      </w:r>
    </w:p>
    <w:p>
      <w:pPr>
        <w:spacing w:after="0" w:line="17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manufacture our clinical and commercial drug supply internally for setmelanotide, RM-718, bivamelagon, or any future product candidates, for use in the conduct of our preclinical studies and clinical trials, and we lack the internal resources and the capability to manufacture any product candidate on a clinical or commercial scale. The facilities used by our contract manufacturing organizations, or CMOs, to manufacture the active pharmaceutical ingredient, or API, and final drug product must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successfully complete inspection by the FDA and other equivalent competent authorities in foreign jurisdictions pursuant to inspections that have been and will be conducted following submission of NDAs, NDA supplements or comparable foreign regulatory submissions to the other equivalent competent authorities in foreign jurisdictions. Our failure or the failure of our CMOs to successfully complete any potential preapproval inspections of the manufacturing facilities of setmelanotide, RM-718, and bivamelagon could delay the regulatory approval process. In addition, our clinical trials must be conducted with products produced in accordance with GMP and similar foreign regulations. Our failure or the failure of our CROs or CMOs to comply with these regulations may require us to repeat clinical trials, which would delay the regulatory approval process and could also subject us to enforcement action, including civil and criminal penalties. When we import any drugs or drug substances, we would be subject to FDA, United States Department of Agriculture, and U.S. Bureau of Customs and Border Patrol import regulation requirements. Such enforcement for our failure or our CROs or CMOs’ failure to comply with these regulations could result in import delays, detention of products, and, depending on criteria such as the history of violative activities, the FDA could place a foreign firm or certain drug substances or products on Import Alert and require that all such drug substances or products be subject to detention without physical examination which could significantly impact the global supply chain for setmelanotide, RM-718, and bivamelagon. With the exception of those on the FDA’s drug shortage list or properly imported by individuals, the FDCA prohibits the importation of prescription drug products for commercial use if they were manufactured in a foreign country, unless they have been approved or are otherwise authorized to be marketed in the United States and are labeled accordingly.</w:t>
      </w:r>
    </w:p>
    <w:p>
      <w:pPr>
        <w:spacing w:after="0" w:line="19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currently contract with third parties for the manufacture of setmelanotide, RM-718, and bivamelagon and intend to continue to do so in the future. We have entered into process development and manufacturing service agreements with our CMOs, Corden Pharma Switzerland, LLC, or Corden, (formerly Peptisyntha SA prior to its acquisition by Corden), and Neuland Laboratories for certain process development and manufacturing services for regulatory starting materials and/or raw materials in connection with the manufacture of setmelanotide. We have entered into long-term commercial supply agreements with PolyPeptide Group and Astrea MONTS S.A.S. for manufacturing of drug substance and drug product for IMCIVREE. Under our agreements, we pay these third parties for services in accordance with the terms of mutually agreed upon work orders, which we may enter into from time to time. We may need to engage additional third-party suppliers to manufacture our clinical and/or commercial (subject to approval) drug supplies. We also have engaged other third parties to assist in, among other things, distribution, post-approval safety reporting and pharmacovigilance activities. We cannot be certain that we can engage third-party suppliers on terms as favorable as those that are currently in place.</w:t>
      </w:r>
    </w:p>
    <w:p>
      <w:pPr>
        <w:spacing w:after="0" w:line="19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do not perform the manufacturing of any drug products and are completely dependent on our CMOs to comply with GMPs and similar foreign requirements for manufacture of both drug substance, or API and finished drug product. We recognize that we are ultimately responsible for ensuring that our drug substances and finished drug product are manufactured in accordance with GMPs and similar foreign requirements, and, therefore, the company’s management practices and oversight, including routine auditing, are critical. If our CMOs cannot successfully manufacture material that conforms to our specifications and the strict regulatory requirements of the FDA or other equivalent competent authorities in foreign jurisdictions, they may be subject to administrative and judicial enforcement for non-compliance and the drug products would be deemed misbranded or adulterated and prohibited from distribution into interstate commerce. Furthermore, all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other company materials and products may affect the regulatory clearance of our CMOs’ facilities generally. In addition, satisfying the regulatory requirements for production of setmelanotide, RM-718, and bivamelagon with multiple suppliers, while assuring more robust drug availability in the future, adds additional complexity and risk to regulatory approval. If the FDA or another equivalent competent foreign regulatory agency does not approve these facilities for the manufacture of setmelanotide, RM-718, and bivamelagon or if it withdraws its approval in the future, we may need to find alternative manufacturing facilities, which would adversely impact our ability to develop, obtain regulatory approval for or market setmelanotide, RM-718, or bivamelagon.</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CMOs are manufacturing finished drug product for use in our upcoming or ongoing clinical trials and for commercial supply. We believe we currently have a sufficient amount of finished setmelanotide, RM-718, bivamelagon, and placebo to complete our ongoing and planned clinical trials, and for commercial IMCIVREE supply. However, these projections could change based on delays encountered with manufacturing activities, equipment scheduling and material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lead times. Any such delays in the manufacturing of finished drug product could delay our planned clinical trials of setmelanotide, RM-718, and bivamelagon, and our commercial IMCIVREE supply, which could delay, prevent or limit our ability to generate revenue and continue our business.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do not have long term supply agreements in place with all of our contractors involved with the manufacturing of our weekly formulation of setmelanotide, RM-718, and bivamelagon. We currently place individual batch or campaign orders with the CMOs/suppliers that are individually contracted under existing master services and quality agreements for the weekly formulation of setmelanotide, RM-718, and bivamelagon. If we engage new contractors, such contractors must be approved by the FDA and other equivalent competent authorities in foreign jurisdictions. We will need to submit information to the FDA and other equivalent competent authorities in foreign jurisdictions describing the manufacturing changes. If manufacturing changes occur post-approval, the FDA and foreign regulatory authorities may have to approve these changes. We plan to continue to rely upon CMOs and, potentially, collaboration partners to manufacture commercial quantities of setmelanotide, RM-718, and bivamelagon, if approved. Our current scale of manufacturing appears adequate to support all of our current needs for clinical trial and initial commercial supplies for setmelanotide, RM-718, and bivamelagon, if approved. Going forward, we may need to identify additional CMOs or partners to produce setmelanotide, RM-718, and bivamelagon on a larger scale.</w:t>
      </w:r>
    </w:p>
    <w:p>
      <w:pPr>
        <w:spacing w:after="0" w:line="19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Certain of our pharmaceutical products are manufactured outside of the United States. Recently, the U.S. government has initiated substantial changes in U.S. trade policy and U.S. trade agreements, including the initiation of tariffs on certain foreign goods, and has indicated an intention to impose tariffs on imported pharmaceutical products. In response to these tariffs, foreign governments have instituted or are considering imposing tariffs on certain U.S. goods, in addition to other retaliatory measures. If the U.S. imposes additional tariffs or other trade measures on pharmaceutical products, and in response other countries take further retaliatory trade measures, these actions could impose additional costs on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maintain issued patents directed to setmelanotide, RM-718, and bivamelagon, others could compete against us sooner, which could have a material adverse impact on our business, results of operations, financial condition and prospects.</w:t>
      </w:r>
    </w:p>
    <w:p>
      <w:pPr>
        <w:spacing w:after="0" w:line="17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cannot provide any assurances that any of our patents have, or that any of our pending patent applications that mature into issued patents will include, claims with a scope sufficient to protect setmelanotide, RM-718, and bivamelagon. In addition, our CHI program intellectual property may not have the scientific value and commercial potential which we envision. Other parties have developed technologies that may be related or competitive to our approach, and may have filed or may file patent applications and may have received or may receive patents that may overlap with our patent applications, either by claiming the same methods or formulations or by claiming subject matter that could dominate our patent positions. The patent positions of biotechnology and pharmaceutical companies, including our patent positions, involve complex legal and factual questions, and, therefore, the issuance, scope, validity and enforceability of any patent claims that we may obtain cannot be predicted with certainty.</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Although an issued patent is presumed valid and enforceable, its issuance is not conclusive as to its validity or its enforceability and such patent may not provide us with adequate proprietary protection or competitive advantages against competitors with similar products. Patents, if issued, may be challenged, deemed unenforceable, invalidated or circumvented. U.S. patents and patent applications or the patents and patent application obtained or submitted pursuant to comparable foreign laws, may also be subject to interference proceedings,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post-grant review proceedings, supplemental examination and challenges in court. Patents may be subjected to opposition or comparable proceedings lodged in various foreign, both national and regional, patent offices. These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setmelanotide, RM-718, or bivamelagon.</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Competitors may also be able to design around our patents. Other parties may develop and obtain patent protection for more effective technologies, designs or methods. The laws of some foreign countries may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setmelanotide, RM-718, or bivamelagon are invalidated or found unenforceable, our financial position and results of operations would be materially and adversely impacted. In addition, if a court found that valid, enforceable patents held by third parties covered setmelanotide, RM-718, or bivamelagon, our financial position and results of operations would also be materially and adversely impacted.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1380" w:right="79" w:hanging="331"/>
        <w:spacing w:after="0" w:line="297"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setmelanotide, RM-718, or bivamelagon;</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IMCIVREE or our other product candidates before our relevant patents expire;</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49"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of others.</w:t>
      </w:r>
    </w:p>
    <w:p>
      <w:pPr>
        <w:spacing w:after="0" w:line="23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rely upon unpatented trade secrets, unpatented know-how, and continuing technological innovation to develop and maintain our competitive positions, which we seek to protect, in part, by confidentiality agreements with employees, consultants, collaborators and vendors. We also have agreements with employees and selected consultants that obligate them to assign their inventions to us. It is possible that technology relevant to our business will be independently developed by a person who is not a party to such an agreement. We may not be able to prevent the unauthorized disclosure or use of our technical knowledge or trade secrets by consultants, collaborators, vendors, former employees and current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employees. Furthermore, if the parties to our confidentiality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 consuming and divert the attention of our management and key personnel from our business operations. Even if we prevail in any lawsuits that we initiate, the damages or other remedies awarded may not be commercially meaningful.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IMCIVREE or our other product candidates.</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 For example, numerous third-party U.S. and non-U.S. patents and pending applications exist that cover melanocortin receptor analogs and methods of using these analogs.</w:t>
      </w:r>
    </w:p>
    <w:p>
      <w:pPr>
        <w:spacing w:after="0" w:line="180"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Other parties may allege that setmelanotide, RM-718, or bivamelagon or the use of our technologies infringes patent claims or other intellectual property rights held by them or that we are employing their proprietary technology without authorization.</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or choose to take a license. In addition, if any such claim were successfully asserted against us and we could not obtain such a license, we may be forced to stop or delay developing, manufacturing, selling or otherwise commercializing IMCIVREE or our other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in order to avoid infringing the intellectual property rights of third parties and any resulting intellectual property litigation or claims, we could be forced to do one or more of the following, which may not be possible and, even if possible, could be costly and time-consuming:</w:t>
      </w:r>
    </w:p>
    <w:p>
      <w:pPr>
        <w:spacing w:after="0" w:line="176" w:lineRule="exact"/>
        <w:rPr>
          <w:sz w:val="20"/>
          <w:szCs w:val="20"/>
          <w:color w:val="auto"/>
        </w:rPr>
      </w:pPr>
    </w:p>
    <w:p>
      <w:pPr>
        <w:ind w:left="1380" w:right="79" w:hanging="331"/>
        <w:spacing w:after="0" w:line="297"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development of setmelanotide and commercialization of IMCIVREE or our other product candidates;</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rename setmelanotide and/or its trade name IMCIVREE.</w:t>
      </w:r>
    </w:p>
    <w:p>
      <w:pPr>
        <w:spacing w:after="0" w:line="23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inventorship or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such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setmelanotide or our other product candidates could be found invalid or unenforceable if challenged in court.</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we or one of our licensing partners threatened or initiated legal proceedings against a third party to enforce a patent covering setmelanotide or one of our other product candidates, the defendant could claim that the patent covering setmelanotide or the other product candidates are invalid and/or unenforceable. In patent litigation in the United States, defendant counterclaims alleging invalidity and/or unenforceability are commonplace. Grounds for a validity challenge include alleged failures to meet any one of several statutory requirements, including novelty, non-obviousness and enablement. Grounds for unenforceability assertions include allegations that someone connected with prosecution of the patent withheld material information from the U.S. PTO, or made a misleading statement, during patent prosecution.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for example, opposition proceedings. Such proceedings could result in revocation or amendment of our patents in such a way that they no longer cover setmelanotide, our other product candidates, or competitive products. The outcome following legal assertions of invalidity and/or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setmelanotide or our other product candidates. Such a loss of patent protection would have a material adverse impact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setmelanotide and our other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and our patents or other intellectual property rights may not be effective or sufficient to prevent them from competing.</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2024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licensed intellectual property. If we were to lose our rights to licensed intellectual property, we may not be able to continue developing or commercializing setmelanotide or bivamelagon.</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licensed our rights to setmelanotide from Ipsen, and our rights to bivamelagon from LGC. Our licenses with Ipsen and LGC impose various obligations on us, and provide Ipsen and LGC the right to terminate the license in the event of our material breach of the license agreement, our failure to initiate or complete certain development of a licensed product, or our commencement of an action seeking to have an Ipsen or LGC licensed patent right declared invalid. Termination of our license from Ipsen or LGC would result in our loss of the right to use the licensed intellectual property, which would materially adversely affect our ability to develop and commercialize setmelanotide and bivamelagon, respectively, as well as harm our competitive business position and our business prospects. Furthermore, if our license agreement with LGC were terminated, we may be subject to certain refunds or be subject to certain payments to LGC.</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also have licensed from Camurus its drug delivery technology, FluidCrystal®, to formulate once-weekly setmelanotide. Our license with Camurus imposes various obligations on us, and provides Camurus the right to terminate the license in the event of our material breach of the license agreement. Termination of our license from Camurus would result in our inability to use the licensed intellectual property.</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may enter into additional license agreements to third-party intellectual property that are necessary or useful to our business. Future licensors may also allege that we have breached our license agreement and may accordingly seek to terminate our license with them. In addition, future licensors may have the right to terminate our license at will. Any termination could result in our loss of the right to use the licensed intellectual property, which could materially adversely affect our ability to develop and commercialize setmelanotide, as well as harm our competitive business position and our business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termination could result in our loss of the right to use the licensed intellectual property, which could materially adversely affect our ability to develop and commercialize setmelanotide or bivamelagon, as well as harm our competitive business position and our business prospects.</w:t>
      </w:r>
    </w:p>
    <w:p>
      <w:pPr>
        <w:spacing w:after="0" w:line="1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have registered trademarks for the commercial trade name IMCIVREE (setmelanotide) in the United States, the European Union, and other jurisdictions, we have not yet obtained trademark protection for IMCIVREE in certain foreign jurisdictions and failure to secure such registrations could adversely affect our business.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While we have received registered trademarks for the commercial trade name IMCIVREE (setmelanotide) and its logo in the United States, the EU, and other countries, we have not yet obtained trademark protection for IMCIVREE in certain foreign jurisdictions and are pursuing trademark registrations in other jurisdictions. Our trademark applications may be rejected during trademark registration proceedings. Although we would be given an opportunity to respond to those rejections, we may be unable to overcome them.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those proceedings.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product exclusivity for setmelanotide and our other product candidates, our business may be materially harmed.</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for setmelanotide and our other product candidates, one or more of the U.S. patents we own or license may be eligible for limited patent term restoration under the Drug Price Competition and Patent Term Restoration Act of 1984, referred to as the Hatch Waxman Amendments. The Hatch Waxman Amendments permit a patent term restoration of up to five years as compensation for patent term lost during product development and the FDA regulatory review process. We have received patent term extension for IMCIVREE and will apply for patent term extension for our other product candidates at the appropriate time, however, we may not be granted an extension for these other product candidates because of, for example, failure to apply within applicable deadlines, failure to apply prior to expiration of relevant patents or otherwise failure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Because setmelanotide contains active ingredients that the FDA has determined to be a new chemical entity, it has been afforded five years of non-patent data exclusivity by the FDA. Following the expiration of this exclusivity period, the FDA may approve generic products referencing the information included in our NDA for setmelanotide. Manufacturers may seek to launch these generic products following the expiration of the applicable marketing exclusivity period, even if we still have patent protection for setmelanotide. Recent legislation enacted by Congress created, among other things, new causes of action against innovator companies that refuse to offer samples of drugs for purposes of testing and developing generic or biosimilar products or to allow companies to participate in a shared Risk Evaluation and Mitigation Strategy (REMS). Competition that setmelanotide may face from generic versions could materially and adversely impact our future revenue, profitability and cash flows and substantially limit our ability to obtain a return on the investments we have made in setmelanotide.</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fail to obtain an extension of patent protection under similar foreign legislation, where applicable, our competitors may obtain approval of competing products following our patent expiration, and our ability to generate revenues could be materially adversely affected in the foreign countries concerned.</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5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United States enacted the America Invents Act of 2011, wide is a wide-ranging patent reform legislation. Further, the U.S. Supreme Court has ruled on several patent cases in recent years, either narrowing the scope of patent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employees have been previously employed at other biotechnology or pharmaceutical companies, including competitors or potential competitors.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damages, we may lose valuable intellectual property rights or personnel. A loss of key personnel or their work product could hamper or prevent our ability to commercialize setmelanotide or our other product candidates, which would materially adversely affect our commercial development efforts.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Setmelanotide and Other Legal and Compliance Matters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the regulatory and marketing approval process is expensive, time consuming and uncertain and may prevent us from obtaining additional approvals for the commercialization of our product candidates. If we are not able to obtain, or if there are delays in obtaining, required regulatory approvals for our product candidates, we will not be able to commercialize such candidates and our ability to generate revenue will be materially impaired.</w:t>
      </w:r>
    </w:p>
    <w:p>
      <w:pPr>
        <w:spacing w:after="0" w:line="18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business depends largely on its successful clinical development, regulatory approval and commercialization of our product candidates. In the United States, IMCIVREE is approved to reduce excess body weight and maintain weight reduction long term in adults and pediatric patients 2 years of age and older with syndromic or monogenic obesity due to BBS or POMC, PCSK1 or LEPR deficiency as determined by an FDA-approved test demonstrating variants in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PCSK1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LEPR </w:t>
      </w:r>
      <w:r>
        <w:rPr>
          <w:rFonts w:ascii="Times New Roman" w:cs="Times New Roman" w:eastAsia="Times New Roman" w:hAnsi="Times New Roman"/>
          <w:sz w:val="18"/>
          <w:szCs w:val="18"/>
          <w:color w:val="auto"/>
        </w:rPr>
        <w:t>genes that are interpreted as pathogenic, likely pathogenic, or of uncertain significance.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has approved IMCIVREE for weight management in adult and pediatric patients 6 years of age and older with obesity due to BBS or genetically-confirmed POMC, PCSK1, or LEPR deficiency due to variants interpreted as pathogenic, likely pathogenic, or of VUS. The EC has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The UK’s MHRA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Setmelanotide will require substantial additional clinical development, testing and regulatory approval before we are permitted to commence commercialization in indications beyond those currently approved for IMCIVREE in the United States, the EU and the United Kingdom, and our other product candidates will require similar efforts before we are permitted to commercialize them for any indication. The clinical trials, manufacturing and marketing of our product candidates are subject to extensive and rigorous review and regulation by numerous government authorities in the United States and in other countries where we intend to test and, if approved, market such product candidates.</w:t>
      </w:r>
    </w:p>
    <w:p>
      <w:pPr>
        <w:spacing w:after="0" w:line="19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 candidate, we must demonstrate through nonclinical testing and clinical trials that the product candidate is safe and effective for use in each target indication. This process can take many years and approval, if any, may be conditional on postmarketing studies and surveillance, and will require the expenditure of substantial resources beyond our existing cash resources. Of the large number of drugs in development in the United States and in other countries, only a small percentage will successfully complete the FDA regulatory approval process or the equivalent process in foreign jurisdictions and will be commercialized. In addition, we have not discussed all of our proposed development programs with the FDA or the competent authorities of foreign jurisdictions. Accordingly, even if we are able to obtain the requisite financing to continue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 fund our development and clinical trials, we cannot assure you that setmelanotide will be successfully developed or commercialized.</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obtaining FDA or EC approval is a complex, lengthy, expensive and uncertain process, and the FDA, EMA or equivalent competent authorities in foreign jurisdictions may delay, limit or deny approval of our product candidates for many reasons, including, among others:</w:t>
      </w:r>
    </w:p>
    <w:p>
      <w:pPr>
        <w:spacing w:after="0" w:line="176" w:lineRule="exact"/>
        <w:rPr>
          <w:sz w:val="20"/>
          <w:szCs w:val="20"/>
          <w:color w:val="auto"/>
        </w:rPr>
      </w:pPr>
    </w:p>
    <w:p>
      <w:pPr>
        <w:jc w:val="both"/>
        <w:ind w:left="1380" w:right="79" w:hanging="331"/>
        <w:spacing w:after="0" w:line="281"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disagree with our interpretation of data from clinical trials, or may change the requirements for approval even after it has reviewed and commented on the design for our clinical trials;</w:t>
      </w:r>
    </w:p>
    <w:p>
      <w:pPr>
        <w:spacing w:after="0" w:line="163"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satisfaction of the FDA, the EMA, or other equivalent competent authorities in foreign jurisdictions that our product candidates are safe and effective for their intended uses;</w:t>
      </w:r>
    </w:p>
    <w:p>
      <w:pPr>
        <w:spacing w:after="0" w:line="163" w:lineRule="exact"/>
        <w:rPr>
          <w:rFonts w:ascii="Times New Roman" w:cs="Times New Roman" w:eastAsia="Times New Roman" w:hAnsi="Times New Roman"/>
          <w:sz w:val="18"/>
          <w:szCs w:val="18"/>
          <w:color w:val="auto"/>
        </w:rPr>
      </w:pPr>
    </w:p>
    <w:p>
      <w:pPr>
        <w:jc w:val="both"/>
        <w:ind w:left="1380" w:right="79" w:hanging="331"/>
        <w:spacing w:after="0" w:line="271"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be interpretable or meet the level of statistical or clinical significance required by the FDA, the EMA, or other equivalent competent authorities in foreign jurisdictions for marketing approval. For example, the potential unblinding of setmelanotide studies due to easily identifiable AEs may raise the concern that potential bias has affected the clinical trial results;</w:t>
      </w:r>
    </w:p>
    <w:p>
      <w:pPr>
        <w:spacing w:after="0" w:line="185"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disagree with the number, size, conduct or implementation of our clinical trials;</w:t>
      </w:r>
    </w:p>
    <w:p>
      <w:pPr>
        <w:spacing w:after="0" w:line="149"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require that we conduct additional clinical trials or pre-clinical studies;</w:t>
      </w:r>
    </w:p>
    <w:p>
      <w:pPr>
        <w:spacing w:after="0" w:line="149" w:lineRule="exact"/>
        <w:rPr>
          <w:rFonts w:ascii="Times New Roman" w:cs="Times New Roman" w:eastAsia="Times New Roman" w:hAnsi="Times New Roman"/>
          <w:sz w:val="18"/>
          <w:szCs w:val="18"/>
          <w:color w:val="auto"/>
        </w:rPr>
      </w:pPr>
    </w:p>
    <w:p>
      <w:pPr>
        <w:jc w:val="both"/>
        <w:ind w:left="1380" w:right="79" w:hanging="331"/>
        <w:spacing w:after="0" w:line="271"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or the applicable foreign regulatory agency may identify deficiencies in our chemistry, manufacturing or controls of our product candidates, or in the commercial production of such product candidates that may be required to support product approval;</w:t>
      </w:r>
    </w:p>
    <w:p>
      <w:pPr>
        <w:spacing w:after="0" w:line="185"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 that we retain to conduct our clinical trials may take actions outside of our control that materially adversely impact our clinical trials;</w:t>
      </w:r>
    </w:p>
    <w:p>
      <w:pPr>
        <w:spacing w:after="0" w:line="149"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find the data from preclinical studies and clinical trials insufficient to demonstrate that clinical and other benefits of a product candidate outweigh its safety risks;</w:t>
      </w:r>
    </w:p>
    <w:p>
      <w:pPr>
        <w:spacing w:after="0" w:line="163"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disagree with our interpretation of data from our preclinical studies and clinical trials;</w:t>
      </w:r>
    </w:p>
    <w:p>
      <w:pPr>
        <w:spacing w:after="0" w:line="149"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competent authorities in foreign jurisdictions may not approve the formulation, labeling or specifications of our product candidates;</w:t>
      </w:r>
    </w:p>
    <w:p>
      <w:pPr>
        <w:spacing w:after="0" w:line="149"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not accept data generated at our clinical trial sites;</w:t>
      </w:r>
    </w:p>
    <w:p>
      <w:pPr>
        <w:spacing w:after="0" w:line="149"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the equivalent competent authorities in foreign jurisdictions may require, as a condition of approval, additional preclinical studies or clinical trials, limitations on approved labeling or distribution and use restrictions;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97"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any post-market requirements or commitments agreed to in connection with regulatory approvals</w:t>
      </w:r>
    </w:p>
    <w:p>
      <w:pPr>
        <w:spacing w:after="0" w:line="149"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REMS as a condition of additional approvals or may impose additional requirements that limit the promotion, advertising, distribution, or sales of our product candidate;</w:t>
      </w:r>
    </w:p>
    <w:p>
      <w:pPr>
        <w:spacing w:after="0" w:line="163"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 may grant only conditional marketing authorization or based on the EMA’s opinion impose specific obligations as a condition for marketing authorization, or may require us to conduct post authorization safety studies as a condition of grant of marketing authorization;</w:t>
      </w:r>
    </w:p>
    <w:p>
      <w:pPr>
        <w:spacing w:after="0" w:line="163"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competent foreign regulatory agencies may deem our manufacturing processes or our facilities or the facilities of our CMOs inadequate to preserve the identity, strength, quality, purity, or potency of our product; or</w:t>
      </w:r>
    </w:p>
    <w:p>
      <w:pPr>
        <w:spacing w:after="0" w:line="163"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equivalent competent authorities in foreign jurisdictions may change its approval policies or adopt new regulations and guidance.</w:t>
      </w:r>
    </w:p>
    <w:p>
      <w:pPr>
        <w:spacing w:after="0" w:line="14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additional regulatory approvals, or to successfully market IMCIVREE. Moreover, because our business is largely dependent upon setmelanotide, any such setback in our pursuit of regulatory approvals would have a material adverse effect on our business and prospects.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regulatory legislation or regulation may increase the difficulty and cost for us to obtain marketing approval of and commercialize our product candidates.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EU pharmaceutical legislation is currently undergoing a complete review process, in the context of the Pharmaceutical Strategy for Europe initiative, launched by the EC in November 2020. The EC’s proposal for a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the United States, the FDA oversees the rare pediatric disease priority review voucher program (the “PRV Program”), which aims to incentive drug development for rare pediatric diseases. Under the PRV Program, a company sponsor that receives a drug approval may qualify for a voucher that can be redeemed to receive priority review for a different product and these vouchers can be transferred or sold. Under the current provisions in the law enacting the PRV Program, the PRV Program began to sunset after December 20, 2024. These changes to the PRV Program could impact existing and future development programs and could negatively impact our business.</w:t>
      </w:r>
    </w:p>
    <w:p>
      <w:pPr>
        <w:spacing w:after="0" w:line="18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including those caused by changing presidential administrations and related priorities, funding shortages staffing or other resource limitations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or approve new products can be affected by a variety of factors, including reductions in force or hiring freezes, government budget and funding levels, statutory, regulatory, and policy changes, the FDA’s and foreign regulatory authorities’ ability to hire and retain key personnel and accept the payment of user fees, and other events that may otherwise affect the FDA’s and foreign regulatory authorities’ ability to perform routine functions, including uncertainty associated with the new presidential administration in the United States. Average review times at the FDA and foreign regulatory authorities have fluctuated in recent years as a result of some of these factors and could also fluctuate in the future. In addition, government funding of other government agencies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and started to implement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activities.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If a prolonged government shutdown occurs, or if global health concerns, funding shortages or staffing limitations or any other disruptions prevent or hinder the FDA or other regulatory authorities from conducting their regular inspections, reviews, or other activities, including providing us with advice on our development programs in a timely manner, such events could significantly impact the ability of the FDA or other regulatory authorities to timely review and process our regulatory submissions, which could have a material adverse effect on our business.</w:t>
      </w:r>
    </w:p>
    <w:p>
      <w:pPr>
        <w:spacing w:after="0" w:line="18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approval in foreign jurisdictions would prevent setmelanotide or our other product candidates from being marketed abroad, and any current or future approvals we have been or may be granted for setmelanotide or other products in the United States would not assure approval of setmelanotide or other products in foreign jurisdictions.</w:t>
      </w:r>
    </w:p>
    <w:p>
      <w:pPr>
        <w:spacing w:after="0" w:line="180"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order to market and sell setmelanotide and any other product candidate that we may develop in the EU and many other jurisdictions, we or our third-party collaborators must obtain separate marketing authorizations and comply with numerous and varying regulatory requirements. The marketing authorization procedure varies among countries and can involve additional testing. The time required to obtain marketing authorization may differ substantially from that required to obtain FDA approval. The marketing authorization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these third parties may not obtain marketing authorization from competent authorities outside the United States on a timely basis, if at all. Approval by the FDA does not ensure grant of marketing authorization by competent authorities in other countries or jurisdictions, and grant of marketing authorization by one competent authority outside the United States does not ensure grant of marketing authorization by competent authorities in other countries or jurisdictions or by the FDA. We may not be able to file for marketing authorizations and may not receive necessary marketing authorization to commercialize setmelanotide in any market. Additionally, the UK’s withdrawal from the EU, commonly referred to as Brexit, has resulted in the relocation of the EMA from the UK to the Netherlands. This relocation has caused, and may continue to cause, disruption in the administrative and medical scientific links between the EMA and the MHRA, including delays in granting clinical trial authorization or marketing authorization,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setmelanotide, or any other product candidates in the EU and/or the UK. Although we have obtained FDA approval and marketing authorization from the EC and the MHRA for setmelanotide, any delay in obtaining, or an inability to obtain, any marketing authorization, for any of our other product candidates,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marketing authorization in the UK and/or EU for any of our other product candidates, which could significantly and materially harm our business.</w:t>
      </w:r>
    </w:p>
    <w:p>
      <w:pPr>
        <w:spacing w:after="0" w:line="20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current and future potential marketing approvals for setmelanotide and other product candidates and ongoing regulation may limit how we manufacture and market setmelanotide and other products, and compliance with such requirements may involve substantial resources, which could materially impair our ability to generate revenue.</w:t>
      </w:r>
    </w:p>
    <w:p>
      <w:pPr>
        <w:spacing w:after="0" w:line="17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Regulatory authorities may impose significant restrictions on setmelanotide’s indicated uses or marketing or impose ongoing requirements for potentially costly post approval studies, and the same may be true for our other product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candidates, if approved. We and setmelanotide will also be subject to ongoing requirements by the FDA and foreign regulatory authorities, governing labeling, packaging, storage, advertising, promotion, marketing, distribution, importation, exportation, post-approval changes, manufacturing, recordkeeping, and submission of safety and other post market information. Advertising and promotional materials must comply with the FDCA and implementing regulations and foreign regulations and are subject to FDA and foreign regulatory authorities oversight and post-marketing reporting obligations, in addition to other potentially applicable federal and state laws. The FDA and the other competent foreign authorities have significant post market authority, including, for example, the authority to require labeling changes based on new safety information and to require post market studies or clinical trials to evaluate serious safety risks related to the use of a drug. The FDA and foreign regulatory authorities also has the authority to require, as part of an NDA or similar foreign application or post approval, the submission of a REMS or other specific obligations, which may include Elements to Assure Safe Use. Any REMS or other specific obligations required by the FDA or foreign regulatory authorities may lead to increased costs to assure compliance with new post approval regulatory requirements and potential requirements or restrictions on the sale of approved products, all of which could lead to lower sales volume and revenue. The holder of an approved NDA also must submit new or supplemental applications and obtain FDA approval for certain changes to the approved product, product labeling or manufacturing process, or adding new manufacturers. Similar requirements apply in foreign jurisdictions.</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Manufacturers of drug products and their facilities may be subject to payment of application and program fees and are subject to continual review and periodic inspections by the FDA and other equivalent competent authorities for compliance with cGMPs and other regulations. If we or a regulatory agency discover problems with setmelanotide, such as AEs of unanticipated severity or frequency, or problems with the facility where setmelanotide is manufactured or disagrees with the promotion, marketing or labeling of the product, a regulatory agency may impose restrictions on setmelanotide, the manufacturer or us, including requiring withdrawal of setmelanotide from the market or suspension of manufacturing. If we or the manufacturing facilities for setmelanotide fail to comply with applicable regulatory requirements, a regulatory agency may, among other things:</w:t>
      </w:r>
    </w:p>
    <w:p>
      <w:pPr>
        <w:spacing w:after="0" w:line="192" w:lineRule="exact"/>
        <w:rPr>
          <w:sz w:val="20"/>
          <w:szCs w:val="20"/>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 suspend or withdraw marketing approval;</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submitted by us;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setmelanotide, refuse to permit the import or export of setmelanotide, or request that we initiate a product recall.</w:t>
      </w:r>
    </w:p>
    <w:p>
      <w:pPr>
        <w:spacing w:after="0" w:line="14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20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Accordingly,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setmelanotide withdrawn by regulatory authorities and our ability to market any future products could be limited, which could adversely affect our ability to achieve or sustain profitability. Thus, the cost of compliance with post-approval regulations may have a negative effect on our operating results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a sponsor’s responsibilities and obligations under the FDCA and FDA regulations,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Similar to the United States, both marketing authorization holders and manufacturers of medicinal products are subject to comprehensive regulatory oversight by the EMA and the competent authorities of the individual EU member states, both before and after grant of the manufacturing and marketing authorizations. This oversight includes control of compliance with GMP rules, which govern quality control of the manufacturing process and require documentation policies and procedures. We and our third-party manufacturers would be required to ensure that all of our processes, methods, and equipment are compliant with GMP. Failure by us or by any of our third-party partners, including suppliers, manufacturers, and distributors to comply with EU laws and the related national laws of individual EU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revocation or variation of the marketing authorization, total or partial suspension of production, distribution, manufacturing, or clinical trials, operating restrictions, injunctions, suspension of licenses, fines, and criminal penalties.</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EU legislation related to pharmacovigilance, or the assessment and monitoring of the safety of medicinal products, provides that the EMA and the competent authorities of the EU member states have the authority to require companies to conduct additional post-approval clinical efficacy and safety studies. The legislation also governs the obligations of marketing authorization holders with respect to additional monitoring, AE management and reporting. Under the pharmacovigilance legislation and its related regulations and guidelines, we may be required to conduct a labor intensive collection of data regarding the risks and benefits of marketed products and may be required to engage in ongoing assessments of those risks and benefits, including the possible requirement to conduct additional clinical studies, which may be time consuming and expensive and could impact our profitability. Noncompliance with such obligations can lead to the variation, suspension or withdrawal of marketing authorization or imposition of financial penalties or other enforcement measures.</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and any future collaborators to commercialize setmelanotide and may adversely affect the prices we, or they, may obtain and may have a negative impact on our business and results of operations.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a number of legislative and regulatory changes and proposed changes regarding the healthcare system that could, among other things, restrict or regulate post-approval activities with respect to IMCIVREE and affect our ability, or the ability of any future collaborators, to profitably sell our products. Among policy makers and payors in the United States and elsewhere, particularly under the new presidential administration,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as well as other healthcare reform measures that may be adopted in the future, including executive orders, may result in more rigorous coverage criteria and in additional downward pressure on the price that we, or any future collaborators, may receive for IMCIVREE or any product candidates approved for sale. New and changing laws and regulations may also create uncertainty about how such laws and regulations will be interpreted and applied. If the Company is found to have violated laws and regulations, it could materially adversely affect the Company’s business, results of operations and financial condition.</w:t>
      </w:r>
    </w:p>
    <w:p>
      <w:pPr>
        <w:spacing w:after="0" w:line="18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Patient Protection and Affordable Care Act (ACA) was signed into law in 2010. The ACA substantially changed the way healthcare is financed by both governmental and private insurers, and significantly affects the U.S. pharmaceutical industry. Among the provisions of the ACA of importance to our business, including, without limitation,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our ability to commercialize and the prices we may obtain for any product candidates that are approved for sale, are the following:</w:t>
      </w:r>
    </w:p>
    <w:p>
      <w:pPr>
        <w:spacing w:after="0" w:line="162" w:lineRule="exact"/>
        <w:rPr>
          <w:sz w:val="20"/>
          <w:szCs w:val="20"/>
          <w:color w:val="auto"/>
        </w:rPr>
      </w:pPr>
    </w:p>
    <w:p>
      <w:pPr>
        <w:jc w:val="both"/>
        <w:ind w:left="1380" w:right="79" w:hanging="331"/>
        <w:spacing w:after="0" w:line="271"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p>
      <w:pPr>
        <w:spacing w:after="0" w:line="185"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63" w:lineRule="exact"/>
        <w:rPr>
          <w:rFonts w:ascii="Times New Roman" w:cs="Times New Roman" w:eastAsia="Times New Roman" w:hAnsi="Times New Roman"/>
          <w:sz w:val="18"/>
          <w:szCs w:val="18"/>
          <w:color w:val="auto"/>
        </w:rPr>
      </w:pPr>
    </w:p>
    <w:p>
      <w:pPr>
        <w:jc w:val="both"/>
        <w:ind w:left="1380" w:right="79" w:hanging="331"/>
        <w:spacing w:after="0" w:line="271"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manufacturers’ rebate liability under the Medicaid Drug Rebate Program by increasing the minimum rebate for both branded and generic drugs, revising the “average manufacturer price” definition, and extending rebate liability from fee-for-service Medicaid utilization to include the utilization of Medicaid managed care organizations as well;</w:t>
      </w:r>
    </w:p>
    <w:p>
      <w:pPr>
        <w:spacing w:after="0" w:line="185" w:lineRule="exact"/>
        <w:rPr>
          <w:rFonts w:ascii="Times New Roman" w:cs="Times New Roman" w:eastAsia="Times New Roman" w:hAnsi="Times New Roman"/>
          <w:sz w:val="18"/>
          <w:szCs w:val="18"/>
          <w:color w:val="auto"/>
        </w:rPr>
      </w:pPr>
    </w:p>
    <w:p>
      <w:pPr>
        <w:jc w:val="both"/>
        <w:ind w:left="1380" w:right="79" w:hanging="331"/>
        <w:spacing w:after="0" w:line="271"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list of entity types eligible for participation in the Public Health Service 340B drug pricing program, or the 340B program, to include certain free-standing cancer hospitals, critical access hospitals, rural referral centers, and sole community hospitals, but exempting “orphan drugs,” such as IMCIVREE, from the 340B ceiling price requirements for these covered entities;</w:t>
      </w:r>
    </w:p>
    <w:p>
      <w:pPr>
        <w:spacing w:after="0" w:line="185"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 Centered Outcomes Research Institute to oversee, identify priorities in, and conduct comparative clinical effectiveness research, along with funding for such research; and</w:t>
      </w:r>
    </w:p>
    <w:p>
      <w:pPr>
        <w:spacing w:after="0" w:line="149"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Center for Medicare and Medicaid Innovation within CMS to test innovative payment and service delivery models to lower Medicare and Medicaid spending, including prescription drug spending.</w:t>
      </w:r>
    </w:p>
    <w:p>
      <w:pPr>
        <w:spacing w:after="0" w:line="16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Since its enactment, certain provisions of the ACA have been subject to judicial, executive, and legislative challenges and may be subject to additional challenges in the future.</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Additional changes that may affect our business include the expansion of new programs such as Medicare payment for performance initiatives for physicians under the Medicare Access and CHIP Reauthorization Act of 2015, or MACRA, which was fully implemented in 2019. 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Most significantly, in August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Under the IRA manufacturer discount program that replaced the coverage gap discount program as of January 1, 2025, manufacturers must give a 10 percent discount on Part D drugs in the initial coverage phase, and a 20 percent discount on Part D drugs in the so-called “catastrophic phase” (the phase after the patient incurs costs above the initial phase out-of-pocket threshold, which is $2,000 beginning in 2025). The IRA allows the 10 and 20 percent discounts to be phased in over time for certain drugs for “specified manufacturers.” In April 2024, CMS informed us that we are deemed a specified manufacturer. We are still evaluating the potential impact of this status on our future revenues.</w:t>
      </w:r>
    </w:p>
    <w:p>
      <w:pPr>
        <w:spacing w:after="0" w:line="187" w:lineRule="exact"/>
        <w:rPr>
          <w:sz w:val="20"/>
          <w:szCs w:val="20"/>
          <w:color w:val="auto"/>
        </w:rPr>
      </w:pPr>
    </w:p>
    <w:p>
      <w:pPr>
        <w:jc w:val="both"/>
        <w:ind w:left="60" w:right="59" w:firstLine="648"/>
        <w:spacing w:after="0" w:line="274" w:lineRule="auto"/>
        <w:rPr>
          <w:sz w:val="20"/>
          <w:szCs w:val="20"/>
          <w:color w:val="auto"/>
        </w:rPr>
      </w:pPr>
      <w:r>
        <w:rPr>
          <w:rFonts w:ascii="Times New Roman" w:cs="Times New Roman" w:eastAsia="Times New Roman" w:hAnsi="Times New Roman"/>
          <w:sz w:val="17"/>
          <w:szCs w:val="17"/>
          <w:color w:val="auto"/>
        </w:rPr>
        <w:t>IMCIVREE is not currently reimbursed under Medicare Part D, but if we were to be reimbursed under Medicare Part D in the future, the reimbursement amount will be impacted by the 10 and 20 percent discounts under the IRA’s new discounting program. We anticipate that these increased discounts could impact IMCIVREE revenues, while also having an industry-wide impact on the cost of Part D drugs. The impact on IMCIVREE revenues could be offset because the IRA’s redesign of certain Part D components, some of which went into effect in 2024, resulted in an increase in the number of patients able to afford this therapy. The amount of the offset, if any, is inherently uncertain and difficult to predict.</w:t>
      </w:r>
    </w:p>
    <w:p>
      <w:pPr>
        <w:spacing w:after="0" w:line="17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IRA manufacturer discounting program also increases financial obligations of Part D prescription drug plans with respect to beneficiaries in the catastrophic coverage phase. This may incentivize Part D prescription drug plans to seek greater price concessions from us in order to include IMCIVREE on their formularies.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Congress and the current Presidential administration are considering significant reductions in the funding of the Medicaid program. If such reductions are adopted and decrease the number of persons enrolled in Medicaid or reduce the services covered by Medicaid, or the extent of reimbursement for Medicaid covered services, our sales of IMCIVREE and our business could be adversely affected.</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Moreover, the federal government and the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drug price increase reporting, and other transparency measures. Some states have enacted legislation creating so-called prescription drug affordability boards, which ultimately may attempt to impose price limits on certain drugs in these states. These types of initiatives may result in additional reductions in Medicare, Medicaid, and other healthcare funding, and may otherwise affect the prices we may obtain for IMCIVREE or the frequency with which IMCIVREE is prescribed or used.</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and payment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setmelanotide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 </w:t>
      </w:r>
      <w:r>
        <w:rPr>
          <w:rFonts w:ascii="Times New Roman" w:cs="Times New Roman" w:eastAsia="Times New Roman" w:hAnsi="Times New Roman"/>
          <w:sz w:val="18"/>
          <w:szCs w:val="18"/>
          <w:i w:val="1"/>
          <w:iCs w:val="1"/>
          <w:color w:val="auto"/>
        </w:rPr>
        <w:t>“The successful commercialization of IMCIVREE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any other product candidates for which we obtain approval will depend in part on the extent to which governmental authorities, private health insurers, and other third-party payors provide coverage and adequate reimbursement levels. Failure to obtain or maintain coverage and adequate reimbursement for IMCIVREE or our other product candidates, if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any and if approved, could limit our ability to market those products and decrease our ability to generate revenue” </w:t>
      </w:r>
      <w:r>
        <w:rPr>
          <w:rFonts w:ascii="Times New Roman" w:cs="Times New Roman" w:eastAsia="Times New Roman" w:hAnsi="Times New Roman"/>
          <w:sz w:val="18"/>
          <w:szCs w:val="18"/>
          <w:color w:val="auto"/>
        </w:rPr>
        <w:t>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w:t>
      </w:r>
    </w:p>
    <w:p>
      <w:pPr>
        <w:spacing w:after="0" w:line="15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Medicaid is a joint federal and state program administered by the states for low income and disabled beneficiaries. We participate in and have certain price reporting obligations under the Medicaid Drug Rebate Program, or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United States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recently-enacted IRA imposes rebates under Medicare Part B and Medicare Part D that are triggered by price increases that outpace inflation (first due in 2023), as described under the risk factor “</w:t>
      </w:r>
      <w:r>
        <w:rPr>
          <w:rFonts w:ascii="Times New Roman" w:cs="Times New Roman" w:eastAsia="Times New Roman" w:hAnsi="Times New Roman"/>
          <w:sz w:val="18"/>
          <w:szCs w:val="18"/>
          <w:i w:val="1"/>
          <w:iCs w:val="1"/>
          <w:color w:val="auto"/>
        </w:rPr>
        <w:t>Current and future healthcare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legislation or regulation may increase the difficulty and cost for us and any future collaborators to obtain marketing approval of and commercialize setmelanotide and may adversely affect the prices we, or they, may obtain and may have a negative impact on our business and results of operations</w:t>
      </w:r>
      <w:r>
        <w:rPr>
          <w:rFonts w:ascii="Times New Roman" w:cs="Times New Roman" w:eastAsia="Times New Roman" w:hAnsi="Times New Roman"/>
          <w:sz w:val="18"/>
          <w:szCs w:val="18"/>
          <w:color w:val="auto"/>
        </w:rPr>
        <w:t>,” above. The Medicare Part D rebate will be calculated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of the AMP figures we report pursuant to the MDRP.</w:t>
      </w:r>
    </w:p>
    <w:p>
      <w:pPr>
        <w:spacing w:after="0" w:line="187"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7"/>
          <w:szCs w:val="17"/>
          <w:color w:val="auto"/>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or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such as IMCIVREE, from the ceiling price requirements for these covered entities.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manufacturer price and the Medicaid rebate amount under legislation or regulation could affect our 340B ceiling price calculations and also negatively impact our financial results.</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order for IMCIVREE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59" w:lineRule="exact"/>
        <w:rPr>
          <w:sz w:val="20"/>
          <w:szCs w:val="20"/>
          <w:color w:val="auto"/>
        </w:rPr>
      </w:pPr>
    </w:p>
    <w:p>
      <w:pPr>
        <w:jc w:val="both"/>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the FDA. For example, the FDA-approved label for IMCIVREE is limited to the reduction of excess body weight and maintenance of weight reduction long term in adult and pediatric patients 2 years of age and older with monogenic or syndromic obesity due to BBS or POMC, PCSK1, or LEPR, deficiency confirmed by FDA-approved test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demonstrating variants in POMC, PCSK1, or LEPR genes that are interpreted as pathogenic, likely pathogenic, or of uncertain significance.</w:t>
      </w:r>
    </w:p>
    <w:p>
      <w:pPr>
        <w:spacing w:after="0" w:line="162" w:lineRule="exact"/>
        <w:rPr>
          <w:sz w:val="20"/>
          <w:szCs w:val="20"/>
          <w:color w:val="auto"/>
        </w:rPr>
      </w:pPr>
    </w:p>
    <w:p>
      <w:pPr>
        <w:jc w:val="both"/>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we are actively evaluating setmelanotide, the active ingredient in IMCIVREE, in subjects with other forms of obesity caused by defects in the MCR4 pathway. We are not currently permitted to, and do not, market or promote setmelanotide for these uses.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Regulatory authorities in the United States generally do not regulate the behavior of physicians in their choice of treatments. Regulatory authorities do, however, restrict communications by pharmaceutical companies on the subject of off-label use. Although recent court decisions suggest that certain off-label promotional activities may be protected under the First Amendment, the scope of any such protection is unclear.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EU, the advertising and promotion of our products are subject to EU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 label promotion. The off label promotion of medicinal products is prohibited in the EU. The applicable laws at EU level and in the individual EU member states also prohibit the direct to consumer advertising of prescription 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18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federal, state and foreign healthcare laws and regulations, including fraud and abuse laws, health information privacy and security laws, and antitrust laws. If we are unable to comply or have not fully complied with such laws and regulations, we could face criminal sanctions, damages, substantial civil penalties, reputational harm and diminished profits and future earnings.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others will play a primary role in the recommendation and prescription of setmelanotide, and other product candidates, if approved. Our arrangements and interactions with healthcare professionals, third-party payors, patients and others will expose us to broadly applicable fraud and abuse, antikickback, false claims and other healthcare laws and regulations that may constrain the business or financial arrangements and relationships through which we market, sell and distribute setmelanotide, if we obtain marketing approval. The U.S. federal, state and foreign healthcare laws and regulations that may affect our ability to operate include, but are not limited to:</w:t>
      </w:r>
    </w:p>
    <w:p>
      <w:pPr>
        <w:spacing w:after="0" w:line="187" w:lineRule="exact"/>
        <w:rPr>
          <w:sz w:val="20"/>
          <w:szCs w:val="20"/>
          <w:color w:val="auto"/>
        </w:rPr>
      </w:pPr>
    </w:p>
    <w:p>
      <w:pPr>
        <w:jc w:val="both"/>
        <w:ind w:left="1380" w:right="79" w:hanging="331"/>
        <w:spacing w:after="0" w:line="284" w:lineRule="auto"/>
        <w:tabs>
          <w:tab w:leader="none" w:pos="13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United States federal healthcare Anti-Kickback Statute, which prohibits, among other things, persons and entities from knowingly and willfully soliciting, offering, paying, or receiving remuneration, (anything of value), directly or indirectly, in cash or in kind, to induce or reward either the referral of an individual for, or the purchase, lease order or arranging for or recommending the purchase, lease or order of any good or service for which payment may be made, in whole or in part, by federal healthcare programs such as Medicare and Medicaid. This statute has been interpreted to apply to arrangements between pharmaceutical companies on one hand and prescribers, purchasers, formulary managers,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spacing w:after="0" w:line="264" w:lineRule="auto"/>
        <w:rPr>
          <w:sz w:val="20"/>
          <w:szCs w:val="20"/>
          <w:color w:val="auto"/>
        </w:rPr>
      </w:pPr>
      <w:r>
        <w:rPr>
          <w:rFonts w:ascii="Times New Roman" w:cs="Times New Roman" w:eastAsia="Times New Roman" w:hAnsi="Times New Roman"/>
          <w:sz w:val="18"/>
          <w:szCs w:val="18"/>
          <w:color w:val="auto"/>
        </w:rPr>
        <w:t>patients on the other. Liability under the Anti-Kickback Statute may be established without proving actual knowledge of the statute or specific intent to violate it. Although there are a number of statutory exceptions and regulatory safe harbors to the federal Anti-Kickback Statute protecting certain common business arrangements and activities from prosecution or regulatory sanctions, the exceptions and safe harbors are drawn narrowly. Practices that involve remuneration to those who prescribe, purchase, or recommend pharmaceutical and biological products, including certain discounts, or engaging such individuals or patients as consultants, advisors, or speakers, may be subject to scrutiny if they do not fit squarely within an exception or safe harbor. Our practices may not in all cases meet all of the criteria for safe harbor protection from anti-kickback liability. Moreover, there are no safe harbors for many common practices, such as educational and research grants, charitable donations, product and patient support programs.</w:t>
      </w:r>
    </w:p>
    <w:p>
      <w:pPr>
        <w:spacing w:after="0" w:line="182" w:lineRule="exact"/>
        <w:rPr>
          <w:sz w:val="20"/>
          <w:szCs w:val="20"/>
          <w:color w:val="auto"/>
        </w:rPr>
      </w:pPr>
    </w:p>
    <w:p>
      <w:pPr>
        <w:jc w:val="both"/>
        <w:ind w:left="1380" w:right="79" w:hanging="331"/>
        <w:spacing w:after="0" w:line="262"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prohibits individuals or entities from, among other things, knowingly presenting, or causing to be presented a false or fraudulent claim for payment of government funds, or knowingly making, using or causing to made or used a false record or statement material to an obligation to pay money to the government or knowingly concealing or knowingly and improperly avoiding, decreasing or concealing an obligation to pay money to the federal government. Actions under the False Claims Act may be brought by the Attorney General or as a qui tam action by a private individual in the name of the government. Such private individuals may share in amounts paid by the entity to the government in recovery or settlement. Many pharmaceutical manufacturers have been investigated and have reached substantial financial settlements with the federal government under the civil False Claims Act for a variety of alleged improper activities including causing false claims to be submitted as a result of the marketing of their products for unapproved and thus non-reimbursable uses, inflating prices reported to private price publication services which are used to set drug payment rates under government healthcare programs, and other interactions with prescribers and other customers including those that may have affected their billing or coding practices and submission to the federal government. The government may assert that a claim including items or services resulting from a violation of the federal Anti-Kickback Statute constitutes a false or fraudulent claim for purposes of the federal civil False Claims Act. False Claims Act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p>
      <w:pPr>
        <w:spacing w:after="0" w:line="186" w:lineRule="exact"/>
        <w:rPr>
          <w:rFonts w:ascii="Times New Roman" w:cs="Times New Roman" w:eastAsia="Times New Roman" w:hAnsi="Times New Roman"/>
          <w:sz w:val="18"/>
          <w:szCs w:val="18"/>
          <w:color w:val="auto"/>
        </w:rPr>
      </w:pPr>
    </w:p>
    <w:p>
      <w:pPr>
        <w:jc w:val="both"/>
        <w:ind w:left="1380" w:right="79" w:hanging="331"/>
        <w:spacing w:after="0" w:line="263"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or HIPAA, imposes criminal and civil liability for executing a scheme to defraud any healthcare benefit program, including private third-party payors, and also imposes obligations, with respect to safeguarding the privacy, security and transmission of individually identifiable health information. Penalties for failure to comply with a requirement of HIPAA vary significantly and include civil monetary penalties as well as criminal penalties for knowingly obtaining or disclosing individually identifiable health information in violation of HIPAA. The criminal penalties increase if the wrongful conduct involves false pretenses or the intent to sell, transfer or use identifiable health information for commercial advantage, personal gain or malicious harm. HIPAA also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spacing w:after="0" w:line="297" w:lineRule="auto"/>
        <w:rPr>
          <w:sz w:val="20"/>
          <w:szCs w:val="20"/>
          <w:color w:val="auto"/>
        </w:rPr>
      </w:pPr>
      <w:r>
        <w:rPr>
          <w:rFonts w:ascii="Times New Roman" w:cs="Times New Roman" w:eastAsia="Times New Roman" w:hAnsi="Times New Roman"/>
          <w:sz w:val="18"/>
          <w:szCs w:val="18"/>
          <w:color w:val="auto"/>
        </w:rPr>
        <w:t>or services. Similar to the federal healthcare Anti-Kickback Statute, a person or entity does not need to have actual knowledge of the statute or specific intent to violate it to have committed a violation.</w:t>
      </w:r>
    </w:p>
    <w:p>
      <w:pPr>
        <w:spacing w:after="0" w:line="149" w:lineRule="exact"/>
        <w:rPr>
          <w:sz w:val="20"/>
          <w:szCs w:val="20"/>
          <w:color w:val="auto"/>
        </w:rPr>
      </w:pPr>
    </w:p>
    <w:p>
      <w:pPr>
        <w:jc w:val="both"/>
        <w:ind w:left="1380" w:right="79" w:hanging="331"/>
        <w:spacing w:after="0" w:line="264" w:lineRule="auto"/>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the Open Payments Program, requires certain manufacturers of drugs, devices, biologics and medical supplies to report payments and other transfers of value to physicians for which payment is available under Medicare, Medicaid or the Children’s Health Insurance Program (with certain exceptions) to report annually to the United States Department of Health and Human Services, Centers for Medicare and Medicaid Services, information related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Manufacturers must submit reports on or before the 90th day of each calendar year disclosing reportable payments made in the previous calendar year.</w:t>
      </w:r>
    </w:p>
    <w:p>
      <w:pPr>
        <w:spacing w:after="0" w:line="181" w:lineRule="exact"/>
        <w:rPr>
          <w:rFonts w:ascii="Times New Roman" w:cs="Times New Roman" w:eastAsia="Times New Roman" w:hAnsi="Times New Roman"/>
          <w:sz w:val="18"/>
          <w:szCs w:val="18"/>
          <w:color w:val="auto"/>
        </w:rPr>
      </w:pPr>
    </w:p>
    <w:p>
      <w:pPr>
        <w:jc w:val="both"/>
        <w:ind w:left="1380" w:right="79" w:hanging="331"/>
        <w:spacing w:after="0" w:line="264" w:lineRule="auto"/>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items or services reimbursed under Medicaid and other state programs or, in several states, regardless of the payer, including private insurers. Some state laws require pharmaceutical companies to report expenses relating to the marketing and promotion of pharmaceutical products and to report gifts and payments to individual health care providers in those states. Some of these states also prohibit certain marketing-related activities including the provision of gifts, meals, or other items to certain health care providers. Some states restrict the ability of manufacturers to offer co-pay support to patients for certain prescription drugs. Some states require the posting of information relating to clinical studies and their outcomes. Other states and cities require identification or licensing of sales representatives. In addition, several states require pharmaceutical companies to implement compliance programs or marketing codes of conduct.</w:t>
      </w:r>
    </w:p>
    <w:p>
      <w:pPr>
        <w:spacing w:after="0" w:line="18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foreign laws and regulations, including restrictions imposed on the promotion and marketing of medicinal products in the EU member states and other countries, restrictions on interactions with healthcare professionals and requirements for public disclosure of payments made to physicians. Laws (including those governing promotion, marketing and anti-kickback provisions), industry regulations and professional codes of conduct often are strictly enforced. Even in those countries where we may decide not to directly promote or market our products, inappropriate activity by our international distribution partners could have implications for us.</w:t>
      </w:r>
    </w:p>
    <w:p>
      <w:pPr>
        <w:spacing w:after="0" w:line="190"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Ensuring that our business arrangements and interactions with healthcare professionals, third-party payors, patients and others comply with applicable healthcare laws and regulations will require substantial resources. Various state, federal and foreign regulatory and enforcement agencies continue actively to investigate violations of health care laws and regulations, and the United States Congress continues to strengthen the arsenal of enforcement tools.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our business practices do not comply with current or future statutes, regulations or case law involving applicable antitrust, fraud and abuse, privacy, or other healthcare laws and regulations. If our operations, including our engagements with healthcare professionals, researchers and patients, or our disease awareness and/or patient identification initiatives including genetic testing programs, or anticipated activities to be conducted by our field teams, were found to be in violation of any of these laws or any other governmental regulations that may apply to us, we may be subject to costly investigations, significant civil, criminal and administrative monetary penalties, imprisonment, damages, fines, disgorgement, exclusion from government funded healthcare programs, such as Medicare and Medicaid, contractual damages, diminished profits and future earnings, and the curtailment or restructuring of our operations, any of which could substantially disrupt our operations or financial results. Although compliance programs can mitigate the risk of investigation and prosecution for violations of these laws, the risks cannot be entirely eliminated. Any action against us for violation of these laws or regulations, even if we successfully defend against it, could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cause us to incur significant legal expenses and generate negative publicity, which could harm our financial condition and divert our management’s attention from the operation of our business.</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whether knowingly or unknowingly, including violating applicable regulatory standards and requirements or engaging in insider trading, which could significantly harm our business.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or unintentional failures to comply with the regulations of the FDA and applicable non U.S. regulators, provide accurate information to the FDA and applicable non 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It is not always possible to identify and deter employee misconduct, and any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Some of these laws and related risks are described under the risk factor “</w:t>
      </w:r>
      <w:r>
        <w:rPr>
          <w:rFonts w:ascii="Times New Roman" w:cs="Times New Roman" w:eastAsia="Times New Roman" w:hAnsi="Times New Roman"/>
          <w:sz w:val="18"/>
          <w:szCs w:val="18"/>
          <w:i w:val="1"/>
          <w:iCs w:val="1"/>
          <w:color w:val="auto"/>
        </w:rPr>
        <w:t>We may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federal and state healthcare laws and regulations. If we are unable to comply or have not fully complied with such laws and regulations, we could face criminal sanctions, damages, substantial civil penalties, reputational harm and diminished profits and future earnings” </w:t>
      </w:r>
      <w:r>
        <w:rPr>
          <w:rFonts w:ascii="Times New Roman" w:cs="Times New Roman" w:eastAsia="Times New Roman" w:hAnsi="Times New Roman"/>
          <w:sz w:val="18"/>
          <w:szCs w:val="18"/>
          <w:color w:val="auto"/>
        </w:rPr>
        <w:t>of this Quarterly Report.</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 to comply with data protection, privacy and security laws and regulations could lead to government enforcement actions and significant penalties against us, and adversely impact our operating results.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financial performance, business and operating results.</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HIPAA, as amended by the Health Information Technology for Economic and Clinical Health Act of 2009 and regulations implemented thereunder, collectively HIPAA, state data breach notification laws, state health information privacy laws and federal and state consumer protection laws, including Section 5 of the Federal Trade Commission Act, which govern the collection, use, disclosure and protection of health-related and other personal information, may apply to our operations and the operations of current and future collaborators. We may obtain health information from third parties, such as research institutions with which we collaborate, that are subject to privacy and security requirements under HIPAA. Although we are not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In addition, state laws govern the privacy and security of health, research and genetic information in specified circumstances, many of which differ from each other in significant ways and may not have the same effect, thus complicating compliance efforts. Further, we may also be subject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to other state laws governing the privacy, processing and protection of personal information.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addition, some of our research activities involve minors, which may be subject to additional laws and can require specialized consent processes, privacy protections, and compliance procedures. In the event that we are subject to or affected by HIPAA, the CCPA, or other domestic privacy and data protection laws, any liability from failure to comply with the requirements of these laws could adversely affect our financial condition.</w:t>
      </w:r>
    </w:p>
    <w:p>
      <w:pPr>
        <w:spacing w:after="0" w:line="19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in Europe, the collection and use of personal data, including health and genetic data, is governed by the provisions of the GDPR. The GDPR became effective on May 25, 2018, and imposes strict requirements for the processing of the personal data of individuals within the European Economic Area, or EEA, or in the context of our activities in the EEA, including health data from clinical trials and AE reporting. In particular, these requirements include certain obligations concerning the consent of the individuals to whom the personal data relates, the information provided to the individuals, the transfer of personal data out of the EEA, security breach notifications, and security and confidentiality of the personal data, and violations of these requirements could result in substantial fines, up to the greater of 20 million Euros or 4% of total global annual turnover. In addition to the foregoing, a breach of the GDPR could result in regulatory investigations, reputational damage, orders to cease/change our processing of our data, enforcement notices, and/or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Data protection authorities from the different EU and EEA member states may also interpret the GDPR and national laws differently and impose additional requirements, which adds to the complexity of processing personal data in the EU and the EEA.</w:t>
      </w:r>
    </w:p>
    <w:p>
      <w:pPr>
        <w:spacing w:after="0" w:line="19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Additionally, from January 1, 2021, we have had to comply with the GDPR and also the United Kingdom GDPR, or UK GDPR, which, together with the amended United Kingdom Data Protection Act 2018, retains the GDPR in United Kingdom national law following Brexit. The UK GDPR mirrors the fines under the GDPR, e.g., fines up to the greater of €20 million (£17.5 million) or 4% of global turnover.</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Among other requirements, the GDPR and UK GDPR also regulate transfers of personal data subject to the GDPR or UK GDPR to third countries that have not been found to provide adequate protection to such personal data, including the United States. Case law from the Court of Justice of the European Union, or the CJEU, states that reliance on the standard contractual clauses - a standard form of contract approved by the EC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or the DPF, rendering the DPF effective as a GDPR transfer mechanism to U.S. entities self-certified under the DPF. On October 12, 2023, the UK Extension to the DPF came into effect (as approved by the UK Government), as a data transfer mechanism from the UK to U.S. entities self-certified under DPF. Following a period of legal complexity and uncertainty regarding international personal data transfers, particularly to the United States, we expect the regulatory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guidance and enforcement landscape to continue to develop, in relation to transfers to the United States and elsewhere.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implement revised standard contractual clauses and other relevant documentation for existing data transfers arrangements within required time frames.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Our failure to comply with our obligations under the GDPR or UK GDPR, including any failure to adopt measures to ensure that we can continue to conduct the data processing activities that we initiated in the EU before the GDPR entered into application, the UK GDPR, and other countries’ privacy or data security-related laws could adversely impact our ability to use the data generated in our studies. And any actual or perceived failure to comply with these data protection laws or adequately address privacy and security concerns could lead to government enforcement actions and significant penalties against us, and adversely impact our operating results.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we may use artificial intelligence, or AI, machine learning, and automated decision-making technologies, collectively,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continue to penetrate foreign markets, where we will be subject to additional regulatory burdens and other risks and uncertainties.</w:t>
      </w:r>
    </w:p>
    <w:p>
      <w:pPr>
        <w:spacing w:after="0" w:line="159" w:lineRule="exact"/>
        <w:rPr>
          <w:sz w:val="20"/>
          <w:szCs w:val="20"/>
          <w:color w:val="auto"/>
        </w:rPr>
      </w:pPr>
    </w:p>
    <w:p>
      <w:pPr>
        <w:jc w:val="both"/>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Our future profitability will depend, in part, on our ability to continue to commercialize setmelanotide and our other product candidates in foreign markets for which we intend to rely on collaborations with third parties. As we continue to commercialize setmelanotide in foreign markets, we will be subject to additional risks and uncertainties, including:</w:t>
      </w:r>
    </w:p>
    <w:p>
      <w:pPr>
        <w:spacing w:after="0" w:line="158" w:lineRule="exact"/>
        <w:rPr>
          <w:sz w:val="20"/>
          <w:szCs w:val="20"/>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setmelanotide in foreign markets;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3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Foreign sales of setmelanotide could also be adversely affected by the imposition of governmental controls, political and economic instability, trade restrictions and changes in tariffs, including the imposition of tariffs by the United States or any other tariffs that could apply directly or indirectly to the costs of goods required to manufacture setmelanotide.</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setmelanotide or our other product candidates outside of the United States and require us to develop and implement costly compliance programs.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we continue to expand our operations outside of the United States, we must dedicate additional resources to comply with numerous laws and regulations in each jurisdiction in which we plan to operate. The Foreign Corrupt Practices Act of 1977, or the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the United Kingdom’s departure from the EU may have a negative effect on global economic conditions, financial markets and our business.</w:t>
      </w:r>
    </w:p>
    <w:p>
      <w:pPr>
        <w:spacing w:after="0" w:line="15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UK, the UK formally withdrew from the EU on January 31, 2020.</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Great Britain (England, Scotland and Wales) has not been directly subject to EU law and has operated under a separate regulatory regime to the EU. It is currently unclear to what extent the UK Government will seek to align its regulations with the EU. EU law which has been transposed into UK law through secondary legislation still remains applicable in Great Britain, however, new EU legislation such as the CTR is not applicable in Great Britain post-Brexit. While the UK has indicated a general intention that new laws regarding the development, manufacture and commercialization of medicinal products in the UK will align closely with EU law, there remain limited detailed proposals for the future regulation of medicinal products.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Ireland/Northern Ireland Protocol, EU law still generally applies to Northern Ireland. However, on February 27, 2023, the UK Government and the EC reached a political agreement in the “Windsor Framework” to address discrepancies in the Protocol’s operation.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Whilst the EU-UK Trade and Cooperation Agreement (TCA) includes the mutual recognition of GMP inspections of manufacturing facilities for medicinal products and GMP documents issued, it does not contain wholesale mutual recognition of UK and EU pharmaceutical regulations and product standards. There may be divergent local requirements in Great Britain from the EU in the future, which may impact clinical and development activities that occur in the UK. Similarly, clinical trial submissions in the UK will not be able to be bundled with those of EU Member States within the EMA Clinical Trial Information System, or CTIS. Any divergent requirements may increase the cost and complexity of running our business, including with respect to the conduct of clinical trials.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UK applicable to our business and our product candidates is derived from EU directives and regulations, the withdrawal could continue to impact the regulatory regime with respect to the development, manufacture, importation, approval and commercialization of our product candidates in the UK. Great Britain is no longer covered by the EU’s procedures for the grant of MA (Northern Ireland is for now covered by the centralized authorization procedure and can be covered under the decentralized or mutual recognition procedures). A separate MA is required to market medicinal products in Great Britain. Such changes could increase our costs and otherwise adversely affect our business. Any delay in obtaining, or an inability to obtain regulatory approvals, as a result of Brexit or otherwise, may prevent us from commercializing our product candidates in Great Britain and restrict our ability to generate revenue and achieve or sustain profitability. If any of these outcomes occur, we may be forced to restrict or delay efforts to seek regulatory approval in Great Britain for our product candidates, which could significantly and materially harm our business.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further changes in relation to international trade, tariff and import/export regulations as a result of Brexit or otherwise may impose unexpected duty costs or other non-tariff barriers on us. These developments, or the perception that any of them could occur, may reduce global trade and, in particular, trade between the impacted nations and the UK.</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It is unclear what financial, regulatory and legal implications the withdrawal of the UK from the EU will have in the long-term and how such withdrawal will affect us, and the full extent to which our business could be adversely affected.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key employees and consultants, and to attract, retain and motivate qualified personnel.</w:t>
      </w:r>
    </w:p>
    <w:p>
      <w:pPr>
        <w:spacing w:after="0" w:line="15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are highly dependent on our executive leadership team. We have employment agreements with these individuals, but any individual may terminate his or her employment with us at any time. The loss of their services might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impede the achievement of our research, development and commercialization objectives. We also do not have any key-person life insurance on any of these key employees.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non-compete agreements. Recruiting and retaining qualified scientific, technical, clinical development, regulatory,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 In addition, we rely on existing employment-related visa programs to attract and retain qualified personnel. Immigration policy changes and uncertainty associated with the new presidential administration in the United States, including potential changes to the number of employment-related visas available as well as the process to obtain them, could make it more difficult to retain existing personnel and to recruit qualified candidates. If we and our impacted candidates or employees are unable to obtain work visas in sufficient quantities or at a sufficient rate for a significant period of time, our business could be adversely affected.</w:t>
      </w:r>
    </w:p>
    <w:p>
      <w:pPr>
        <w:spacing w:after="0" w:line="19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expect to increase our number of employees and the scope of our operations. In particular, we will need to continue our transition from a research and development focused company to a commercial-stage company.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their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and give rise to operational mistakes, loss of business and commercial opportunities, loss of employees and reduced productivity among remaining employees. We may not be able to successfully recruit the personnel we require to operate and expand our business, including our expansion into new countries and markets due to a number of factors, including a lack of understanding of local employment practices, cultural barriers, low or no brand recognition as a desired employer or place to work, or the perceived risk of joining a company with a limited operating history. If our management is unable to effectively manage our expected development and expansion, our expenses may increase more than expected, our ability to generate or increase our revenue could be reduced and we may not be able to implement our business strategy.</w:t>
      </w:r>
    </w:p>
    <w:p>
      <w:pPr>
        <w:spacing w:after="0" w:line="19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physical expansion of our operations may lead to significant costs and may divert financial resources from other projects, such as the development of setmelanotide and our other product candidates. Many of our suppliers and collaborative and clinical trial relationships are located outside the United States, and we have and may continue to hire employees located outside of the United States. Accordingly, our business has and may continue to be subject to economic, political, regulatory and other risks associated with international operations, such as compliance with tax, employment, immigration and labor laws for employees living or traveling abroad, workforce uncertainty in countries where labor unrest is more common than in the United States, as well as difficulties associated with staffing and managing international operations, including differing labor relations. Any of these factors could materially affect our business, financial condition and results of operations. Our future financial performance and our ability to commercialize our approved products and compete effectively will depend, in part, on our ability to effectively manage the future development and expansion of our Company.</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third-party CROs, CMOs or other contractors or consultants, may fail or suffer security breaches, which could result in a material disruption of setmelanotide and other product candidate development programs, regulatory investigations, enforcement actions and lawsuits.</w:t>
      </w:r>
    </w:p>
    <w:p>
      <w:pPr>
        <w:spacing w:after="0" w:line="17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produce, collect, process and store sensitive data, including intellectual property, our proprietary business information and that of our suppliers, as well as personally identifiable information, including of our employees. Similarly, our third-party CROs, CMOs and other contractors and consultants possess certain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amounts of our sensitive data. We have implemented and maintain an array of physical, administrative and technical controls to ensure the confidentiality, integrity and availability of such sensitive information, and the secure maintenance of this information is material to our operations and business strategy. Even with the implementation of strong security measures, our information technology systems and those of our third-party CROs, CMOs and other contractors and consultants are susceptible to attack, damage, or interruption from computer security incidents and cyberattacks such as malware (e.g., ransomware), phishing and other social engineering attacks employee or contractor theft, misuse or human error, denial or degradation of service attacks, supply chain attacks, advanced persistent threats from nation-state actors and unauthorized access or use by persons inside or outside our organization. As a result of our hybrid work environment, we also face increased cybersecurity risks due to employees accessing company resources from insecure networks, and using personal (i.e., “bring-your-own-device”) or unmanaged devices which often lack enterprise-grade security controls and all of which creates additional opportunities for cybercriminals to exploit vulnerabilities and use social engineering techniques to carry out a cyberattack. Any such attack, incident or breach could compromise our information technology systems which may result in sensitive information being accessed, publicly disclosed, lost, corrupted or stolen. Further, cyberattacks are increasing in their frequency, persistence, sophistication and intensity, often conducted by organized and well-funded criminal groups with a wide range of motives and expertise. Consequently, our security controls may not always prevent a targeted cyberattack, and a threat actor may remain undetected in our systems for an extended period of time. There can be no assurance that our cybersecurity risk management program and processes, including our policies, controls or procedures, will be fully implemented, complied with or effective in protecting our systems and information. We maintain cyber liability insurance; however, it may not be sufficient to cover the financial, legal, business or reputational losses that may result from a service interruption or breach of our systems.</w:t>
      </w:r>
    </w:p>
    <w:p>
      <w:pPr>
        <w:spacing w:after="0" w:line="18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global healthcare industry is increasingly integrating AI technologies and tools. However, like any emerging technology, AI presents its own set of risks, many of which are not yet known or fully understood. For example, AI algorithms may have inherent flaws, and data sets could be insufficient, low-quality, or biased. Additionally, inappropriate or controversial data practices by data scientists, engineers, and end-users could compromise results of AI processes. If AI applications generate flawed or inaccurate analyses or date, it could lead to competitive disadvantages, legal liabilities, and harm to our brand or reputation. Furthermore, the use of AI-based software might result in the inadvertent release of confidential information.</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some also require implementation of reasonable security measures and provide a private right of action in the event of a breach. Costs of breach response, mitigation, investigation, remediation, notice and ongoing assessments can be considerable. Thus, any access, disclosure, damage or other loss of information, including our data being breached at our partners or third-party providers, could result in legal claims or proceedings and liability under state, federal and international privacy laws, disruption of our operations, and damage to our reputation, which could adversely affect our business.</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have put into place safeguards with technology, process and education to mitigate the risks inherent in our information technology systems and to defend against cyberattacks and security incidents. Although we do not believe that we have experienced any significant system failure, accident or security breach to date, including any significant or material cyberattacks and/or other information technology security incidents, if such an event were to occur and cause interruptions in our operations, it could result in a material disruption of our programs and material harm to our business and reputation. For example, the breach or loss of clinical trial data for setmelanotide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setmelanotide and our product candidates could be delayed or prevented.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product and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and executive officers and their affiliated entities own a significant percentage of our stock and, if they choose to act together, will be able to exert significant influence over matters subject to stockholder approval.</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executive officers and directors and their respective affiliates, in the aggregate, hold shares representing approximately 5.2% of our outstanding voting stock as of March 31, 2025. As a result, if these stockholders were to choose to act together, they would be able to significantly influence all matters submitted to our stockholders for approval, as well as our management and affairs. For example, these stockholders could significantly influence elections of directors, any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market price for our common stock has been volatile and may continue to fluctuate significantly in response to a number of factors, most of which we cannot control, including, among others:</w:t>
      </w:r>
    </w:p>
    <w:p>
      <w:pPr>
        <w:spacing w:after="0" w:line="162" w:lineRule="exact"/>
        <w:rPr>
          <w:sz w:val="20"/>
          <w:szCs w:val="20"/>
          <w:color w:val="auto"/>
        </w:rPr>
      </w:pPr>
    </w:p>
    <w:p>
      <w:pPr>
        <w:ind w:left="1380" w:right="79" w:hanging="331"/>
        <w:spacing w:after="0" w:line="297"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preclinical studies and clinical trials of setmelanotide and our other product candidates;</w:t>
      </w:r>
    </w:p>
    <w:p>
      <w:pPr>
        <w:spacing w:after="0" w:line="149"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or EMA to approve IMCIVREE for additional indications or to initially approve our other product candidates;</w:t>
      </w:r>
    </w:p>
    <w:p>
      <w:pPr>
        <w:spacing w:after="0" w:line="149"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149"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weight loss therapies and companies targeting the rare diseases we intend to address;</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setmelanotide or our other product candidates, if approved, to achieve commercial success;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and global equity markets;</w:t>
      </w:r>
    </w:p>
    <w:p>
      <w:pPr>
        <w:spacing w:after="0" w:line="238" w:lineRule="exact"/>
        <w:rPr>
          <w:rFonts w:ascii="Times New Roman" w:cs="Times New Roman" w:eastAsia="Times New Roman" w:hAnsi="Times New Roman"/>
          <w:sz w:val="18"/>
          <w:szCs w:val="18"/>
          <w:color w:val="auto"/>
        </w:rPr>
      </w:pPr>
    </w:p>
    <w:p>
      <w:pPr>
        <w:jc w:val="both"/>
        <w:ind w:left="1380" w:right="79" w:hanging="331"/>
        <w:spacing w:after="0" w:line="270"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or instability, including with respect to inflation rates or interest rates, curtailment of trade and other business restrictions such as tariffs or trade wars, boycotts, labor shortages, supply chain shortages, disruptions and instability in the banking industry and other parts of the financial services sector, outbreak of disease or epidemics, or other economic, political or legal changes, uncertainties or adverse developments;</w:t>
      </w:r>
    </w:p>
    <w:p>
      <w:pPr>
        <w:spacing w:after="0" w:line="17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and/or political instability, unrest and wars, which could delay or disrupt our business, and if such political unrest escalates or spills over to or otherwise impacts additional regions it could heighten many of the other risk factors included in this sections;</w:t>
      </w:r>
    </w:p>
    <w:p>
      <w:pPr>
        <w:spacing w:after="0" w:line="163"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extreme weather events (including as a result of climate change), which could cause significant damage to the infrastructure upon which our business operations rely, and the timing, nature or severity of which we may be unable to prepare for;</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hanging="331"/>
        <w:spacing w:after="0" w:line="281"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changes and uncertainty, including in the United States with the changes arising from a new presidential administration and resulting changes and uncertainty in administrative agencies with authority over our business;</w:t>
      </w:r>
    </w:p>
    <w:p>
      <w:pPr>
        <w:spacing w:after="0" w:line="163"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online investor communities;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which may be significant and difficult to anticipate over time. Our net loss and other operating results will be affected by numerous factors, including:</w:t>
      </w:r>
    </w:p>
    <w:p>
      <w:pPr>
        <w:spacing w:after="0" w:line="162" w:lineRule="exact"/>
        <w:rPr>
          <w:sz w:val="20"/>
          <w:szCs w:val="20"/>
          <w:color w:val="auto"/>
        </w:rPr>
      </w:pP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development programs;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termination of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 including any intellectual property infringement lawsuit in which we may become involved;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setmelanotide and our other product candidates;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arrangements, and the timing of payments we may make or receive under these arrangements;</w:t>
      </w:r>
    </w:p>
    <w:p>
      <w:pPr>
        <w:spacing w:after="0" w:line="149"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and timing of milestone payments under our existing collaboration and license agreements; and</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underlying demand for setmelanotide and our customers’ buying patterns.</w:t>
      </w:r>
    </w:p>
    <w:p>
      <w:pPr>
        <w:spacing w:after="0" w:line="23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for any given quarter, the price of our common stock could decline substantially. Furthermore, any quarterly fluctuations in our operating results may, in turn, cause the price of our stock to fluctuate substantially.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certain net operating loss carryovers and other tax attributes may be limited.</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Under the Code, a corporation is generally allowed a deduction for net operating losses, or NOLs, carried over from a prior taxable year, and can use such NOLs to offset future taxable income, if any, until such losses are used or, for NOLs arising in taxable years ending on or before December 31, 2017, until such NOLs expire. Other unused tax attributes,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such as research tax credits may also be carried forward to offset future taxable income, if any, until such attributes are used or expire. As of December 31, 2024, we had approximately $610.2 million and $694.0 million of unused federal and state NOL carryforwards, respectively, and approximately $13.8 million and $4.8 million of unused federal and state carryforwards of research tax credits, respectively. Of the federal NOL carryforwards at December 31, 2024, $537.2 million can be carried forward indefinitely. Additionally, as of December 31, 2024, we had federal orphan drug credits related to qualifying research of $34.6 million.</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If a corporation undergoes an “ownership change,” very generally defined as a greater than 50% change by value in its equity ownership by certain shareholders or groups of shareholders over a rolling three-year period, Sections 382 and 383 of the Code limit the corporation’s ability to use carryovers of its pre-change NOLs, credits and certain other tax attributes to reduce its tax liability for periods after the ownership change. Our issuance of common stock pursuant to prior public offerings may have resulted in a limitation under Code Sections 382 and 383, either separately or in combination with certain prior or subsequent shifts in the ownership of our common stock. Future changes in our stock ownership, some of which are outside of our control, could also result in an ownership change under Sections 382 and 383 of the Code. In addition, for taxable years beginning after December 31, 2020, utilization of federal NOLs generated in tax years beginning after December 31, 2017 are limited to a maximum of 80% of the taxable income for such year, after taking into account utilization of NOLs generated in years beginning before January 1, 2018 and determined without regard to such NOL deduction. Further regulatory changes could also limit our ability to utilize our NOLs. As a result, our ability to use carryovers of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Any such limitation could have a material adverse effect on our results of operations in future years. We have not completed a study to assess whether an ownership change for purposes of Section 382 or 383 has occurred, or whether there have been multiple ownership changes since our inception, due to the significant costs and complexities associated with such study.</w:t>
      </w:r>
    </w:p>
    <w:p>
      <w:pPr>
        <w:spacing w:after="0" w:line="19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use of our tax attributes will also be limited to the extent that we do not generate positive taxable income in future tax periods. We do not expect to generate positive taxable income in the near future and we may never achieve tax profitability.</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common stock in the public market could cause the price of our common stock to decline significantly.</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Sales of our common stock in the public market, or the perception that these sales could occur, could cause the market price of our common stock to decline significantly. As of March 31, 2025, we had 63,494,892 shares of common stock outstanding. In addition, on July 10, 2023, we filed with the SEC a prospectus supplement to the prospectus included in the Company’s registration statement on Form S-3ASR filed with the SEC on March 2, 2023, covering the resale from time to time by the holders of the Convertible Preferred Stock of up to an aggregate of 3,124,995 shares of common stock, to satisfy registration rights that the Company granted to such holders in connection with the issuance of the Convertible Preferred Stock. To the extent the holders of the Convertible Preferred Stock convert their shares to common stock and sell such shares, the price of our common stock could be significantly impacted.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litigation, including class action litigation.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and have an increased risk of securities litigation, including class action litigation. If we were to be sued, it could result in substantial costs and a diversion of management’s attention and resources, which could harm our business.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currently intend to do so in the foreseeable future. We currently anticipate that we will retain future earnings for the development, operation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expansion of our business and do not anticipate declaring or paying any cash dividends in the foreseeable future. Additionally, our Convertible Preferred Stock ranks senior to the shares of the Company’s common stock, with respect to the payment of dividends and the distribution of assets upon a liquidation, dissolution or winding up of the Company. Holders of the Convertible Preferred Stock will be entitled to a regular dividend at a rate as specified in the Amended and Restated Certificate of Designations filed by the Company with the Secretary of State of the State of Delaware.</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subordinated to our Convertible Preferred Stock.</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our Investment Agreement, the Company issued 150,000 shares of a new series of the Company’s Convertible Preferred Stock for an aggregate purchase price of $150.0 million, or $1,000 per share. The Convertible Preferred Stock ranks senior to the shares of the Company’s common stock, with respect to the payment of dividends and the distribution of assets upon a liquidation, dissolution or winding up of the Company. The Convertible Preferred Stock has an initial liquidation preference of $1,000 per share; provided that the liquidation preference in dissolution or upon a change of control shall be increased to be 175% of the then applicable liquidation preference, as described in the Amended and Restated Certificate of Designations. The Convertible Preferred Stock is convertible into shares of our common stock at the option of the holders thereof subject to the terms of the Amended and Restated Certificate of Designations.</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Additionally, holders of the Convertible Preferred Stock generally will be entitled to vote with the holders of the shares of our common stock, subject to certain restrictions pursuant to the terms of the Amended and Restated Certificate of Designations, on all matters submitted for a vote of holders of shares of our common stock (voting together with the holders of shares of our common stock as one class) on an as-converted basis, subject to certain ownership limitations. 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 Additionally, certain matters will require the approval of the holders of two-thirds of the outstanding Convertible Preferred Stock, voting as a separate class, including (1) the authorization, creation, increase in the authorized amount of, or issuance of any class or series of senior or pari passu equity securities or any security convertible into, or exchangeable or exercisable for, shares of senior or pari passu equity securities, (2) amendments, modifications or repeal of any provision of the Company’s charter or of the Amended and Restated Certificate of Designations that would adversely affect the rights, preferences or voting powers of the Convertible Preferred Stock, and (3) certain business combinations and binding or statutory share exchanges or involving the Convertible Preferred Stock unless such events do not adversely affect the rights, preferences or voting powers of the Convertible Preferred Stock.</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future, we may make additional offerings of debt or preferred equity securities, including convertible or non-convertible senior or subordinated notes, convertible or non-convertible preferred stock, medium-term notes and trust preferred securities, to raise cash or bolster our liquidity, to refinance indebtedness, for working capital, to finance strategic initiatives and future acquisitions or for other purposes. Upon liquidation, holders of our debt securities and shares of preferred stock and lenders with respect to other borrowings may receive distributions of our available assets prior to the holders of our common stock. In addition, any preferred stock we may issue could have a preference on liquidating distributions or a preference on distribution payments that could limit our ability to make a distribution to the holders of our common stock. Since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our common stock.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common stock.</w:t>
      </w:r>
    </w:p>
    <w:p>
      <w:pPr>
        <w:spacing w:after="0" w:line="17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76" w:lineRule="exact"/>
        <w:rPr>
          <w:sz w:val="20"/>
          <w:szCs w:val="20"/>
          <w:color w:val="auto"/>
        </w:rPr>
      </w:pPr>
    </w:p>
    <w:p>
      <w:pPr>
        <w:ind w:left="1380" w:hanging="331"/>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49"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14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23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is the exclusive forum for substantially all disputes between us and our stockholders and our bylaws designate the federal district courts of the United States as the exclusive forum for actions arising under the Securities Act, which could limit our stockholders’ ability to obtain an alternate preferred judicial forum for disputes with us or our directors, officers or employees.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is the exclusive forum for: (i) any derivative action or proceeding brought on our behalf; (ii) any action asserting a claim of breach of fiduciary duty; (iii) any action asserting a claim against us arising under the DGCL, our certificate of incorporation or our bylaws; and (iv) any action asserting a claim against us that is governed by the internal affairs doctrine. In addition, our bylaws provide that the federal district courts of the United States are the exclusive forum for any complaint raising 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cause of action arising under the Securities Act. Any person or entity purchasing or otherwise acquiring any interest in any of our securities shall be deemed to have notice of and consented to the provisions of our certificate of incorporation and bylaws described above.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these provisions of our certificate of incorporation or bylaws to be inapplicable or unenforceable in an action, we may incur additional costs associated with resolving the dispute in other jurisdictions, which could seriously harm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acquire businesses or products, form strategic alliances or create joint ventures in the future, and we may not realize their benefits.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For example, in February 2023, in order to expand our pipeline and build on our focus on rare endocrinology diseases, we acquired Xinvento B.V., a Netherlands-based biotech company focused on developing therapies for CHI. As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joint venture or acquisition that delay or prevent us from realizing their expected benefits or enhancing our business. We cannot assure you that, following any such acquisition, we will achieve the expected synergies to justify the transaction.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 active market for our common stock may not be maintained.</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stock began trading on the Nasdaq Global Market in October 2017 and we can provide no assurance that we will be able to continue to maintain an active trading market on the Nasdaq Global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or publish unfavorable research or reports about our business, our stock price and trading volume could decline.</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We do not control these analysts. If we lose securities or industry analysts coverage of our Company, the trading price for our stock would be negatively impacted. If one or more of the analysts who covers us downgrades our stock, our stock price would likely decline. If one or more of these analysts issues unfavorable commentary or ceases to cover us or fails to regularly publish reports on us, interest in our stock could decrease, which could cause our stock price or trading volume to decline.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collaborations and strategic and licensing arrangements. From time to time, we may raise additional capital through the sale of common stock or securities convertible or exchangeable into common stock, such as our sale of Convertible Preferred Stock under the Investment Agreement, which did cause in the case of the Investment Agreement and may cause in the future a stockholder’s ownership interest in our Company to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parties, we may have to relinquish valuable rights to setmelanotide, our intellectual property or future revenue streams, or grant licenses on terms that are not favorable to us. See above, under the heading “</w:t>
      </w:r>
      <w:r>
        <w:rPr>
          <w:rFonts w:ascii="Times New Roman" w:cs="Times New Roman" w:eastAsia="Times New Roman" w:hAnsi="Times New Roman"/>
          <w:sz w:val="18"/>
          <w:szCs w:val="18"/>
          <w:i w:val="1"/>
          <w:iCs w:val="1"/>
          <w:color w:val="auto"/>
        </w:rPr>
        <w:t>Our common stock is subordinated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Convertible Preferred Stock</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conditions could adversely affect our business, financial condition or results of operations.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political system, economy and in the global financial markets.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the imposition of tariffs and other trade barriers, uncertainty about economic stability, and rising political uncertainty. A severe or prolonged economic downturn or recession and a continued increase in inflation rates or interest rates could result in a variety of risks to our business, including weakened demand for setmelanotide and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Increased inflation rates and related increases in interest rates can adversely affect us by increasing our costs, including labor and employee benefit costs. In addition, geopolitical conflicts and war could disrupt or otherwise adversely impact our operations and those of third parties upon which we rely. Related sanctions, export controls or other actions have and may in the future be initiated by nations including the United States, the EU or Russia (e.g., potential cyberattacks, disruption of energy flows, etc.), which could adversely affect our business and/or our supply chain, our CROs, CMOs and other third parties with which we conduct business. The changes arising from a new presidential administration in the United States and the prospect of new leadership and reductions in the workforce or other resources in key administrative agencies (such as the FDA and SEC) as well as volatile political conditions in other countries in which we do business could also create additional uncertainty for our industry and our business, including in ways that we cannot foresee. Any of the foregoing could harm our business and we cannot anticipate all of the ways in which the current economic climate and financial market conditions could adversely impact our business.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operations.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operations are vulnerable to interruption by fire, severe weather conditions, power loss, telecommunications failure, terrorist activity, public health crises and pandemic diseases, and other natural and man-made disasters or events beyond our control. Our facilities and employees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71"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substantial costs as a result of operating as a public company, our management will continue to devote substantial time to existing and new compliance initiatives and corporation governance policies, and we will need to hire additional qualified accounting, financial, legal and compliance personnel with appropriate public company experience.</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The Sarbanes 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and we will need to continue to hire and retain additional accounting, financial, legal and compliance personnel with appropriate public company experience and technical accounting and securities laws knowledge. Even if we are able to hire appropriate personnel, our existing operating expenses and operations will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impacted by the direct costs of their employment and the indirect consequences related to the diversion of management resources from product development and commercialization efforts. Moreover, these rules and regulations will continue to increase our legal and financial compliance costs and make some activities more time consuming and costly.</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16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failed and may in the future fail to maintain an effective system of internal control over financial reporting. This may prevent us from accurately reporting our financial results or preventing fraud. As a result, stockholders could lose confidence in our financial and other public reporting, which would harm our business and the trading price of our common stock.</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w:t>
      </w:r>
    </w:p>
    <w:p>
      <w:pPr>
        <w:spacing w:after="0" w:line="15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 as was the case for the year ended December 31, 2023 and quarterly periods in 2024, due to a material weakness identified in internal controls related to ineffective information technology general controls in the areas of user access and program change management over our key accounting and reporting information technology system. Additionally, the material weakness in our internal control over financial reporting resulted in our management being unable to conclude that our disclosure controls and procedures were effective for the applicable period. The material weakness has since been remediated; however, additional material weaknesses may arise in the future.</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our independent registered public accounting firm may issue a report that is adverse, as it did in our Annual Report on Form 10-K for the year ended December 31, 2023.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 which could diminish investor confidence and cause a decline in the price of our common stock.</w:t>
      </w:r>
    </w:p>
    <w:p>
      <w:pPr>
        <w:spacing w:after="0" w:line="17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15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We have undertaken certain initiatives, including disclosures, to improve the sustainability profile of our products and/or operations and respond to stakeholder expectations; however, such initiatives may be costly and may not have the desired effect. For example, sustainability-related initiatives are often based on methodologies, standards, or data that are still evolving and subject to varying interpretations. We cannot guarantee that our approach, either now or in future, will align with the expectations of particular stakeholders or that certain disclosures will not be considered erroneous or subject to misinterpretation. In addition, this emphasis on environmental, social and other sustainability matters has resulted and may result in the adoption of new laws and regulations, including new reporting requirements. Such requirements and other expectations are not uniform, and may be inconsistently interpreted or applied, which can increase the complexity and cost of compliance. If we fail to comply with new laws, regulations or reporting requirements, our reputation and business could be adversely impacted. Additionally, many of our business partners and suppliers may be subject to similar reporting and stakeholder expectations, which may augment or create additional risks, including risks that may not be known to us. Simultaneously, there are efforts by some stakeholders to reduce companies’ efforts on certain environmental, social and sustainability-related initiatives. Both advocates and opponents of these matters are increasingly resorting to a range of activism forms, including media campaigns and litigation, to advance their perspectives. To the extent we are subject to such activism, it may require us to incur costs or otherwise adversely impact our business.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 sellers of our stock may be manipulative and may drive down the market price of our common stock.</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7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a public entity, we may be the subject of concerted efforts by short sellers to spread negative information in order to gain a market advantage. In addition, the publication of misinformation may also result in further lawsuits, the uncertainty and expense of which could adversely impact our business, financial condition, and reputation. There are no assurances that we will not face further short sellers’ efforts or similar tactics in the future, and the market price of our common stock may decline as a result of their actions.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 and Affiliated Purchasers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559"/>
        <w:spacing w:after="0"/>
        <w:rPr>
          <w:sz w:val="20"/>
          <w:szCs w:val="20"/>
          <w:color w:val="auto"/>
        </w:rPr>
      </w:pPr>
      <w:r>
        <w:rPr>
          <w:rFonts w:ascii="Times New Roman" w:cs="Times New Roman" w:eastAsia="Times New Roman" w:hAnsi="Times New Roman"/>
          <w:sz w:val="17"/>
          <w:szCs w:val="17"/>
          <w:b w:val="1"/>
          <w:bCs w:val="1"/>
          <w:color w:val="auto"/>
        </w:rPr>
        <w:t>Item 4. Mine Safety Disclosure</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1340" w:right="3299" w:hanging="615"/>
        <w:spacing w:after="0" w:line="500" w:lineRule="auto"/>
        <w:tabs>
          <w:tab w:leader="none" w:pos="104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1"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w:t>
      </w:r>
    </w:p>
    <w:p>
      <w:pPr>
        <w:spacing w:after="0" w:line="16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  Insider Trading Arrangements and Policies.</w:t>
      </w:r>
    </w:p>
    <w:p>
      <w:pPr>
        <w:spacing w:after="0" w:line="225" w:lineRule="exact"/>
        <w:rPr>
          <w:sz w:val="20"/>
          <w:szCs w:val="20"/>
          <w:color w:val="auto"/>
        </w:rPr>
      </w:pPr>
    </w:p>
    <w:p>
      <w:pPr>
        <w:jc w:val="both"/>
        <w:ind w:left="1020" w:right="179" w:firstLine="324"/>
        <w:spacing w:after="0" w:line="266" w:lineRule="auto"/>
        <w:rPr>
          <w:sz w:val="20"/>
          <w:szCs w:val="20"/>
          <w:color w:val="auto"/>
        </w:rPr>
      </w:pPr>
      <w:r>
        <w:rPr>
          <w:rFonts w:ascii="Times New Roman" w:cs="Times New Roman" w:eastAsia="Times New Roman" w:hAnsi="Times New Roman"/>
          <w:sz w:val="18"/>
          <w:szCs w:val="18"/>
          <w:color w:val="auto"/>
        </w:rPr>
        <w:t>On February 28, 2025, David McGirr, a member of the Company’s board of directors, adopted a trading plan intended to satisfy the affirmative defense conditions of Rule 10b5-1(c) under the Exchange Act for the sale of up to 65,431 shares of the Company’s common stock until November 7, 2025.</w:t>
      </w:r>
    </w:p>
    <w:p>
      <w:pPr>
        <w:spacing w:after="0" w:line="176" w:lineRule="exact"/>
        <w:rPr>
          <w:sz w:val="20"/>
          <w:szCs w:val="20"/>
          <w:color w:val="auto"/>
        </w:rPr>
      </w:pPr>
    </w:p>
    <w:p>
      <w:pPr>
        <w:ind w:left="1020" w:right="219" w:firstLine="324"/>
        <w:spacing w:after="0" w:line="266" w:lineRule="auto"/>
        <w:rPr>
          <w:sz w:val="20"/>
          <w:szCs w:val="20"/>
          <w:color w:val="auto"/>
        </w:rPr>
      </w:pPr>
      <w:r>
        <w:rPr>
          <w:rFonts w:ascii="Times New Roman" w:cs="Times New Roman" w:eastAsia="Times New Roman" w:hAnsi="Times New Roman"/>
          <w:sz w:val="18"/>
          <w:szCs w:val="18"/>
          <w:color w:val="auto"/>
        </w:rPr>
        <w:t>On February 28, 2025, Hunter Smith, the Company’s Chief Financial Officer, adopted a trading plan intended to satisfy the affirmative defense conditions of Rule 10b5-1(c) under the Exchange Act for the sale of up to 121,185 shares of the Company’s common stock until May 30, 2026.</w:t>
      </w:r>
    </w:p>
    <w:p>
      <w:pPr>
        <w:spacing w:after="0" w:line="176" w:lineRule="exact"/>
        <w:rPr>
          <w:sz w:val="20"/>
          <w:szCs w:val="20"/>
          <w:color w:val="auto"/>
        </w:rPr>
      </w:pPr>
    </w:p>
    <w:p>
      <w:pPr>
        <w:ind w:left="1020" w:right="259" w:firstLine="324"/>
        <w:spacing w:after="0" w:line="289" w:lineRule="auto"/>
        <w:rPr>
          <w:sz w:val="20"/>
          <w:szCs w:val="20"/>
          <w:color w:val="auto"/>
        </w:rPr>
      </w:pPr>
      <w:r>
        <w:rPr>
          <w:rFonts w:ascii="Times New Roman" w:cs="Times New Roman" w:eastAsia="Times New Roman" w:hAnsi="Times New Roman"/>
          <w:sz w:val="17"/>
          <w:szCs w:val="17"/>
          <w:color w:val="auto"/>
        </w:rPr>
        <w:t>On March 3, 2025, David Meeker, the Company’s Chairman, President, and Chief Executive Officer, adopted a trading plan intended to satisfy the affirmative defense conditions of Rule 10b5-1(c) under the Exchange Act for the sale of up to 43,621 shares of the Company’s common stock until November 7, 2025.</w:t>
      </w:r>
    </w:p>
    <w:p>
      <w:pPr>
        <w:spacing w:after="0" w:line="158" w:lineRule="exact"/>
        <w:rPr>
          <w:sz w:val="20"/>
          <w:szCs w:val="20"/>
          <w:color w:val="auto"/>
        </w:rPr>
      </w:pPr>
    </w:p>
    <w:p>
      <w:pPr>
        <w:ind w:left="1020" w:right="139" w:firstLine="324"/>
        <w:spacing w:after="0" w:line="289" w:lineRule="auto"/>
        <w:rPr>
          <w:sz w:val="20"/>
          <w:szCs w:val="20"/>
          <w:color w:val="auto"/>
        </w:rPr>
      </w:pPr>
      <w:r>
        <w:rPr>
          <w:rFonts w:ascii="Times New Roman" w:cs="Times New Roman" w:eastAsia="Times New Roman" w:hAnsi="Times New Roman"/>
          <w:sz w:val="17"/>
          <w:szCs w:val="17"/>
          <w:color w:val="auto"/>
        </w:rPr>
        <w:t>On March 11, 2025, Christopher German, the Company’s Corporate Controller and Chief Accounting Officer, adopted a trading plan intended to satisfy the affirmative defense conditions of Rule 10b5-1(c) under the Exchange Act for the sale of up to 7,386 shares of the Company’s common stock until June 10, 2026.</w:t>
      </w:r>
    </w:p>
    <w:p>
      <w:pPr>
        <w:spacing w:after="0" w:line="158" w:lineRule="exact"/>
        <w:rPr>
          <w:sz w:val="20"/>
          <w:szCs w:val="20"/>
          <w:color w:val="auto"/>
        </w:rPr>
      </w:pPr>
    </w:p>
    <w:p>
      <w:pPr>
        <w:ind w:left="1020" w:right="279" w:firstLine="324"/>
        <w:spacing w:after="0" w:line="266" w:lineRule="auto"/>
        <w:rPr>
          <w:sz w:val="20"/>
          <w:szCs w:val="20"/>
          <w:color w:val="auto"/>
        </w:rPr>
      </w:pPr>
      <w:r>
        <w:rPr>
          <w:rFonts w:ascii="Times New Roman" w:cs="Times New Roman" w:eastAsia="Times New Roman" w:hAnsi="Times New Roman"/>
          <w:sz w:val="18"/>
          <w:szCs w:val="18"/>
          <w:color w:val="auto"/>
        </w:rPr>
        <w:t>Other than as disclosed above, during the three months ended March 31, 2025, no director or officer of the Company adopted or terminated a “Rule 10b5-1 trading arrangement” or “non-Rule 10b5-1 trading arrangement,” as each term is defined in Item 408(a)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Exhibit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78"/>
        </w:trPr>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9"/>
          </w:tcPr>
          <w:p>
            <w:pPr>
              <w:ind w:left="1320"/>
              <w:spacing w:after="0"/>
              <w:rPr>
                <w:sz w:val="20"/>
                <w:szCs w:val="20"/>
                <w:color w:val="auto"/>
              </w:rPr>
            </w:pPr>
            <w:r>
              <w:rPr>
                <w:rFonts w:ascii="Times New Roman" w:cs="Times New Roman" w:eastAsia="Times New Roman" w:hAnsi="Times New Roman"/>
                <w:sz w:val="18"/>
                <w:szCs w:val="18"/>
                <w:color w:val="auto"/>
              </w:rPr>
              <w:t>Exhibit Description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w:t>
            </w:r>
          </w:p>
        </w:tc>
        <w:tc>
          <w:tcPr>
            <w:tcW w:w="2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720" w:type="dxa"/>
            <w:vAlign w:val="bottom"/>
            <w:tcBorders>
              <w:top w:val="single" w:sz="8" w:color="auto"/>
              <w:bottom w:val="single" w:sz="8" w:color="0000EE"/>
            </w:tcBorders>
            <w:gridSpan w:val="6"/>
          </w:tcPr>
          <w:p>
            <w:pPr>
              <w:spacing w:after="0" w:line="169" w:lineRule="exact"/>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Amended and Restated Certificate of Incorporation.</w:t>
              </w:r>
            </w:hyperlink>
          </w:p>
        </w:tc>
        <w:tc>
          <w:tcPr>
            <w:tcW w:w="380" w:type="dxa"/>
            <w:vAlign w:val="bottom"/>
            <w:tcBorders>
              <w:top w:val="single" w:sz="8" w:color="auto"/>
            </w:tcBorders>
            <w:gridSpan w:val="2"/>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240" w:type="dxa"/>
            <w:vAlign w:val="bottom"/>
          </w:tcPr>
          <w:p>
            <w:pPr>
              <w:spacing w:after="0"/>
              <w:rPr>
                <w:sz w:val="14"/>
                <w:szCs w:val="14"/>
                <w:color w:val="auto"/>
              </w:rPr>
            </w:pPr>
          </w:p>
        </w:tc>
        <w:tc>
          <w:tcPr>
            <w:tcW w:w="1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05/04/2020</w:t>
            </w:r>
          </w:p>
        </w:tc>
        <w:tc>
          <w:tcPr>
            <w:tcW w:w="22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23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Amended and Restated Bylaws.</w:t>
              </w:r>
            </w:hyperlink>
          </w:p>
        </w:tc>
        <w:tc>
          <w:tcPr>
            <w:tcW w:w="2120" w:type="dxa"/>
            <w:vAlign w:val="bottom"/>
            <w:gridSpan w:val="6"/>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12/18/2023</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19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Certificate of Designations</w:t>
              </w:r>
            </w:hyperlink>
          </w:p>
        </w:tc>
        <w:tc>
          <w:tcPr>
            <w:tcW w:w="2480" w:type="dxa"/>
            <w:vAlign w:val="bottom"/>
            <w:gridSpan w:val="7"/>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04/16/2024</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4420" w:type="dxa"/>
            <w:vAlign w:val="bottom"/>
            <w:gridSpan w:val="10"/>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Amended and Restated Certificate of Designations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5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05/07/2024</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36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as</w:t>
            </w:r>
          </w:p>
        </w:tc>
        <w:tc>
          <w:tcPr>
            <w:tcW w:w="20" w:type="dxa"/>
            <w:vAlign w:val="bottom"/>
            <w:tcBorders>
              <w:top w:val="single" w:sz="8" w:color="0000EE"/>
            </w:tcBorders>
          </w:tcPr>
          <w:p>
            <w:pPr>
              <w:spacing w:after="0"/>
              <w:rPr>
                <w:sz w:val="24"/>
                <w:szCs w:val="24"/>
                <w:color w:val="auto"/>
              </w:rPr>
            </w:pPr>
          </w:p>
        </w:tc>
        <w:tc>
          <w:tcPr>
            <w:tcW w:w="78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required by Section 302 of the Sarbanes-Oxley Act of</w:t>
            </w:r>
          </w:p>
        </w:tc>
        <w:tc>
          <w:tcPr>
            <w:tcW w:w="5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2002 (18 U.S.C. 1350).</w:t>
            </w:r>
          </w:p>
        </w:tc>
        <w:tc>
          <w:tcPr>
            <w:tcW w:w="274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as</w:t>
            </w:r>
          </w:p>
        </w:tc>
        <w:tc>
          <w:tcPr>
            <w:tcW w:w="44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required by Section 302 of the Sarbanes-Oxley Act of</w:t>
            </w:r>
          </w:p>
        </w:tc>
        <w:tc>
          <w:tcPr>
            <w:tcW w:w="1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2002 (18 U.S.C. 1350).</w:t>
            </w:r>
          </w:p>
        </w:tc>
      </w:tr>
      <w:tr>
        <w:trPr>
          <w:trHeight w:val="20"/>
        </w:trPr>
        <w:tc>
          <w:tcPr>
            <w:tcW w:w="102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as</w:t>
            </w:r>
          </w:p>
        </w:tc>
      </w:tr>
      <w:tr>
        <w:trPr>
          <w:trHeight w:val="20"/>
        </w:trPr>
        <w:tc>
          <w:tcPr>
            <w:tcW w:w="1020" w:type="dxa"/>
            <w:vAlign w:val="bottom"/>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required by Section 906 of the Sarbanes-Oxley Act of</w:t>
            </w:r>
          </w:p>
        </w:tc>
        <w:tc>
          <w:tcPr>
            <w:tcW w:w="1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2002 (18 U.S.C. 1350).</w:t>
            </w:r>
          </w:p>
        </w:tc>
      </w:tr>
      <w:tr>
        <w:trPr>
          <w:trHeight w:val="20"/>
        </w:trPr>
        <w:tc>
          <w:tcPr>
            <w:tcW w:w="102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as</w:t>
            </w:r>
          </w:p>
        </w:tc>
        <w:tc>
          <w:tcPr>
            <w:tcW w:w="44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required by Section 906 of the Sarbanes-Oxley Act of</w:t>
            </w:r>
          </w:p>
        </w:tc>
        <w:tc>
          <w:tcPr>
            <w:tcW w:w="1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2002 (18 U.S.C. 1350).</w:t>
            </w:r>
          </w:p>
        </w:tc>
      </w:tr>
      <w:tr>
        <w:trPr>
          <w:trHeight w:val="20"/>
        </w:trPr>
        <w:tc>
          <w:tcPr>
            <w:tcW w:w="102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r>
      <w:tr>
        <w:trPr>
          <w:trHeight w:val="32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r>
      <w:tr>
        <w:trPr>
          <w:trHeight w:val="216"/>
        </w:trPr>
        <w:tc>
          <w:tcPr>
            <w:tcW w:w="1020" w:type="dxa"/>
            <w:vAlign w:val="bottom"/>
          </w:tcPr>
          <w:p>
            <w:pPr>
              <w:spacing w:after="0"/>
              <w:rPr>
                <w:sz w:val="18"/>
                <w:szCs w:val="18"/>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r>
      <w:tr>
        <w:trPr>
          <w:trHeight w:val="216"/>
        </w:trPr>
        <w:tc>
          <w:tcPr>
            <w:tcW w:w="1020" w:type="dxa"/>
            <w:vAlign w:val="bottom"/>
          </w:tcPr>
          <w:p>
            <w:pPr>
              <w:spacing w:after="0"/>
              <w:rPr>
                <w:sz w:val="18"/>
                <w:szCs w:val="18"/>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w:t>
            </w:r>
          </w:p>
        </w:tc>
      </w:tr>
      <w:tr>
        <w:trPr>
          <w:trHeight w:val="234"/>
        </w:trPr>
        <w:tc>
          <w:tcPr>
            <w:tcW w:w="1020" w:type="dxa"/>
            <w:vAlign w:val="bottom"/>
          </w:tcPr>
          <w:p>
            <w:pPr>
              <w:spacing w:after="0"/>
              <w:rPr>
                <w:sz w:val="20"/>
                <w:szCs w:val="20"/>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34"/>
        </w:trPr>
        <w:tc>
          <w:tcPr>
            <w:tcW w:w="1020" w:type="dxa"/>
            <w:vAlign w:val="bottom"/>
          </w:tcPr>
          <w:p>
            <w:pPr>
              <w:spacing w:after="0"/>
              <w:rPr>
                <w:sz w:val="20"/>
                <w:szCs w:val="20"/>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Taxonomy Extension Definition Linkbase</w:t>
            </w:r>
          </w:p>
        </w:tc>
      </w:tr>
      <w:tr>
        <w:trPr>
          <w:trHeight w:val="234"/>
        </w:trPr>
        <w:tc>
          <w:tcPr>
            <w:tcW w:w="1020" w:type="dxa"/>
            <w:vAlign w:val="bottom"/>
          </w:tcPr>
          <w:p>
            <w:pPr>
              <w:spacing w:after="0"/>
              <w:rPr>
                <w:sz w:val="20"/>
                <w:szCs w:val="20"/>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4"/>
        </w:trPr>
        <w:tc>
          <w:tcPr>
            <w:tcW w:w="1020" w:type="dxa"/>
            <w:vAlign w:val="bottom"/>
          </w:tcPr>
          <w:p>
            <w:pPr>
              <w:spacing w:after="0"/>
              <w:rPr>
                <w:sz w:val="20"/>
                <w:szCs w:val="20"/>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234"/>
        </w:trPr>
        <w:tc>
          <w:tcPr>
            <w:tcW w:w="1020" w:type="dxa"/>
            <w:vAlign w:val="bottom"/>
          </w:tcPr>
          <w:p>
            <w:pPr>
              <w:spacing w:after="0"/>
              <w:rPr>
                <w:sz w:val="20"/>
                <w:szCs w:val="20"/>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r>
      <w:tr>
        <w:trPr>
          <w:trHeight w:val="234"/>
        </w:trPr>
        <w:tc>
          <w:tcPr>
            <w:tcW w:w="1020" w:type="dxa"/>
            <w:vAlign w:val="bottom"/>
          </w:tcPr>
          <w:p>
            <w:pPr>
              <w:spacing w:after="0"/>
              <w:rPr>
                <w:sz w:val="20"/>
                <w:szCs w:val="20"/>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r>
    </w:tbl>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600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tc>
      </w:tr>
      <w:tr>
        <w:trPr>
          <w:trHeight w:val="432"/>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7, 2025</w:t>
            </w:r>
          </w:p>
        </w:tc>
        <w:tc>
          <w:tcPr>
            <w:tcW w:w="19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P. Meeker, M.D.</w:t>
            </w:r>
          </w:p>
        </w:tc>
      </w:tr>
      <w:tr>
        <w:trPr>
          <w:trHeight w:val="191"/>
        </w:trPr>
        <w:tc>
          <w:tcPr>
            <w:tcW w:w="29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David P. Meeker, M.D.</w:t>
            </w:r>
          </w:p>
        </w:tc>
      </w:tr>
      <w:tr>
        <w:trPr>
          <w:trHeight w:val="216"/>
        </w:trPr>
        <w:tc>
          <w:tcPr>
            <w:tcW w:w="2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2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7, 2025</w:t>
            </w:r>
          </w:p>
        </w:tc>
        <w:tc>
          <w:tcPr>
            <w:tcW w:w="19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Hunter C. Smith</w:t>
            </w:r>
          </w:p>
        </w:tc>
      </w:tr>
      <w:tr>
        <w:trPr>
          <w:trHeight w:val="191"/>
        </w:trPr>
        <w:tc>
          <w:tcPr>
            <w:tcW w:w="29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Hunter C. Smith</w:t>
            </w:r>
          </w:p>
        </w:tc>
      </w:tr>
      <w:tr>
        <w:trPr>
          <w:trHeight w:val="216"/>
        </w:trPr>
        <w:tc>
          <w:tcPr>
            <w:tcW w:w="2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4"/>
        </w:trPr>
        <w:tc>
          <w:tcPr>
            <w:tcW w:w="2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877"/>
        </w:trPr>
        <w:tc>
          <w:tcPr>
            <w:tcW w:w="2920" w:type="dxa"/>
            <w:vAlign w:val="bottom"/>
          </w:tcPr>
          <w:p>
            <w:pPr>
              <w:spacing w:after="0"/>
              <w:rPr>
                <w:sz w:val="24"/>
                <w:szCs w:val="24"/>
                <w:color w:val="auto"/>
              </w:rPr>
            </w:pPr>
          </w:p>
        </w:tc>
        <w:tc>
          <w:tcPr>
            <w:tcW w:w="1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106</w:t>
            </w:r>
          </w:p>
        </w:tc>
        <w:tc>
          <w:tcPr>
            <w:tcW w:w="4040" w:type="dxa"/>
            <w:vAlign w:val="bottom"/>
          </w:tcPr>
          <w:p>
            <w:pPr>
              <w:spacing w:after="0"/>
              <w:rPr>
                <w:sz w:val="24"/>
                <w:szCs w:val="24"/>
                <w:color w:val="auto"/>
              </w:rPr>
            </w:pPr>
          </w:p>
        </w:tc>
      </w:tr>
      <w:tr>
        <w:trPr>
          <w:trHeight w:val="561"/>
        </w:trPr>
        <w:tc>
          <w:tcPr>
            <w:tcW w:w="2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6" w:name="page107"/>
    <w:bookmarkEnd w:id="10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CERTIFICATION</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 David P. Meeker, certify that:</w:t>
      </w:r>
    </w:p>
    <w:p>
      <w:pPr>
        <w:spacing w:after="0" w:line="212" w:lineRule="exact"/>
        <w:rPr>
          <w:sz w:val="20"/>
          <w:szCs w:val="20"/>
          <w:color w:val="auto"/>
        </w:rPr>
      </w:pPr>
    </w:p>
    <w:p>
      <w:pPr>
        <w:ind w:left="920" w:hanging="222"/>
        <w:spacing w:after="0"/>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Rhythm Pharmaceuticals, Inc.;</w:t>
      </w:r>
    </w:p>
    <w:p>
      <w:pPr>
        <w:spacing w:after="0" w:line="225" w:lineRule="exact"/>
        <w:rPr>
          <w:rFonts w:ascii="Times New Roman" w:cs="Times New Roman" w:eastAsia="Times New Roman" w:hAnsi="Times New Roman"/>
          <w:sz w:val="18"/>
          <w:szCs w:val="18"/>
          <w:color w:val="auto"/>
        </w:rPr>
      </w:pPr>
    </w:p>
    <w:p>
      <w:pPr>
        <w:ind w:left="60" w:right="79" w:firstLine="638"/>
        <w:spacing w:after="0" w:line="266" w:lineRule="auto"/>
        <w:tabs>
          <w:tab w:leader="none" w:pos="9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99" w:firstLine="638"/>
        <w:spacing w:after="0" w:line="258" w:lineRule="auto"/>
        <w:tabs>
          <w:tab w:leader="none" w:pos="9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60" w:right="359" w:firstLine="638"/>
        <w:spacing w:after="0" w:line="266" w:lineRule="auto"/>
        <w:tabs>
          <w:tab w:leader="none" w:pos="9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380" w:right="199" w:firstLine="642"/>
        <w:spacing w:after="0" w:line="261" w:lineRule="auto"/>
        <w:tabs>
          <w:tab w:leader="none" w:pos="131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380" w:right="299" w:firstLine="642"/>
        <w:spacing w:after="0" w:line="255" w:lineRule="auto"/>
        <w:tabs>
          <w:tab w:leader="none" w:pos="132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jc w:val="both"/>
        <w:ind w:left="380" w:right="379" w:firstLine="642"/>
        <w:spacing w:after="0" w:line="266" w:lineRule="auto"/>
        <w:tabs>
          <w:tab w:leader="none" w:pos="127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139" w:firstLine="642"/>
        <w:spacing w:after="0" w:line="255" w:lineRule="auto"/>
        <w:tabs>
          <w:tab w:leader="none" w:pos="132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60" w:right="99" w:firstLine="638"/>
        <w:spacing w:after="0" w:line="266" w:lineRule="auto"/>
        <w:tabs>
          <w:tab w:leader="none" w:pos="93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380" w:right="99" w:firstLine="642"/>
        <w:spacing w:after="0" w:line="266" w:lineRule="auto"/>
        <w:tabs>
          <w:tab w:leader="none" w:pos="131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80" w:right="119" w:firstLine="642"/>
        <w:spacing w:after="0" w:line="282" w:lineRule="auto"/>
        <w:tabs>
          <w:tab w:leader="none" w:pos="131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7, 2025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David P. Meeker,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8289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David P. Meeker, M.D.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7" w:name="page108"/>
    <w:bookmarkEnd w:id="10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CERTIFICATION</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 Hunter C. Smith, certify that:</w:t>
      </w:r>
    </w:p>
    <w:p>
      <w:pPr>
        <w:spacing w:after="0" w:line="212" w:lineRule="exact"/>
        <w:rPr>
          <w:sz w:val="20"/>
          <w:szCs w:val="20"/>
          <w:color w:val="auto"/>
        </w:rPr>
      </w:pPr>
    </w:p>
    <w:p>
      <w:pPr>
        <w:ind w:left="1080" w:hanging="223"/>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Rhythm Pharmaceuticals, Inc.;</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66" w:lineRule="auto"/>
        <w:tabs>
          <w:tab w:leader="none" w:pos="107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200" w:right="239" w:firstLine="657"/>
        <w:spacing w:after="0" w:line="266" w:lineRule="auto"/>
        <w:tabs>
          <w:tab w:leader="none" w:pos="107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259" w:firstLine="657"/>
        <w:spacing w:after="0" w:line="266" w:lineRule="auto"/>
        <w:tabs>
          <w:tab w:leader="none" w:pos="107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540" w:right="259" w:firstLine="641"/>
        <w:spacing w:after="0" w:line="261" w:lineRule="auto"/>
        <w:tabs>
          <w:tab w:leader="none" w:pos="147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540" w:right="259" w:firstLine="641"/>
        <w:spacing w:after="0" w:line="255" w:lineRule="auto"/>
        <w:tabs>
          <w:tab w:leader="none" w:pos="148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540" w:right="419" w:firstLine="641"/>
        <w:spacing w:after="0" w:line="266" w:lineRule="auto"/>
        <w:tabs>
          <w:tab w:leader="none" w:pos="147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540" w:right="499" w:firstLine="641"/>
        <w:spacing w:after="0" w:line="261" w:lineRule="auto"/>
        <w:tabs>
          <w:tab w:leader="none" w:pos="148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200" w:right="259" w:firstLine="657"/>
        <w:spacing w:after="0" w:line="258" w:lineRule="auto"/>
        <w:tabs>
          <w:tab w:leader="none" w:pos="107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540" w:right="419" w:firstLine="641"/>
        <w:spacing w:after="0" w:line="266" w:lineRule="auto"/>
        <w:tabs>
          <w:tab w:leader="none" w:pos="147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540" w:right="759" w:firstLine="641"/>
        <w:spacing w:after="0" w:line="266" w:lineRule="auto"/>
        <w:tabs>
          <w:tab w:leader="none" w:pos="148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Date: May 7, 2025</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Hunter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7260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Name: Hunter C. Smith</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8" w:name="page109"/>
    <w:bookmarkEnd w:id="10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 David P. Meeker, M.D., certify pursuant to 18 U.S.C. Section 1350, as adopted pursuant to Section 906 of the Sarbanes-Oxley Act of 2002, that, to the best of my knowledge, the Quarterly Report on Form 10-Q of Rhythm Pharmaceuticals, Inc. for the fiscal quarter ended March 31, 2025 (the “Report”) fully complies with the requirements of Section 13(a) or 15(d) of the Securities Exchange Act of 1934, as amended, and the information contained in the Report fairly presents, in all material respects, the financial condition and results of operations of Rhythm Pharmaceuticals, Inc.</w:t>
      </w: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David P. Meeker,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8289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David P. Meeker, M.D.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523240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9" w:name="page110"/>
    <w:bookmarkEnd w:id="10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left="200" w:right="319" w:firstLine="648"/>
        <w:spacing w:after="0" w:line="254" w:lineRule="auto"/>
        <w:rPr>
          <w:sz w:val="20"/>
          <w:szCs w:val="20"/>
          <w:color w:val="auto"/>
        </w:rPr>
      </w:pPr>
      <w:r>
        <w:rPr>
          <w:rFonts w:ascii="Times New Roman" w:cs="Times New Roman" w:eastAsia="Times New Roman" w:hAnsi="Times New Roman"/>
          <w:sz w:val="18"/>
          <w:szCs w:val="18"/>
          <w:color w:val="auto"/>
        </w:rPr>
        <w:t>I, Hunter C. Smith, certify pursuant to 18 U.S.C. Section 1350, as adopted pursuant to Section 906 of the Sarbanes-Oxley Act of 2002, that, to the best of my knowledge, the Quarterly Report on Form 10-Q of Rhythm Pharmaceuticals, Inc. for the fiscal quarter ended March 31, 2025 (the “Report”) fully complies with the requirements of Section 13(a) or 15(d) of the Securities Exchange Act of 1934 and the information contained in the Report fairly presents, in all material respects, the financial condition and results of operations of Rhythm Pharmaceuticals Inc.</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Hunter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7260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Name: Hunter C. Smith</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May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lowerRoman"/>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lvl w:ilvl="1">
      <w:lvlJc w:val="left"/>
      <w:lvlText w:val="●"/>
      <w:numFmt w:val="bullet"/>
      <w:start w:val="1"/>
    </w:lvl>
  </w:abstractNum>
  <w:abstractNum w:abstractNumId="24">
    <w:nsid w:val="70A64E2A"/>
    <w:multiLevelType w:val="hybridMultilevel"/>
    <w:lvl w:ilvl="0">
      <w:lvlJc w:val="left"/>
      <w:lvlText w:val="●"/>
      <w:numFmt w:val="bullet"/>
      <w:start w:val="1"/>
    </w:lvl>
    <w:lvl w:ilvl="1">
      <w:lvlJc w:val="left"/>
      <w:lvlText w:val="●"/>
      <w:numFmt w:val="bullet"/>
      <w:start w:val="1"/>
    </w:lvl>
  </w:abstractNum>
  <w:abstractNum w:abstractNumId="25">
    <w:nsid w:val="6A2342EC"/>
    <w:multiLevelType w:val="hybridMultilevel"/>
    <w:lvl w:ilvl="0">
      <w:lvlJc w:val="left"/>
      <w:lvlText w:val="●"/>
      <w:numFmt w:val="bullet"/>
      <w:start w:val="1"/>
    </w:lvl>
    <w:lvl w:ilvl="1">
      <w:lvlJc w:val="left"/>
      <w:lvlText w:val="●"/>
      <w:numFmt w:val="bullet"/>
      <w:start w:val="1"/>
    </w:lvl>
  </w:abstractNum>
  <w:abstractNum w:abstractNumId="26">
    <w:nsid w:val="2A487CB0"/>
    <w:multiLevelType w:val="hybridMultilevel"/>
    <w:lvl w:ilvl="0">
      <w:lvlJc w:val="left"/>
      <w:lvlText w:val="●"/>
      <w:numFmt w:val="bullet"/>
      <w:start w:val="1"/>
    </w:lvl>
    <w:lvl w:ilvl="1">
      <w:lvlJc w:val="left"/>
      <w:lvlText w:val="●"/>
      <w:numFmt w:val="bullet"/>
      <w:start w:val="1"/>
    </w:lvl>
  </w:abstractNum>
  <w:abstractNum w:abstractNumId="27">
    <w:nsid w:val="1D4ED43B"/>
    <w:multiLevelType w:val="hybridMultilevel"/>
    <w:lvl w:ilvl="0">
      <w:lvlJc w:val="left"/>
      <w:lvlText w:val="●"/>
      <w:numFmt w:val="bullet"/>
      <w:start w:val="1"/>
    </w:lvl>
    <w:lvl w:ilvl="1">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1)"/>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23" Type="http://schemas.openxmlformats.org/officeDocument/2006/relationships/hyperlink" Target="https://www.sec.gov/Archives/edgar/data/1649904/000155837020004983/rytm-20200331ex3160e0802.htm" TargetMode="External"/><Relationship Id="rId124" Type="http://schemas.openxmlformats.org/officeDocument/2006/relationships/hyperlink" Target="https://www.sec.gov/Archives/edgar/data/1649904/000110465923126873/tm2332524d2_ex3-1.htm" TargetMode="External"/><Relationship Id="rId125" Type="http://schemas.openxmlformats.org/officeDocument/2006/relationships/hyperlink" Target="https://www.sec.gov/Archives/edgar/data/1649904/000110465924047492/tm2411919d1_ex3-1.htm" TargetMode="External"/><Relationship Id="rId126" Type="http://schemas.openxmlformats.org/officeDocument/2006/relationships/hyperlink" Target="https://www.sec.gov/Archives/edgar/data/1649904/000155837024007076/rytm-20240331xex3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2025-05-07T15:57:52Z</dcterms:created>
  <dcterms:modified xsi:type="dcterms:W3CDTF">2025-05-07T15:57:52Z</dcterms:modified>
</cp:coreProperties>
</file>