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Garfield Alastair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RHYTHM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RHYTHM PHARMACEUTICALS, INC.</w:t>
              </w:r>
            </w:hyperlink>
            <w:r>
              <w:rPr/>
              <w:t xml:space="preserve"> [ </w:t>
            </w:r>
            <w:r>
              <w:rPr>
                <w:rFonts w:ascii="Times;serif" w:hAnsi="Times;serif"/>
                <w:color w:val="0000FF"/>
                <w:sz w:val="24"/>
                <w:shd w:fill="FFFFFF" w:val="clear"/>
              </w:rPr>
              <w:t>RYTM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116.1093</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117.0759</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118.2843</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119.1688</w:t>
            </w:r>
            <w:r>
              <w:rPr>
                <w:rFonts w:ascii="Times;serif" w:hAnsi="Times;serif"/>
                <w:color w:val="008000"/>
                <w:position w:val="7"/>
                <w:sz w:val="16"/>
                <w:sz w:val="20"/>
                <w:shd w:fill="FFFFFF" w:val="clear"/>
              </w:rPr>
              <w:t>(5)</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2,295</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the Form 4 were effected pursuant to a Rule 10b5-1 trading plan adopted by the Reporting Person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securities were sold in multiple transactions at prices ranging from $115.67 to $116.62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 securities were sold in multiple transactions at prices ranging from $116.72 to $117.66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securities were sold in multiple transactions at prices ranging from $117.73 to $118.71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securities were sold in multiple transactions at prices ranging from $118.73 to $119.52 per common stock.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Vander Stoep, attorney-in-fact for Alastair Garfield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7261" TargetMode="External"/><Relationship Id="rId5" Type="http://schemas.openxmlformats.org/officeDocument/2006/relationships/hyperlink" Target="http://www.sec.gov/cgi-bin/browse-edgar?action=getcompany&amp;CIK=00016499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924</Words>
  <Characters>4931</Characters>
  <CharactersWithSpaces>5759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