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274320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139065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158750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quarterly period ended September 30, 2024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9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6" w:lineRule="exact"/>
        <w:rPr>
          <w:sz w:val="24"/>
          <w:szCs w:val="24"/>
          <w:color w:val="auto"/>
        </w:rPr>
      </w:pPr>
    </w:p>
    <w:p>
      <w:pPr>
        <w:ind w:left="3780"/>
        <w:spacing w:after="0"/>
        <w:tabs>
          <w:tab w:leader="none" w:pos="57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001-38223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130810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RHYTHM PHARMACEUTICALS, INC.</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130810</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6" w:lineRule="exact"/>
        <w:rPr>
          <w:sz w:val="24"/>
          <w:szCs w:val="24"/>
          <w:color w:val="auto"/>
        </w:rPr>
      </w:pPr>
    </w:p>
    <w:tbl>
      <w:tblPr>
        <w:tblLayout w:type="fixed"/>
        <w:tblInd w:w="1720" w:type="dxa"/>
        <w:tblCellMar>
          <w:top w:w="0" w:type="dxa"/>
          <w:left w:w="0" w:type="dxa"/>
          <w:bottom w:w="0" w:type="dxa"/>
          <w:right w:w="0" w:type="dxa"/>
        </w:tblCellMar>
      </w:tblPr>
      <w:tr>
        <w:trPr>
          <w:trHeight w:val="149"/>
        </w:trPr>
        <w:tc>
          <w:tcPr>
            <w:tcW w:w="170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500" w:type="dxa"/>
            <w:vAlign w:val="bottom"/>
          </w:tcPr>
          <w:p>
            <w:pPr>
              <w:jc w:val="center"/>
              <w:ind w:left="3478"/>
              <w:spacing w:after="0"/>
              <w:rPr>
                <w:sz w:val="20"/>
                <w:szCs w:val="20"/>
                <w:color w:val="auto"/>
              </w:rPr>
            </w:pPr>
            <w:r>
              <w:rPr>
                <w:rFonts w:ascii="Times New Roman" w:cs="Times New Roman" w:eastAsia="Times New Roman" w:hAnsi="Times New Roman"/>
                <w:sz w:val="13"/>
                <w:szCs w:val="13"/>
                <w:b w:val="1"/>
                <w:bCs w:val="1"/>
                <w:color w:val="auto"/>
                <w:w w:val="95"/>
              </w:rPr>
              <w:t>46-2159271</w:t>
            </w:r>
          </w:p>
        </w:tc>
      </w:tr>
      <w:tr>
        <w:trPr>
          <w:trHeight w:val="135"/>
        </w:trPr>
        <w:tc>
          <w:tcPr>
            <w:tcW w:w="17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4500" w:type="dxa"/>
            <w:vAlign w:val="bottom"/>
          </w:tcPr>
          <w:p>
            <w:pPr>
              <w:jc w:val="center"/>
              <w:ind w:left="3498"/>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170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500" w:type="dxa"/>
            <w:vAlign w:val="bottom"/>
          </w:tcPr>
          <w:p>
            <w:pPr>
              <w:jc w:val="center"/>
              <w:ind w:left="3498"/>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32"/>
        </w:trPr>
        <w:tc>
          <w:tcPr>
            <w:tcW w:w="1700" w:type="dxa"/>
            <w:vAlign w:val="bottom"/>
          </w:tcPr>
          <w:p>
            <w:pPr>
              <w:spacing w:after="0"/>
              <w:rPr>
                <w:sz w:val="20"/>
                <w:szCs w:val="20"/>
                <w:color w:val="auto"/>
              </w:rPr>
            </w:pPr>
          </w:p>
        </w:tc>
        <w:tc>
          <w:tcPr>
            <w:tcW w:w="4500" w:type="dxa"/>
            <w:vAlign w:val="bottom"/>
          </w:tcPr>
          <w:p>
            <w:pPr>
              <w:jc w:val="center"/>
              <w:ind w:right="1358"/>
              <w:spacing w:after="0"/>
              <w:rPr>
                <w:sz w:val="20"/>
                <w:szCs w:val="20"/>
                <w:color w:val="auto"/>
              </w:rPr>
            </w:pPr>
            <w:r>
              <w:rPr>
                <w:rFonts w:ascii="Times New Roman" w:cs="Times New Roman" w:eastAsia="Times New Roman" w:hAnsi="Times New Roman"/>
                <w:sz w:val="13"/>
                <w:szCs w:val="13"/>
                <w:b w:val="1"/>
                <w:bCs w:val="1"/>
                <w:color w:val="auto"/>
                <w:w w:val="95"/>
              </w:rPr>
              <w:t>222 Berkeley Street</w:t>
            </w:r>
          </w:p>
        </w:tc>
      </w:tr>
      <w:tr>
        <w:trPr>
          <w:trHeight w:val="142"/>
        </w:trPr>
        <w:tc>
          <w:tcPr>
            <w:tcW w:w="1700" w:type="dxa"/>
            <w:vAlign w:val="bottom"/>
          </w:tcPr>
          <w:p>
            <w:pPr>
              <w:spacing w:after="0"/>
              <w:rPr>
                <w:sz w:val="12"/>
                <w:szCs w:val="12"/>
                <w:color w:val="auto"/>
              </w:rPr>
            </w:pPr>
          </w:p>
        </w:tc>
        <w:tc>
          <w:tcPr>
            <w:tcW w:w="4500" w:type="dxa"/>
            <w:vAlign w:val="bottom"/>
          </w:tcPr>
          <w:p>
            <w:pPr>
              <w:jc w:val="center"/>
              <w:ind w:right="1338"/>
              <w:spacing w:after="0" w:line="142" w:lineRule="exact"/>
              <w:rPr>
                <w:sz w:val="20"/>
                <w:szCs w:val="20"/>
                <w:color w:val="auto"/>
              </w:rPr>
            </w:pPr>
            <w:r>
              <w:rPr>
                <w:rFonts w:ascii="Times New Roman" w:cs="Times New Roman" w:eastAsia="Times New Roman" w:hAnsi="Times New Roman"/>
                <w:sz w:val="11"/>
                <w:szCs w:val="11"/>
                <w:b w:val="1"/>
                <w:bCs w:val="1"/>
                <w:color w:val="auto"/>
              </w:rPr>
              <w:t>12</w:t>
            </w:r>
            <w:r>
              <w:rPr>
                <w:rFonts w:ascii="Times New Roman" w:cs="Times New Roman" w:eastAsia="Times New Roman" w:hAnsi="Times New Roman"/>
                <w:sz w:val="16"/>
                <w:szCs w:val="16"/>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tc>
      </w:tr>
      <w:tr>
        <w:trPr>
          <w:trHeight w:val="137"/>
        </w:trPr>
        <w:tc>
          <w:tcPr>
            <w:tcW w:w="1700" w:type="dxa"/>
            <w:vAlign w:val="bottom"/>
          </w:tcPr>
          <w:p>
            <w:pPr>
              <w:spacing w:after="0"/>
              <w:rPr>
                <w:sz w:val="11"/>
                <w:szCs w:val="11"/>
                <w:color w:val="auto"/>
              </w:rPr>
            </w:pPr>
          </w:p>
        </w:tc>
        <w:tc>
          <w:tcPr>
            <w:tcW w:w="4500" w:type="dxa"/>
            <w:vAlign w:val="bottom"/>
          </w:tcPr>
          <w:p>
            <w:pPr>
              <w:jc w:val="center"/>
              <w:ind w:right="1338"/>
              <w:spacing w:after="0" w:line="137" w:lineRule="exact"/>
              <w:rPr>
                <w:sz w:val="20"/>
                <w:szCs w:val="20"/>
                <w:color w:val="auto"/>
              </w:rPr>
            </w:pPr>
            <w:r>
              <w:rPr>
                <w:rFonts w:ascii="Times New Roman" w:cs="Times New Roman" w:eastAsia="Times New Roman" w:hAnsi="Times New Roman"/>
                <w:sz w:val="13"/>
                <w:szCs w:val="13"/>
                <w:b w:val="1"/>
                <w:bCs w:val="1"/>
                <w:color w:val="auto"/>
                <w:w w:val="95"/>
              </w:rPr>
              <w:t>Boston, MA 02116</w:t>
            </w:r>
          </w:p>
        </w:tc>
      </w:tr>
      <w:tr>
        <w:trPr>
          <w:trHeight w:val="135"/>
        </w:trPr>
        <w:tc>
          <w:tcPr>
            <w:tcW w:w="1700" w:type="dxa"/>
            <w:vAlign w:val="bottom"/>
          </w:tcPr>
          <w:p>
            <w:pPr>
              <w:spacing w:after="0"/>
              <w:rPr>
                <w:sz w:val="11"/>
                <w:szCs w:val="11"/>
                <w:color w:val="auto"/>
              </w:rPr>
            </w:pPr>
          </w:p>
        </w:tc>
        <w:tc>
          <w:tcPr>
            <w:tcW w:w="4500" w:type="dxa"/>
            <w:vAlign w:val="bottom"/>
          </w:tcPr>
          <w:p>
            <w:pPr>
              <w:jc w:val="center"/>
              <w:ind w:right="1338"/>
              <w:spacing w:after="0" w:line="135"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r>
      <w:tr>
        <w:trPr>
          <w:trHeight w:val="164"/>
        </w:trPr>
        <w:tc>
          <w:tcPr>
            <w:tcW w:w="1700" w:type="dxa"/>
            <w:vAlign w:val="bottom"/>
          </w:tcPr>
          <w:p>
            <w:pPr>
              <w:spacing w:after="0"/>
              <w:rPr>
                <w:sz w:val="14"/>
                <w:szCs w:val="14"/>
                <w:color w:val="auto"/>
              </w:rPr>
            </w:pPr>
          </w:p>
        </w:tc>
        <w:tc>
          <w:tcPr>
            <w:tcW w:w="4500" w:type="dxa"/>
            <w:vAlign w:val="bottom"/>
          </w:tcPr>
          <w:p>
            <w:pPr>
              <w:jc w:val="center"/>
              <w:ind w:right="1358"/>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27"/>
        </w:trPr>
        <w:tc>
          <w:tcPr>
            <w:tcW w:w="1700" w:type="dxa"/>
            <w:vAlign w:val="bottom"/>
          </w:tcPr>
          <w:p>
            <w:pPr>
              <w:spacing w:after="0"/>
              <w:rPr>
                <w:sz w:val="19"/>
                <w:szCs w:val="19"/>
                <w:color w:val="auto"/>
              </w:rPr>
            </w:pPr>
          </w:p>
        </w:tc>
        <w:tc>
          <w:tcPr>
            <w:tcW w:w="4500" w:type="dxa"/>
            <w:vAlign w:val="bottom"/>
          </w:tcPr>
          <w:p>
            <w:pPr>
              <w:jc w:val="center"/>
              <w:ind w:right="1338"/>
              <w:spacing w:after="0"/>
              <w:rPr>
                <w:sz w:val="20"/>
                <w:szCs w:val="20"/>
                <w:color w:val="auto"/>
              </w:rPr>
            </w:pPr>
            <w:r>
              <w:rPr>
                <w:rFonts w:ascii="Times New Roman" w:cs="Times New Roman" w:eastAsia="Times New Roman" w:hAnsi="Times New Roman"/>
                <w:sz w:val="13"/>
                <w:szCs w:val="13"/>
                <w:b w:val="1"/>
                <w:bCs w:val="1"/>
                <w:color w:val="auto"/>
                <w:w w:val="95"/>
              </w:rPr>
              <w:t>(857) 264-4280</w:t>
            </w:r>
          </w:p>
        </w:tc>
      </w:tr>
      <w:tr>
        <w:trPr>
          <w:trHeight w:val="164"/>
        </w:trPr>
        <w:tc>
          <w:tcPr>
            <w:tcW w:w="1700" w:type="dxa"/>
            <w:vAlign w:val="bottom"/>
          </w:tcPr>
          <w:p>
            <w:pPr>
              <w:spacing w:after="0"/>
              <w:rPr>
                <w:sz w:val="14"/>
                <w:szCs w:val="14"/>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r>
    </w:tbl>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460" w:type="dxa"/>
            <w:vAlign w:val="bottom"/>
            <w:tcBorders>
              <w:top w:val="single" w:sz="8" w:color="auto"/>
              <w:bottom w:val="single" w:sz="8" w:color="auto"/>
            </w:tcBorders>
          </w:tcPr>
          <w:p>
            <w:pPr>
              <w:spacing w:after="0"/>
              <w:rPr>
                <w:sz w:val="15"/>
                <w:szCs w:val="15"/>
                <w:color w:val="auto"/>
              </w:rPr>
            </w:pPr>
          </w:p>
        </w:tc>
        <w:tc>
          <w:tcPr>
            <w:tcW w:w="2760" w:type="dxa"/>
            <w:vAlign w:val="bottom"/>
            <w:tcBorders>
              <w:top w:val="single" w:sz="8" w:color="auto"/>
              <w:bottom w:val="single" w:sz="8" w:color="auto"/>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248"/>
        </w:trPr>
        <w:tc>
          <w:tcPr>
            <w:tcW w:w="3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$0.001 par value per share</w:t>
            </w:r>
          </w:p>
        </w:tc>
        <w:tc>
          <w:tcPr>
            <w:tcW w:w="460" w:type="dxa"/>
            <w:vAlign w:val="bottom"/>
          </w:tcPr>
          <w:p>
            <w:pPr>
              <w:spacing w:after="0"/>
              <w:rPr>
                <w:sz w:val="21"/>
                <w:szCs w:val="21"/>
                <w:color w:val="auto"/>
              </w:rPr>
            </w:pPr>
          </w:p>
        </w:tc>
        <w:tc>
          <w:tcPr>
            <w:tcW w:w="2760" w:type="dxa"/>
            <w:vAlign w:val="bottom"/>
            <w:tcBorders>
              <w:right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3"/>
                <w:szCs w:val="13"/>
                <w:color w:val="auto"/>
                <w:w w:val="95"/>
              </w:rPr>
              <w:t>RYTM</w:t>
            </w:r>
          </w:p>
        </w:tc>
        <w:tc>
          <w:tcPr>
            <w:tcW w:w="3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 (Nasdaq Global Market)</w:t>
            </w:r>
          </w:p>
        </w:tc>
      </w:tr>
      <w:tr>
        <w:trPr>
          <w:trHeight w:val="97"/>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280" w:type="dxa"/>
            <w:vAlign w:val="bottom"/>
            <w:tcBorders>
              <w:bottom w:val="single" w:sz="8" w:color="auto"/>
              <w:right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r>
        <w:trPr>
          <w:trHeight w:val="88"/>
        </w:trPr>
        <w:tc>
          <w:tcPr>
            <w:tcW w:w="3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3460" w:type="dxa"/>
            <w:vAlign w:val="bottom"/>
          </w:tcPr>
          <w:p>
            <w:pPr>
              <w:spacing w:after="0"/>
              <w:rPr>
                <w:sz w:val="7"/>
                <w:szCs w:val="7"/>
                <w:color w:val="auto"/>
              </w:rPr>
            </w:pPr>
          </w:p>
        </w:tc>
      </w:tr>
    </w:tbl>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 (d) of the Securities Exchange Act of 1934 during the preceding 12 months (or for</w:t>
      </w:r>
    </w:p>
    <w:p>
      <w:pPr>
        <w:spacing w:after="0" w:line="1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80"/>
        <w:spacing w:after="0" w:line="14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48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105" w:lineRule="exact"/>
        <w:rPr>
          <w:sz w:val="24"/>
          <w:szCs w:val="24"/>
          <w:color w:val="auto"/>
        </w:rPr>
      </w:pPr>
    </w:p>
    <w:p>
      <w:pPr>
        <w:ind w:left="18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2">
            <w:col w:w="6240" w:space="720"/>
            <w:col w:w="2980"/>
          </w:cols>
          <w:pgMar w:left="980" w:top="661" w:right="979" w:bottom="1440" w:gutter="0" w:footer="0" w:header="0"/>
          <w:type w:val="continuous"/>
        </w:sectPr>
      </w:pPr>
    </w:p>
    <w:p>
      <w:pPr>
        <w:ind w:left="188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sectPr>
          <w:pgSz w:w="11900" w:h="16838" w:orient="portrait"/>
          <w:cols w:equalWidth="0" w:num="2">
            <w:col w:w="5960" w:space="720"/>
            <w:col w:w="3260"/>
          </w:cols>
          <w:pgMar w:left="980" w:top="661" w:right="979" w:bottom="1440" w:gutter="0" w:footer="0" w:header="0"/>
          <w:type w:val="continuous"/>
        </w:sectPr>
      </w:pPr>
    </w:p>
    <w:p>
      <w:pPr>
        <w:ind w:right="10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outstanding of the registrant’s Common Stock as of November 3, 2024 was 61,457,069.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499745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122555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1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6"/>
        </w:trPr>
        <w:tc>
          <w:tcPr>
            <w:tcW w:w="8180" w:type="dxa"/>
            <w:vAlign w:val="bottom"/>
            <w:gridSpan w:val="21"/>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1. Condensed Consolidated Financial Statements (Unaudited)</w:t>
            </w:r>
          </w:p>
        </w:tc>
        <w:tc>
          <w:tcPr>
            <w:tcW w:w="2680" w:type="dxa"/>
            <w:vAlign w:val="bottom"/>
            <w:gridSpan w:val="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Convertible Preferred Stock and Stockholders’ Equity</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85"/>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120" w:type="dxa"/>
            <w:vAlign w:val="bottom"/>
            <w:gridSpan w:val="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500" w:type="dxa"/>
            <w:vAlign w:val="bottom"/>
            <w:gridSpan w:val="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80" w:type="dxa"/>
            <w:vAlign w:val="bottom"/>
            <w:gridSpan w:val="5"/>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600" w:type="dxa"/>
            <w:vAlign w:val="bottom"/>
            <w:gridSpan w:val="12"/>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900" w:type="dxa"/>
            <w:vAlign w:val="bottom"/>
            <w:gridSpan w:val="14"/>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600" w:type="dxa"/>
            <w:vAlign w:val="bottom"/>
            <w:gridSpan w:val="6"/>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4. Mine Safety Disclosure</w:t>
            </w:r>
          </w:p>
        </w:tc>
        <w:tc>
          <w:tcPr>
            <w:tcW w:w="600" w:type="dxa"/>
            <w:vAlign w:val="bottom"/>
            <w:tcBorders>
              <w:top w:val="single" w:sz="8" w:color="0000EE"/>
            </w:tcBorders>
          </w:tcPr>
          <w:p>
            <w:pPr>
              <w:spacing w:after="0"/>
              <w:rPr>
                <w:sz w:val="24"/>
                <w:szCs w:val="24"/>
                <w:color w:val="auto"/>
              </w:rPr>
            </w:pPr>
          </w:p>
        </w:tc>
        <w:tc>
          <w:tcPr>
            <w:tcW w:w="4620" w:type="dxa"/>
            <w:vAlign w:val="bottom"/>
            <w:gridSpan w:val="10"/>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620" w:type="dxa"/>
            <w:vAlign w:val="bottom"/>
            <w:gridSpan w:val="13"/>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6. Exhibits</w:t>
            </w:r>
          </w:p>
        </w:tc>
        <w:tc>
          <w:tcPr>
            <w:tcW w:w="6340" w:type="dxa"/>
            <w:vAlign w:val="bottom"/>
            <w:gridSpan w:val="15"/>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04"/>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80" w:type="dxa"/>
            <w:vAlign w:val="bottom"/>
            <w:gridSpan w:val="17"/>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11,992</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363,572</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current liability - LG Chem</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36,635</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Lease liability</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Deferred royalty obligation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Derivative liability</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210,876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Series A convertible preferred stock, $0.001 par value: 150,000 shares authorized;</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150,000 and 0 shares issued and outstanding at September 30, 2024 and December 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2023, respectively. Liquidation preference of $150,000 as of September 30, 2024.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 shares issued and</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outstanding at September 30, 2024 and December 31, 2023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$0.001 par value: 120,000,000 shares authorized; 61,436,251 and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59,426,559 shares issued and outstanding at September 30, 2024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1,123,768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1,064,302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(1,112,010)</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11,215</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363,572</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7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7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66,457</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312,544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on settlement of forward contract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dividends on convertible preferred stock</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(219,941)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7"/>
                <w:szCs w:val="17"/>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6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61,219,918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57,874,960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60,793,329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57,154,803</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 and diluted</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(loss) gain, net on marketable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net of tax</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Rhythm Pharmaceuticals,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Condensed Consolidated Statements of Convertible Preferred Stock &amp; Stockholders’ Equity</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340" w:type="dxa"/>
            <w:vAlign w:val="bottom"/>
            <w:gridSpan w:val="5"/>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Series A Convertible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3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20" w:type="dxa"/>
            <w:vAlign w:val="bottom"/>
          </w:tcPr>
          <w:p>
            <w:pPr>
              <w:spacing w:after="0"/>
              <w:rPr>
                <w:sz w:val="11"/>
                <w:szCs w:val="11"/>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0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Borders>
              <w:right w:val="single" w:sz="8" w:color="auto"/>
            </w:tcBorders>
          </w:tcPr>
          <w:p>
            <w:pPr>
              <w:spacing w:after="0"/>
              <w:rPr>
                <w:sz w:val="10"/>
                <w:szCs w:val="10"/>
                <w:color w:val="auto"/>
              </w:rPr>
            </w:pPr>
          </w:p>
        </w:tc>
        <w:tc>
          <w:tcPr>
            <w:tcW w:w="560" w:type="dxa"/>
            <w:vAlign w:val="bottom"/>
            <w:tcBorders>
              <w:top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0"/>
                <w:szCs w:val="10"/>
                <w:color w:val="auto"/>
              </w:rPr>
            </w:pPr>
          </w:p>
        </w:tc>
        <w:tc>
          <w:tcPr>
            <w:tcW w:w="7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Income (Loss)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December 31, 2023</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right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59,426,559</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59</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1,064,302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134</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(894,736)</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169,759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7,767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7,767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28,495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 vesting of restricted</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1,077,271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common stock as consideration for LGC license</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432,143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18,716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18,716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Unrealized loss on marketable securities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(141,372)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(141,372)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March 31, 2024</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60,964,468</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1,097,810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(181)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(1,036,108)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Issuance of Series A Preferred Stock, net of $2,250 of issuance costs</w:t>
            </w: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vMerge w:val="continue"/>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150,000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138,850</w:t>
            </w:r>
          </w:p>
        </w:tc>
        <w:tc>
          <w:tcPr>
            <w:tcW w:w="140" w:type="dxa"/>
            <w:vAlign w:val="bottom"/>
            <w:tcBorders>
              <w:right w:val="single" w:sz="8" w:color="auto"/>
            </w:tcBorders>
          </w:tcPr>
          <w:p>
            <w:pPr>
              <w:spacing w:after="0"/>
              <w:rPr>
                <w:sz w:val="8"/>
                <w:szCs w:val="8"/>
                <w:color w:val="auto"/>
              </w:rPr>
            </w:pPr>
          </w:p>
        </w:tc>
        <w:tc>
          <w:tcPr>
            <w:tcW w:w="560" w:type="dxa"/>
            <w:vAlign w:val="bottom"/>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10,358</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10,358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 vesting of restricted</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131,481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Accretion of preferred stock dividends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1,302</w:t>
            </w:r>
          </w:p>
        </w:tc>
        <w:tc>
          <w:tcPr>
            <w:tcW w:w="14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(1,302)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Unrealized loss on marketable securities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(32,261)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(32,261)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June 30, 2024</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150,000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140,152</w:t>
            </w:r>
          </w:p>
        </w:tc>
        <w:tc>
          <w:tcPr>
            <w:tcW w:w="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61,095,949</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1,108,269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(617)</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(1,068,369)</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39,343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11,001</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11,001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16,059</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597</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 vesting of restricted</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324,243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Accretion of preferred stock dividends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1,329</w:t>
            </w:r>
          </w:p>
        </w:tc>
        <w:tc>
          <w:tcPr>
            <w:tcW w:w="14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(1,329)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Unrealized gain on marketable securities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(43,641)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(43,641)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Balance at September 30, 2024</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150,000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141,481</w:t>
            </w:r>
          </w:p>
        </w:tc>
        <w:tc>
          <w:tcPr>
            <w:tcW w:w="14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61,436,251</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1,123,768</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(604)</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(1,112,010)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11,215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Balance at December 31, 2022</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96"/>
              </w:rPr>
              <w:t>56,612,429</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56</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974,356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(710,058)</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264,262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6,376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6,376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32,169</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665</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 vesting of restricted</w:t>
            </w: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207,806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unrealized gains on short-term investments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(52,179)</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(52,179)</w:t>
            </w:r>
          </w:p>
        </w:tc>
        <w:tc>
          <w:tcPr>
            <w:tcW w:w="0" w:type="dxa"/>
            <w:vAlign w:val="bottom"/>
          </w:tcPr>
          <w:p>
            <w:pPr>
              <w:spacing w:after="0"/>
              <w:rPr>
                <w:sz w:val="1"/>
                <w:szCs w:val="1"/>
                <w:color w:val="auto"/>
              </w:rPr>
            </w:pPr>
          </w:p>
        </w:tc>
      </w:tr>
      <w:tr>
        <w:trPr>
          <w:trHeight w:val="155"/>
        </w:trPr>
        <w:tc>
          <w:tcPr>
            <w:tcW w:w="44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Balance at March 31, 2023</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56,852,404</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981,950</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(762,237)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219,763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Borders>
              <w:top w:val="single" w:sz="8" w:color="CCEEFF"/>
            </w:tcBorders>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5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right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8,891</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8,891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 vesting of restricted</w:t>
            </w: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43,664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Issuance of common stock upon completion of public offering, net of offering costs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unrealized gains on short-term investments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(46,703)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(46,703)</w:t>
            </w:r>
          </w:p>
        </w:tc>
        <w:tc>
          <w:tcPr>
            <w:tcW w:w="0" w:type="dxa"/>
            <w:vAlign w:val="bottom"/>
          </w:tcPr>
          <w:p>
            <w:pPr>
              <w:spacing w:after="0"/>
              <w:rPr>
                <w:sz w:val="1"/>
                <w:szCs w:val="1"/>
                <w:color w:val="auto"/>
              </w:rPr>
            </w:pPr>
          </w:p>
        </w:tc>
      </w:tr>
      <w:tr>
        <w:trPr>
          <w:trHeight w:val="155"/>
        </w:trPr>
        <w:tc>
          <w:tcPr>
            <w:tcW w:w="44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Balance at June 30, 2023</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56,896,068</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57</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991,182</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(808,940)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182,285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Borders>
              <w:top w:val="single" w:sz="8" w:color="CCEEFF"/>
            </w:tcBorders>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5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right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ind w:right="6"/>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8,612</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8,612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Issuance of common stock in connection with ESPP</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17,650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388</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Issuance of common stock in connection with exercise of stock options and vesting of restricted</w:t>
            </w: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156,389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Issuance of common stock upon completion of ATM equity offering, net of offering costs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2,019,245</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48,873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48,875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42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Net unrealized losses on short-term investments</w:t>
            </w: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4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auto"/>
            </w:tcBorders>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(44,163)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(44,163)</w:t>
            </w:r>
          </w:p>
        </w:tc>
        <w:tc>
          <w:tcPr>
            <w:tcW w:w="0" w:type="dxa"/>
            <w:vAlign w:val="bottom"/>
          </w:tcPr>
          <w:p>
            <w:pPr>
              <w:spacing w:after="0"/>
              <w:rPr>
                <w:sz w:val="1"/>
                <w:szCs w:val="1"/>
                <w:color w:val="auto"/>
              </w:rPr>
            </w:pPr>
          </w:p>
        </w:tc>
      </w:tr>
      <w:tr>
        <w:trPr>
          <w:trHeight w:val="115"/>
        </w:trPr>
        <w:tc>
          <w:tcPr>
            <w:tcW w:w="444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Balance at September 30, 2023</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96"/>
              </w:rPr>
              <w:t>59,089,352</w:t>
            </w:r>
          </w:p>
        </w:tc>
        <w:tc>
          <w:tcPr>
            <w:tcW w:w="100" w:type="dxa"/>
            <w:vAlign w:val="bottom"/>
          </w:tcPr>
          <w:p>
            <w:pPr>
              <w:spacing w:after="0"/>
              <w:rPr>
                <w:sz w:val="10"/>
                <w:szCs w:val="10"/>
                <w:color w:val="auto"/>
              </w:rPr>
            </w:pPr>
          </w:p>
        </w:tc>
        <w:tc>
          <w:tcPr>
            <w:tcW w:w="240" w:type="dxa"/>
            <w:vAlign w:val="bottom"/>
            <w:tcBorders>
              <w:top w:val="single" w:sz="8" w:color="auto"/>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59</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1,050,631</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(853,103)</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
                <w:szCs w:val="1"/>
                <w:color w:val="auto"/>
                <w:w w:val="4294967286"/>
              </w:rPr>
              <w:t>$</w:t>
            </w: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197,474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17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(217,310)</w:t>
            </w:r>
          </w:p>
        </w:tc>
        <w:tc>
          <w:tcPr>
            <w:tcW w:w="5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(143,045)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23,879</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9,342</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accretion &amp; amortization of short-term investments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accretion of other current liability</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rent expense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 of embedded derivative liability</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settlement of forward contract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Acquired IPR&amp;D assets classified as investing activities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92,385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Inventory</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6,739</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(95,034)</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(106,774)</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short-term investments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(201,935)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(314,265)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Maturities of short-term investments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173,105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291,675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IPR&amp;D assets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(69,330)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(28,305)</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deferred royalty obligation</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(4,824)</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from ESPP</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proceeds from issuance of common stock</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48,875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royalty financing agreement, net of issuance costs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settlement of forward contract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Series A Preferred Stock, net of issuance costs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138,850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152,914</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71,945</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rates on cash</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(12,426)</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(63,084)</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5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60,409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128,005</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47,983</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64,921</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liability issued in exchange for the acquisition of IPR&amp;D</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33,669</w:t>
            </w:r>
          </w:p>
        </w:tc>
        <w:tc>
          <w:tcPr>
            <w:tcW w:w="5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exchange for IPR&amp;D</w:t>
            </w:r>
          </w:p>
        </w:tc>
        <w:tc>
          <w:tcPr>
            <w:tcW w:w="7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18,716</w:t>
            </w:r>
          </w:p>
        </w:tc>
        <w:tc>
          <w:tcPr>
            <w:tcW w:w="5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preferred stock dividends</w:t>
            </w:r>
          </w:p>
        </w:tc>
        <w:tc>
          <w:tcPr>
            <w:tcW w:w="7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50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Rhythm Pharmaceuticals, Inc. (the “Company” or “we”) is a global, commercial-stage biopharmaceutical company dedicated to transforming the lives of patients living with rare neuroendocrine diseases. We are focused on advancing our melanocortin-4 (MC4R) receptor agonists, including our lead asset, IMCIVREE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(setmelanotide), as a precision medicine designed to treat hyperphagia and severe obesity caused by rare MC4R pathway diseases. While obesity affects hundreds of millions of people worldwide, we are developing therapies for a subset of individuals who have hyperphagia, a pathological hunger that leads to abnormal food-seeking behaviors, and severe obesity due to impaired MC4R pathway signaling, which may be caused by genetic variants or injury to the hypothalamic region.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and Great Britain, Canada, and other countries and regions.</w:t>
      </w:r>
    </w:p>
    <w:p>
      <w:pPr>
        <w:spacing w:after="0" w:line="20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is a Delaware corporation organized in February 2013 under the name Rhythm Metabolic, Inc., and as of October 2015, under the name Rhythm Pharmaceuticals, Inc. The Company has wholly owned subsidiaries in the US, Ireland, the United Kingdom, the Netherlands, France, Germany, Italy, Spain and Canada.</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commercial-stage companies in the biotechnology industry, including but not limited to, risks associated with the commercialization of approved products,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Commercialization of approved products will require significant resources and in order to market IMCIVREE, the Company must continue to build its sales, marketing, managerial and other non-technical capabilities or make arrangements with third parties to perform these services.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though the Company has an approved product, and even if the Company’s further product development efforts are successful, it is uncertain when, if ever, the Company will realize sufficient revenue from product sales to fund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incurred operating losses and negative cash flows from operations since inception. As of September 30, 2024, the Company had an accumulated deficit of $1.1 billion. The Company has primarily funded these losses through the proceeds from the sales of common and preferred stock, asset sales, royalty financing, out-license arrangements, as well as capital contributions received from the former parent company, Rhythm Holdings LLC. While the Company is generating product revenue, management expects operating losses to continue for the foreseeable future. The Company has devoted substantially all of its resources to its drug development efforts, comprised of research and development, the acquisition of in process research and development assets, manufacturing, conducting clinical trials for its product candidates, protecting its intellectual property, commercialization activities and general and administrative functions relating to these operations. The future success of the Company is dependent on its ability to develop its product candidates and ultimately upon its ability to attain profitable operations.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had $298,390 of cash and cash equivalents and short-term investments on hand. On April 1, 2024, the Company entered into an Investment Agreement (the “Investment Agreement”) with certain affiliates of Perceptive Advisors LLC (“Perceptive”) and a life sciences focused institutional investor (each, an “Investor”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$147,750, net of issuance costs of $2,250, or $1,000 per share (the “Issuance”). The Issuance closed on April 15, 2024.</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future, the Company will be dependent on obtaining funding from third parties, such as proceeds from the issuance of debt, sale of equity, proceeds from out license arrangements, product sales and funded research and development programs to maintain the Company's operations and meet the Company's obligations. There is no guarantee that additional equity or other financings will be available to the Company on acceptable terms, or at all. If the Company fails to obtain additional funding when needed, the Company would be forced to scale back, terminate its operations or seek to merge with or be acquired by another company. Management believes that the Company's existing cash resources will be sufficient to fund the Company’s operations through at least the next twelve months from the filing of this Quarterly Report on Form 10-Q with the SEC.</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or GAAP, and the applicable rules and regulations of the Securities and Exchange Commission, or SEC, regarding interim financial reporting. Any reference in these notes to applicable guidance is meant to refer to the authoritative United States generally accepted accounting principles as found in the Accounting Standards Codification, or ASC, and Accounting Standards Updates, or ASU, of the Financial Accounting Standards Board, or FASB. As permitted under these rules, certain footnotes or other financial information that are normally required by GAAP have been condensed or omitted.</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2024, the condensed consolidated statements of operations and comprehensive loss for the three and nine months ended September 30, 2024 and 2023, the condensed consolidated statements of convertible preferred stock and stockholders’ equity for the three and nine months ended September 30, 2024 and 2023 and the condensed consolidated statements of cash flows for the nine months ended September 30, 2024 and 2023 and the related footnote disclosures are unaudited. In management's opinion, the unaudited condensed consolidated financial statements have been prepared on the same basis as the audited consolidated financial statements as of and for the year ended December 31, 2023 and include all adjustments, which are all normal recurring adjustments, necessary for the fair presentation of the interim financial statements. The results for the nine months ended September 30, 2024 are not necessarily indicative of the results expected for the full fiscal year, any other interim periods, or any future year or period.</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reflect the application of certain significant accounting policies as described below and elsewhere in these notes to the unaudited condensed consolidated financial statements. As of September 30, 2024, there have been no material changes in the Company's significant accounting policies from those that were disclosed in the Company’s Annual Report on Form 10-K for the year ended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The Company bases its estimates on historical experience and other market-specific or other relevant assumptions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relied upon in preparing these financial statements include estimates related to determining our net product revenue, accruals related to research and development expenses, assumptions used to record stock-based compensation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color w:val="auto"/>
        </w:rPr>
        <w:t>expense, interest expense on our deferred royalty obligation, and the valuation allowance on the Company's deferred tax assets. Estimates are periodically reviewed in light of changes in circumstances, facts and experience. Changes in estimates are recorded in the period in which they become known. Actual results could differ materially from those estimates.</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Rhythm Pharmaceuticals, Inc. and its wholly-owned subsidiaries. All significant intercompany balances and transactions have been eliminated in consolidation.</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Disclosure requirements about segments of an enterprise and related information establishes standards for reporting information regarding operating segments in annual financial statements and requires selected information of those segments to be presented in interim financial reports issued to shareholders. Operating segments are defined as components of an enterprise about which separate discrete financial information is available that is evaluated regularly by the chief operating decision maker, or decision-making group, in deciding how to allocate resources and in assessing performance. The Company’s chief operating decision maker is the chief executive officer. The Company and the chief executive officer view the Company’s operations and manage its business as one operating segment.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Company allocates, for the purpose of geographic data reporting, its revenue based upon the location of its customers. Total revenue by geographic area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58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20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23,302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44,088</w:t>
            </w:r>
          </w:p>
        </w:tc>
      </w:tr>
      <w:tr>
        <w:trPr>
          <w:trHeight w:val="21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1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3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1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33,251</w:t>
            </w:r>
          </w:p>
        </w:tc>
        <w:tc>
          <w:tcPr>
            <w:tcW w:w="300" w:type="dxa"/>
            <w:vAlign w:val="bottom"/>
          </w:tcPr>
          <w:p>
            <w:pPr>
              <w:spacing w:after="0"/>
              <w:rPr>
                <w:sz w:val="18"/>
                <w:szCs w:val="18"/>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53,194</w:t>
            </w:r>
          </w:p>
        </w:tc>
      </w:tr>
      <w:tr>
        <w:trPr>
          <w:trHeight w:val="20"/>
        </w:trPr>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2024 and December 31, 2023, long-lived assets at locations outside the United States was not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material.</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primarily of cash and cash equivalents and short-term investments, which are maintained at two federally insured financial institutions. The deposits held at these two institutions are in excess of federally insured limits. The Company has not experienced any losses in such accounts and management believes that the Company is not exposed to significant credit risk due to the financial position of the depository institutions in which those deposits are held. The Company has no off-balance sheet risk, such as foreign exchange contracts, option contracts, or other foreign hedging arrangements.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exposed to risks associated with extending credit to customers related to the sale of products. The Company does not require collateral to secure amounts due from its customers. For the three months ended September 30, 2024 and 2023, approximately 68% and 80% of all of the Company’s revenue was generated from a single customer in the United States. For the nine months ended September 30, 2024 and 2023, approximately 73% and 84% of all of the Company’s revenue was generated from a single customer in the United States. As of September 30, 2024 and December 31, 2023, approximately 65% and 73%, respectively, of the Company’s accounts receivable was outstanding from a single customer in the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third-party manufacturers and suppliers for the manufacture and supply of its product. The inability of the suppliers or manufacturers to fulfill supply requirements of the Company could materially impact future operating results. A change in the relationship with the suppliers or manufacturer, or an adverse change in their business, could materially impact future operating results.</w:t>
      </w:r>
    </w:p>
    <w:p>
      <w:pPr>
        <w:spacing w:after="0" w:line="18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relies on separate third parties to perform genetic testing in the United States and Europe, respectively. The inability of the vendors to fulfill testing services for the Company could materially impact future operating results and adversely impact our ability to further develop setmelanotide. A change in the relationship with the genetic testing service providers, or an adverse change in their business, could materially impact future operating results.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net of customer allowances for cash discounts and any estimated expected credit losses. The Company's measurement of expected credit losses is based on relevant information about past events, including historical experience, current conditions, and reasonable and supportable forecasts that affect the collectability of the reported amount. To date, the Company has not experienced any credit losses. The Company's contracts with its customers have customary payment terms that generally require payment within 90 days. The Company analyzes amounts that are past due for collectability, and periodically evaluates the creditworthiness of its customers. As of September 30, 2024 and December 31, 2023, the Company determined an allowance for doubtful accounts was not required based upon our review of contractual payments and our customers’ circumstances.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Under ASC 606, an entity recognizes revenue when its customer obtains control of promised goods or services in an amount that reflects the consideration which the entity expects to receive in exchange for those goods or services.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“U.S.”), which accounts for the largest portion of our total revenues, the Company sells its product to one specialty pharmacy. The product is distributed through third-party logistics, or 3PL, distribution agent that does not take title to the product. Once the product is delivered to the Company’s specialty pharmacy provider, our customer in the U.S., the customer (or “wholesaler”) takes title to the product. The wholesaler then distributes the product to patients. In our distribution agreement with the 3PL company, the Company acts as principal because we retain control of the product. Internationally, we make sales primarily to specialty distributors and retail pharmacy chains, as well as hospitals, many of which are government-owned or supported. The Company offers returns of product sold to the customer on a limited basis, however, no material returns have been recognized to date.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 from product sales is recognized when the customer obtains control of our product, which occurs at a point in time, upon transfer of title to the customer because at that point in time we have no ongoing obligations to the customer. There are no other performance obligations besides the sale of product. We classify payments to our customers or other parties in the distribution channel for services that are distinct and priced at fair value as selling, general and administrative expenses in our consolidated statements of operations and comprehensive loss. Otherwise, payments to a customer or other parties in the distribution channel that do not meet those criteria are classified as a reduction of revenue, as discussed further below. Taxes collected from the customer relating to product sales and remitted to governmental authorities are excluded from revenue. Because our payment terms are generally ninety days or less, the Company concluded there is not a significant financing component because the period between the transfer of a promised good or service to the customer and when the customer pays for that good or service will be one year or less. The Company expenses incremental costs of obtaining a contract as and when incurred since the expected amortization period of the asset that we would have recognized is one year or less.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 These reserves are based on the amounts earned or to be claimed on the related sales and are classified as reductions of accounts receivable (if the amount is payable to the customer) or a current liability (if the amount is payable to a party other than a customer). Where appropriate, these estimates take into consideration a range of possible outcomes that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considered probable that a significant reversal in the amount of the cumulative revenue recognized will not occur in a future period. Actual amounts of consideration ultimately received may differ from our estimates. If actual results in the future vary from our estimates, we will adjust these estimates, which would affect net product revenue and earnings in the period such variances become known.</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are the components of variable consideration related to product revenue:</w:t>
      </w:r>
    </w:p>
    <w:p>
      <w:pPr>
        <w:spacing w:after="0" w:line="22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The Company estimates obligations resulting from contractual commitments with the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entities to sell products to qualified healthcare providers and patients at prices lower than the list prices charged to our customers. The government and other entities charge us for the difference between what they pay for the product and the selling price to our customers.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The Company is subject to discount obligations under government programs,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programs, Medicare and Tricare in the United States as well as certain government rebates and pricing adjustments in certain international markets that we operate. We estimate Medicaid, Medicare and Tricare rebates based upon a range of possible outcomes that are probability-weighted for the estimated payer mix. These reserves are recorded in the same period the related revenue is recognized, resulting in a reduction of product revenue and the establishment of a liability that is included in accrued expenses and other current liabilities on our condensed consolidated balance sheets. On a quarterly basis, we update our estimates and record any adjustments in the period that we identify the adjustments.</w:t>
      </w:r>
    </w:p>
    <w:p>
      <w:pPr>
        <w:spacing w:after="0" w:line="183"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customary invoice discounts on IMCIVREE sales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our customers for prompt payment that are recorded as a reduction of revenue in the period the related product revenue is recognized. In addition, we receive and pay for various distribution services from our customers in the distribution channel. For services that are not distinct from the sale of our product, such fees are classified as a reduction of product revenue.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Our customers have limited return rights related to the product’s damage or defect.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the amount of product sales that may be returned and records the estimate as a reduction of revenue and a refund liability in the period the related product revenue is recognized. Based on the distribution model for IMCIVREE, the Company believes there will be minimal returns.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include co-payment assistance the Company provides to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insurance that have coverage and reside in states that allow co-payment assistance. The calculation of the accrual for co-pay assistance is based on an estimate of claims and the cost per claim that we expect to receive associated with product that has been recognized as revenue. The estimate is recorded as a reduction of revenue in the same period the related revenue is recognized.</w:t>
      </w:r>
    </w:p>
    <w:p>
      <w:pPr>
        <w:spacing w:after="0" w:line="18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Provisions for trade discounts, chargebacks and allowances are recorded as reductions to accounts receivable, and returns, government rebates, and other incentives are recorded as a component of accrued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F2F2F"/>
        </w:rPr>
        <w:t>LG Chem</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2F2F2F"/>
        </w:rPr>
        <w:t>In January 2024, we entered into a license agreement and share issuance agreement with LG Chem, Ltd. (“LGC”). Under the terms of the license agreement, we obtained worldwide rights to develop LGC’s proprietary compound bivamelagon (LB54640) and assumed sponsorship of two ongoing LGC Phase 2 studies designed to evaluate safety, tolerability, pharmacokinetics and weight loss efficacy of bivamelagon (LB54640). The SIGNAL trial is a randomized, placebo-controlled, double-blind study designed to enroll and evaluate approximately 28 patients with acquired hypothalamic obesity. On July 23, 2024, the Company announced that the first patients have been dosed and participants in the SIGNAL trial will receive one of three doses of bivamelagon (LB54640) or placebo by oral administration once daily for 14 weeks (patients may continue on open-label therapy for up to 52 weeks), and the primary endpoint of the study is the change from baseline in body mass index after 14 weeks of treatment. The open-label, single-arm, 16-week ROUTE trial is designed to enroll five patients with POMC or LEPR deficiency obesity.</w:t>
      </w:r>
    </w:p>
    <w:p>
      <w:pPr>
        <w:spacing w:after="0" w:line="19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F2F2F"/>
        </w:rPr>
        <w:t>We paid LGC $40.0 million in cash and issued shares of our common stock with an aggregate fair value of $18.7 million. The shares were issued at a per share price equal to the ten-day volume weighted-average closing price for our common stock, calculated as of the trading day immediately prior to January 4, 2024. We also agreed to make an additional $40.0 million payment in cash 18 months after the effective date of the license agreement. This payment has been recorded in research and development expense at its present value and reflected in other long-term liabilities on our unaudited condensed consolidated balance sheet.</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2F2F2F"/>
        </w:rPr>
        <w:t>In addition, under the terms of the license agreement, we agreed to pay LGC up to $205 million in cash upon achieving various regulatory and sales milestones based on net sales of bivamelagon (LB54640). Subject to the completion of Phase 2 development of bivamelagon (LB54640), the Company also has agreed to pay LGC royalties of between low-to-mid single digit percent of net revenues from its MC4R portfolio, including bivamelagon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(LB54640) in a region if bivamelagon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(LB54640) for the limited remainder of the royalty term in the relevant region.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RareStone Group Ltd.</w:t>
      </w:r>
    </w:p>
    <w:p>
      <w:pPr>
        <w:spacing w:after="0" w:line="25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an Exclusive License Agreement with RareStone Group Ltd.,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 The arrangement includes a license and an additional performance obligation to supply product upon the request of RareStone.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 xml:space="preserve">According to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xml:space="preserve">, RareStone has agreed to seek local approvals to commercialize IMCIVREE for the treatment of obesity and hyperphagia due to biallelic POMC, PCSK1 or LEPR deficiency, as well as Bardet-Biedl and Alström syndromes. Additionally, RareStone has agreed to fund efforts to identify and enroll patients from China in the Company’s global EMANATE trial, a Phase 3, randomized, double-blind, placebo-controlled trial to evaluate setmelanotide in four independent sub-studies in patients with obesity due to a heterozygous variant of POMC/PCSK1 or LEPR; certain variants of the SRCI gene, and certain variants of the SH2B1 gene. In accordance with the terms of the </w:t>
      </w:r>
      <w:r>
        <w:rPr>
          <w:rFonts w:ascii="Times New Roman" w:cs="Times New Roman" w:eastAsia="Times New Roman" w:hAnsi="Times New Roman"/>
          <w:sz w:val="18"/>
          <w:szCs w:val="18"/>
          <w:color w:val="000000"/>
        </w:rPr>
        <w:t>RareStone License</w:t>
      </w:r>
      <w:r>
        <w:rPr>
          <w:rFonts w:ascii="Times New Roman" w:cs="Times New Roman" w:eastAsia="Times New Roman" w:hAnsi="Times New Roman"/>
          <w:sz w:val="18"/>
          <w:szCs w:val="18"/>
          <w:color w:val="2F2F2F"/>
        </w:rPr>
        <w:t>, RareStone made an upfront payment to Rhythm of $7,000 and issued Rhythm 1,077,586 ordinary shares. The Company is eligible to receive development and commercialization milestones of up to $62,500, as well as tiered royalty payments on annual net sales of IMCIVREE.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2F2F2F"/>
        </w:rPr>
        <w:t>The Company initially estimated the fair value of the RareStone equity to be $2,440 based on a preliminary valuation during the first quarter of 2022. Upon completion of the valuation procedures during the second quarter of 2022, the Company concluded the initial fair value of the RareStone equity to be $1,040. During the third quarter of 2022, the Company estimated the fair value of the RareStone equity to be de minimis based upon the results of an updated valuation and recorded an other-than-temporary impairment of $1,040 related to the decline in fair value as a component of other expense in our consolidated statements of operations and other comprehensive loss for the year ended December 31, 2022. The other-than-temporary impairment of $1,040 included the reclassification of a $300 unrealized loss previously recorded as a component of accumulated other comprehensive income (loss) in our condensed consolidated statement of stockholders’ equity during the second quarter of 2022.</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F2F2F"/>
        </w:rPr>
        <w:t>The Company received total upfront consideration of $8,040 comprised of an upfront payment of $7,000, and the estimated fair value of the RareStone equity of $1,040. The Company determined that the RareStone License contains two performance obligations, the delivery of the license and the supply of clinical and commercial product. The Company further determined the supply of commercial product to RareStone contains a significant future discount and estimates the discount to be $1,286, which is recorded as a component of deferred revenue on the consolidated balance sheet at September 30, 2024 and December 31, 2023.</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No license revenue was recognized during three and six months ended September 30, 2024 and 2023, respectively.</w:t>
      </w:r>
    </w:p>
    <w:p>
      <w:pPr>
        <w:spacing w:after="0" w:line="23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October 28, 2022, we delivered written notice, or the October Notice, to RareStone that we have terminated the RareStone License for cause. In accordance with the Notice, we maintain that RareStone has materially breached its obligations under the RareStone License to fund, perform or seek certain key clinical studies and waivers, including with respect to our global EMANATE trial, among other obligations. On December 21, 2022, RareStone provided written notice to us that it objects to the claims in the Notice, including our termination of the RareStone License for cause. On March 16, 2023, we provided written notice, or the March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Notice.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May 10, 2023, RareStone provided written notice to the Company reaffirming its objections to the claims in our October Notice and March Notice, including to the Company’s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Royalty Obligation</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treats the debt obligation to HealthCare Royalty Management, LLC as discussed further in Note 13, “Long-Term Obligations”, as a deferred royalty obligation, amortized using the effective interest rate method over the estimated life of the revenue streams. The Company recognizes interest expense thereon using the effective rate, which is based on our current estimates of future revenues over the life of the arrangement. In connection therewith, the Company periodically assesses its expected revenues using internal projections, imputes interest on the carrying value of the deferred royalty obligation, and records interest expense using the imputed effective interest rate. To the extent the Company’s estimates of future revenues are greater or less than previous estimates or the estimated timing of such payments is materially different than previous estimates, the Company will account for any such changes by adjusting the effective interest rate on a prospective basis, with a corresponding impact to the reclassification of our deferred royalty obligation. The assumptions used in determining the expected repayment term of the deferred royalty obligation and amortization period of the issuance costs requires the Company to make estimates that could impact the classification of such costs, as well as the period over which such costs will be amortized.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Prior to receiving approval from the FDA in November 2020 to sell IMCIVREE in the United States, the Company expensed all costs incurred related to the manufacture of IMCIVREE as research and development expense because of the inherent risks associated with the development of a drug candidate, the uncertainty about the regulatory approval process and the lack of history for the Company of regulatory approval of drug candidates. The Company values inventories at the lower of cost or estimated net realizable value. The Company determines the cost of inventories, which includes amounts related to materials and manufacturing overhead, on a first-in, first-out basis. Raw materials and work in process includes all inventory costs prior to packaging and labelling, including raw materials, active pharmaceutical ingredient, and drug product. Finished goods include packaged and labelled products. Raw materials and work in process that may be used for either research and development or commercial sale are classified as inventory until the material is consumed or otherwise allocated for research and development. If the material is intended to be used for research and development, it is expensed as research and development once that determination is made.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Cost of product sales consists of manufacturing costs, transportation and freight, amortization of capitalized intangibles, royalty payments and indirect overhead costs associated with the manufacturing and distribution of IMCIVREE. Cost of product sales may also include periodic costs related to certain manufacturing services and inventory adjustment charges. Finally, cost of sales may also include costs related to excess or obsolete inventory adjustment charges, abnormal costs, unabsorbed manufacturing and overhead costs, and manufacturing variances.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Definite-lived intangible assets related to capitalized milestones under license agreements are amortized on a straight-line basis over their remaining useful lives, which are estimated to be the remaining patent life. If our estimate of the product’s useful life is shorter than the remaining patent life, then a shorter period is used. Amortization expense is recorded as a component of cost of sales on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and equipment and finite lived intangible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The Company measures recoverability of assets to be held and used by comparing the carrying amount of an asset to the future undiscounted net cash flows expected to be generated by the asset. If such assets are considered to be impaired, the Company measures the impairment to be recognized by the amount by which the carrying amount of the asset exceeds the fair value of the asset, less the cost to sell. No events or changes in circumstances existed to require an impairment assessment during the three and nine months ended September 30, 2024 and 2023,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Acquired IPR&amp;D and Milestone Expenses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an asset acquisition, payments incurred prior to regulatory approval to acquire rights to in-process research and development projects are expensed as acquired IPR&amp;D and recorded as a component of research and development expense in the condensed consolidated statements of operations and comprehensive net loss unless the project has an alternative future use. These costs include upfront and development milestone payments related to licensing arrangements, or other asset acquisitions that provide rights to develop, manufacture and/or sell pharmaceutical products. Where contingent development milestone payments are due to third parties, prior to regulatory approval, the payment obligations are expensed when the achievement of the underlying milestone becomes probable. Regulatory and commercial milestone payments made to third parties subsequent to regulatory approval are capitalized as intangible assets and amortized to cost of products sold over the remaining useful life of the related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operations occurs in subsidiaries that have the U.S. dollar denominated as its functional currency. The assets and liabilities of the Company’s subsidiaries with functional currencies other than the U.S. dollar are translated into U.S. dollars at exchange rates in effect at the balance sheet date. Revenue and expense amounts for these subsidiaries are translated using the average exchange rates for the period. Changes resulting from foreign currency translation are included in accumulated other comprehensive income (loss) on the Company’s consolidated statement of stockholders’ equity. Net foreign currency exchange transaction gains (losses), which are included in other (expense) income, net on our consolidated statements of operations, were immaterial for the three and nine months ended September 30, 2024 and 2023.</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jc w:val="both"/>
        <w:ind w:left="1500" w:right="59" w:hanging="80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1500" w:right="59" w:hanging="809"/>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Company’s cash equivalents and marketable securities and derivative liability at September 30, 2024 and December 31, 2023 were carried at fair value, determined according to the fair value hierarchy. See Note 6 for further discussion.</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sheets for accounts payable and accrued expenses and other current liabilities approximate their fair values due to their short-term maturities at September 30, 2024 and December 31,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shareholders by the weighted average number of common shares outstanding during the period, without consideration of potential dilutive securities. Diluted net loss per common share is computed by adjusting the weighted average shares outstanding for the potential dilutive effects of common stock equivalents outstanding during the period calculated in accordance with the treasury stock method. For purposes of the diluted net loss per share calculation, stock options, performance stock units and restricted stock units are considered to be common stock equivalents but have been excluded from the calculation of diluted net loss per share, as their effect would be anti-dilutive for all periods presented. Therefore, basic and diluted net loss per share is the same for all periods presented.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potential common shares that were excluded from the computation of diluted net loss per share as their effect would have been anti-dilutive for the periods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Performance stock units</w:t>
      </w:r>
    </w:p>
    <w:p>
      <w:pPr>
        <w:spacing w:after="0" w:line="9" w:lineRule="exact"/>
        <w:rPr>
          <w:sz w:val="20"/>
          <w:szCs w:val="20"/>
          <w:color w:val="auto"/>
        </w:rPr>
      </w:pPr>
    </w:p>
    <w:p>
      <w:pPr>
        <w:ind w:left="60"/>
        <w:spacing w:after="0" w:line="255" w:lineRule="auto"/>
        <w:rPr>
          <w:sz w:val="20"/>
          <w:szCs w:val="20"/>
          <w:color w:val="auto"/>
        </w:rPr>
      </w:pPr>
      <w:r>
        <w:rPr>
          <w:rFonts w:ascii="Times New Roman" w:cs="Times New Roman" w:eastAsia="Times New Roman" w:hAnsi="Times New Roman"/>
          <w:sz w:val="18"/>
          <w:szCs w:val="18"/>
          <w:color w:val="auto"/>
        </w:rPr>
        <w:t>Common stock reserved for the conversion of Series A convertible preferred stock</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Potential common shares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46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8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10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6,783,859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6,881,198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6,783,859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6,881,198</w:t>
            </w:r>
          </w:p>
        </w:tc>
      </w:tr>
      <w:tr>
        <w:trPr>
          <w:trHeight w:val="216"/>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1,081,619</w:t>
            </w:r>
          </w:p>
        </w:tc>
      </w:tr>
      <w:tr>
        <w:trPr>
          <w:trHeight w:val="234"/>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582,319</w:t>
            </w:r>
          </w:p>
        </w:tc>
      </w:tr>
      <w:tr>
        <w:trPr>
          <w:trHeight w:val="324"/>
        </w:trPr>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209"/>
        </w:trPr>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11,969,685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8,545,136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11,969,685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8,545,136</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-864870</wp:posOffset>
            </wp:positionV>
            <wp:extent cx="564896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-582295</wp:posOffset>
            </wp:positionV>
            <wp:extent cx="56489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-170815</wp:posOffset>
            </wp:positionV>
            <wp:extent cx="56489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4020" w:space="400"/>
            <w:col w:w="4599"/>
          </w:cols>
          <w:pgMar w:left="1440" w:top="513" w:right="1440" w:bottom="1440" w:gutter="0" w:footer="0" w:header="0"/>
          <w:type w:val="continuous"/>
        </w:sectPr>
      </w:pPr>
    </w:p>
    <w:p>
      <w:pPr>
        <w:spacing w:after="0" w:line="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standard requires disclosure of incremental segment information on an annual and interim basis and allows for multiple measures of a segment’s profit or loss provided that one of those measures is consistent with GAAP. The amendments in this update do not change how a public company identifies its operating segments, aggregates those operating segments, or applies the quantitative thresholds to determine its reportable segments, but rather requires public entities to provide in interim periods all disclosures about a reporting segment’s profit or loss and assets that are currently required annually. ASU 2023-07 becomes effective for the annual period starting on January 1, 2024, and for interim periods starting on January 1, 2025. Early adoption is permitted. The Company is currently evaluating the disclosure requirements related to the new standard but does not anticipate a material impact to its net financial position.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Asset Acquisitions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LG Chem, Ltd.</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January 4, 2024, the Company entered into a license agreement and share issuance agreement with LG Chem, Ltd. (“LGC”). Under the terms of the license agreement, the Company obtained worldwide rights to LGC’s proprietary compound bivamelagon (LB54640) and assumed sponsorship of two ongoing LGC Phase 2 studies designed to evaluate safety, tolerability, pharmacokinetics and weight loss efficacy of bivamelagon (LB54640).</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total purchase consideration of $92.4 million was composed of $40.0 million of cash paid at closing and issued shares of the Company’s common stock with an aggregate value of $20.0 million. The shares were issued at a per share price equal to the ten-day volume weighted average closing price for our common stock, calculated as of the trading day immediately prior to January 4, 2024. As of January 4, 2024, the fair value of common stock issued was $18.7 million. The total purchase consideration also includes an additional $40.0 million license fee payable in 18 months, whose present value at closing was $33.7 million, and $0.8 million of transaction costs which are recorded as selling, general and administrative expenses. The carrying value of the license fee payable is $36.6 million as of September 30, 2024.</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under the terms of the license agreement, we agreed to pay LGC up to $205 million in cash upon achieving various regulatory and sales milestones based on net sales of bivamelagon (LB54640). In addition and subject to the completion of Phase 2 development of bivamelagon (LB54640), the Company has agreed to pay LGC royalties of between low-to-mid single digit percent of net revenues from its MC4R portfolio, including bivamelagon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(LB54640) in a region if bivamelagon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(LB54640) for the limited remainder of the royalty term in the relevant region.</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In-Process Research and Development (“IPR&amp;D”) assets. However, since the IPR&amp;D assets were determined to have no alternative future use, the Company recognized the $92.4 million of purchase consideration as research and development expense in the nine months ended September 30, 2024.</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LGC transaction in the period in which the achievement of the underlying milestones becomes probable.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Xinvento B.V.</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February 27, 2023, the Company, through its wholly-owned Dutch subsidiary, Rhythm Pharmaceuticals Netherlands B.V., a Dutch private limited liability company (“Rhythm BV”), entered into a Share Purchase Agreement (the “Purchase Agreement”) with Xinvento B.V., a Dutch private limited liability company based in the Netherlands (“Xinvento”), and the other parties named therein, pursuant to which, and concurrently with the execution thereof, Rhythm BV acquired all of the issued and outstanding shares of Xinvento. The aggregate consideration at closing was approximately $5,667, inclusive of transaction costs, as adjusted pursuant to the terms of the Purchase Agreement and subject to the distribution and payment terms set forth therein (the “Closing Purchase Price”).</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Closing Purchase Price, the Purchase Agreement provides for the payment of additional contingent consideration totaling up to $206,000 upon achievement of certain development, regulatory and commercial milestones by Xinvento, as follows: (i) up to an aggregate of $6,000 in clinical development milestones; (ii) up to an aggregate of $125,000 in regulatory approval and commercial milestones; and (iii) up to an aggregate of $75,000 in sales milestones in the event a second molecule is selected, developed and approved.</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total purchase consideration of $5,667 was composed of $4,520 of cash paid at closing, a $500 holdback, paid in the three months ended March 31, 2024, and $647 of acquisition-related costs. The Company determined that substantially all of the value as of acquisition date related to Xinvento’s IPR&amp;D. As a result, the Company determined this transaction should be accounted for as an asset acquisition.</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assets acquired were IPR&amp;D assets. However, since the IPR&amp;D assets were determined to have no alternative future use, the Company recognized the $5,667 of purchase consideration as research and development expense in the year ended December 31, 2023.</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additional contingent consideration did not meet the definition of a derivative as of the acquisition date. Therefore, the Company did not record a contingent consideration liability on the acquisition date. The Company will recognize any future contingent consideration payments related to the Xinvento transaction in the period in which the achievement of the underlying milestones becomes probable.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WIP</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Inventory</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13,895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7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related</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12,952</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Royalties</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54,797</w:t>
            </w: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of Financial Assets and Liabilities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and December 31, 2023, the carrying amount of cash and cash equivalents and short-term investments was $298,390 and $275,846 respectively, which approximates fair value. Cash and cash equivalents and short-term investments includes investments in U.S. treasury securities and money market funds that invest in U.S. government securities that are valued using quoted market prices. Accordingly, money market funds and government funds are categorized as Level 1. The financial assets valued based on Level 2 inputs consist of corporate debt securities and commercial paper, which consist of investments in highly-rated investment-grade corporations.</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level of the fair value hierarchy utilized to determine such fair value:</w:t>
      </w:r>
    </w:p>
    <w:p>
      <w:pPr>
        <w:spacing w:after="0" w:line="16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September 30, 2024 using:</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201,214</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December 31, 2023 using:</w:t>
      </w:r>
    </w:p>
    <w:tbl>
      <w:tblPr>
        <w:tblLayout w:type="fixed"/>
        <w:tblInd w:w="60" w:type="dxa"/>
        <w:tblCellMar>
          <w:top w:w="0" w:type="dxa"/>
          <w:left w:w="0" w:type="dxa"/>
          <w:bottom w:w="0" w:type="dxa"/>
          <w:right w:w="0" w:type="dxa"/>
        </w:tblCellMar>
      </w:tblPr>
      <w:tr>
        <w:trPr>
          <w:trHeight w:val="142"/>
        </w:trPr>
        <w:tc>
          <w:tcPr>
            <w:tcW w:w="40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45,847</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and commercial paper</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215,765</w:t>
            </w:r>
          </w:p>
        </w:tc>
      </w:tr>
      <w:tr>
        <w:trPr>
          <w:trHeight w:val="249"/>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220,744</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261,612</w:t>
            </w:r>
          </w:p>
        </w:tc>
      </w:tr>
      <w:tr>
        <w:trPr>
          <w:trHeight w:val="197"/>
        </w:trPr>
        <w:tc>
          <w:tcPr>
            <w:tcW w:w="4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7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9"/>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0"/>
        </w:trPr>
        <w:tc>
          <w:tcPr>
            <w:tcW w:w="4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derivative liability relates to our Royalty Interest Financing Agreement (RIFA) with HealthCare Royalty Partners was determined using Level 3 inputs. The fair value measurement of the derivative liability is sensitive to changes in the unobservable inputs used to value the financial instrument. Changes in the inputs could result in changes to the fair value of each financial instrument.</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embedded derivative liability associated with our deferred royalty obligation, as discussed further in Note 13, “Long-Term Obligations”, is measured at fair value using an option pricing Monte Carlo simulation model and is included as a component of the deferred royalty obligation on the condensed consolidated balance sheets. The embedded derivative liability is subject to remeasurement at the end of each reporting period, with changes in fair value recognized as a component of other (expense) income, net. The assumptions used in the option pricing Monte Carlo simulation model include: (1) our estimates of the probability and timing of related events; (2) the probability-weighted net sales of IMCIVREE, including worldwide net product sales, upfront payments, milestones and royalties; (3) our risk-adjusted discount rate that includes a company specific risk premium; (4) our cost of debt; (5) volatility; and (6) the probability of a change in control occurring during the term of the instrument.</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forward contract associated with our Series A Convertible Preferred Stock, as discussed further in Note 10, “Series A Preferred Stock”, is measured at fair value. In order to value the forward contract, a binomial lattice model was used to determine the fair value of the Series A Preferred Stock. The fair value of the forward contract was measured as the difference between the consideration payable of $150,000 and the fair value of the Series A Preferred Stock. The fair value of the forward contract was determined to be $0 at initial issuance and the change in the fair value from initial issuance to settlement of $8,900 was recognized as other income in the condensed consolidated statements of operation for the nine months ended September 30, 2024. The assumptions used in the binomial lattice model include: (1) the Company’s common stock price on the issuance and settlement dates; (2) the Conversion Price as of $48.00 as per the Agreement; (3) a 20-year term to maturity; (4) an estimate of the Company’s credit risk-adjusted discount rate; and (5) volatility.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61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aggregate estimated fair value of Level 3 liabilities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embedded derivative</w:t>
            </w:r>
          </w:p>
        </w:tc>
        <w:tc>
          <w:tcPr>
            <w:tcW w:w="2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of forward contract - Series A Convertible Preferred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forward contract</w:t>
            </w:r>
          </w:p>
        </w:tc>
        <w:tc>
          <w:tcPr>
            <w:tcW w:w="2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(8,900)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aggregate estimated fair value of Level 3 liabilities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securities: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 within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year)</w:t>
            </w:r>
          </w:p>
        </w:tc>
        <w:tc>
          <w:tcPr>
            <w:tcW w:w="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200,864</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201,214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Treasury Securities (due within 1 year)</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250,348</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250,869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Corporate debt securities and commercial paper (due within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year)</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215,490</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3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Right of Use Asset and Lease Liability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a material operating lease for its head office facility located in Boston, Massachusetts and other immaterial operating leases for certain equipment. On May 2, 2024, the Company entered into an agreement to amend the current operating lease agreement for its head office facility. Under the amendment, the current lease was extended for five years through July 31, 2030, with $5.7 million committed to future lease payments. The Company acquired Right of Use Assets of $3.1 million under the amended operating lease.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measured the lease liability associated with the office lease modification using an incremental borrowing rate (“IBR”) of 13%. The Company estimated the IBR for the leased asset based on a range of comparable interest rates the Company would incur to borrow an amount equal to the lease payments on a collateralized basis over a similar term in a similar economic environment. As of September 30, 2024, the Company has not entered into any lease arrangements classified as a finance lease.</w:t>
      </w:r>
    </w:p>
    <w:p>
      <w:pPr>
        <w:spacing w:after="0" w:line="18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Rent expense, or operating lease costs, was $302, $908, $280 and $867, for the three and nine month periods ended September 30, 2024 and 2023.</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Supplemental cash flow information related to the Company’s lease for the nine months ended September 30, 2024 and 2023, includes cash payments of $636 and $623, respectively, used in the measurement of its operating lease liability. As of September 30, 2024, the Company’s operating lease liability has a weighted average remaining lease term of approximately five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maturities of the Company’s operating lease liability related to office space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2024, all of which is under a non-cancellable operating lease:</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w w:val="97"/>
              </w:rPr>
              <w:t>Total operating lease payments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2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tcBorders>
              <w:bottom w:val="single" w:sz="8" w:color="auto"/>
            </w:tcBorders>
            <w:gridSpan w:val="5"/>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life (years)</w:t>
            </w:r>
          </w:p>
        </w:tc>
        <w:tc>
          <w:tcPr>
            <w:tcW w:w="140" w:type="dxa"/>
            <w:vAlign w:val="bottom"/>
          </w:tcPr>
          <w:p>
            <w:pPr>
              <w:spacing w:after="0"/>
              <w:rPr>
                <w:sz w:val="11"/>
                <w:szCs w:val="11"/>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1"/>
                <w:szCs w:val="11"/>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84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Milestones</w:t>
            </w:r>
          </w:p>
        </w:tc>
        <w:tc>
          <w:tcPr>
            <w:tcW w:w="13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9,000</w:t>
            </w:r>
          </w:p>
        </w:tc>
        <w:tc>
          <w:tcPr>
            <w:tcW w:w="9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   (2,612)</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6,388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9,000</w:t>
            </w:r>
          </w:p>
        </w:tc>
        <w:tc>
          <w:tcPr>
            <w:tcW w:w="100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   (1,972)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Company’s finite-lived net intangible assets, which totaled $6,388 resulted from the capitalization of certain milestone payments made to Ipsen Pharma, S.A.S., or Ipsen, in accordance with the terms of the Company’s license agreement with Ipsen, in connection with the Company’s first commercial sale of IMCIVREE in the U.S. in March 2021 and in France in March 2022.</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2024, amortization expense for the next five years and beyond is summarized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1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r>
      <w:tr>
        <w:trPr>
          <w:trHeight w:val="20"/>
        </w:trPr>
        <w:tc>
          <w:tcPr>
            <w:tcW w:w="6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totaled $214, $641, $214, and $641 for the three and nine months ended September 30, 2024 and 2023, respectively. Amortization expense is included in cost of sales in the condensed consolidated statements of operations and comprehensive loss.</w:t>
      </w: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(benefit) provision of approximately ($344), $436, $368, and $368 for the three and nine months ended September 30, 2024 and 2023, respectively. The income tax provision is a result of taxable income from the Company’s foreign jurisdictions. The Company expects to maintain a full valuation allowance against its net deferred tax assets for the year ended December 31,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Series A Convertible Preferred Stock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April 1, 2024, the Company entered into an Investment Agreement (the “Investment Agreement”) with certain affiliates of Perceptive Advisors LLC (“Perceptive”) and certain other investors (each, an “Investor” and collectively, the “Investors”), relating to the issuance and sale of 150,000 shares of a new series of the Company’s Series A Convertible Preferred Stock, par value $0.001 per share, titled the “Series A Convertible Preferred Stock” (the “Convertible Preferred Stock”), for an aggregate purchase price of $147,750, net of $2,250 of issuance costs, or $1,000 per share (the “Issuance”). The Issuance closed on April 15, 2024.</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determined the obligation to issue 150,000 shares of Convertible Preferred Stock to Perceptive and Investors in the future at a set price represented a forward contract which was required to be accounted for at fair value. The fair value of the forward contract was measured as the difference between the fair value of the Series A Preferred Stock, as determined using a binomial lattice valuation model, and the consideration payable to the Company. The assumptions used in the binomial lattice model include: (1) the Company’s common stock price on the issuance and settlement dates; (2) the Conversion Price as of $48.00 as per the Agreement; (3) a 20-year term to maturity; (4) an estimate of the Company’s credit risk-adjusted discount rate; and (5) volatility. The fair value of the forward contract upon issuance was determined to be $0. Upon closing, the value of the forward contract was determined to be $8,900 and the fair value of the Convertible Preferred Stock was determined to be $141,100. The Convertible Preferred Stock was recorded at its fair value on the Issuance and the change in fair value of the forward contract was recorded as other income in its consolidated statement of operations for the nine months ended September 30, 2024. Issuance costs of $2,250 were incurred and recorded as a reduction in the carrying value of the Convertible Preferred Stock in the three months ended June 30, 2024.</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classifies its Series A Convertible Preferred Stock outside of stockholders’ equity as the redemption of such shares is outside the Company’s control. The Company did not adjust the carrying values of the Series A Convertible Preferred Stock to redemption value as the shares are not probable of becoming redeemable as of September 30, 2024.</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Convertible Preferred Stock has the following rights and privileges: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Series A Preferred Stock will rank senior to the Company’s common stock with respect to the distribution of assets upon the Company’s liquidation, dissolution or winding up.</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(“Liquidation”), each holder of Convertible Preferred Stock shall be entitled to receive payment for the greater of (i) 1.75 multiplied by the sum of the Liquidation Preference (i.e., Initial Liquidation Preference of $1,000 per share plus Paid-in-Kind (“PIK”) Dividends) plus unpaid Regular Dividends (to the extent such accumulated and unpaid Regular Dividends are not included in such Liquidation Preference) or (ii) the amount such holder would have received if the Series A Preferred Stock were fully converted to common stock. If the assets available for distribution are not sufficient to pay the holders of the Convertible Preferred Stock pursuant to the preceding sentence, the assets will be distributed ratably to the holders of the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Holders of the Convertible Preferred Stock have the right to vote with the holders of common stock on each matter submitted for a vote on an as-converted basis, subject to the terms of the Convertible Preferred Stock as specified in the Amended and Restated Certificate of Designations.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holders of the Convertible Preferred Stock shall also have certain protective voting rights. Specifically, as long as the Series A Preferred Stock are outstanding, each of the following events require at least a two thirds affirmative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vote of the Series A Preferred Stock holders: (a) any amendment or modification of the Certificate of Incorporation to authorize or create, or to increase the authorized number of shares of, any class or series of Dividend Parity Stock, Liquidation Parity Stock, Dividend Senior Stock or Liquidation Senior Stock, (b) any amendment, modification, repeal or waiver of any provision of the Certificate of Incorporation or the Amended and Restated Certificate of Designations that adversely affects the rights, preferences, privileges or powers of the Convertible Preferred Stock, (c) increase or decrease the number of authorized shares of Convertible Preferred Stock or issue additional shares of Convertible Preferred Stock,</w:t>
      </w:r>
    </w:p>
    <w:p>
      <w:pPr>
        <w:spacing w:after="0" w:line="5" w:lineRule="exact"/>
        <w:rPr>
          <w:sz w:val="20"/>
          <w:szCs w:val="20"/>
          <w:color w:val="auto"/>
        </w:rPr>
      </w:pPr>
    </w:p>
    <w:p>
      <w:pPr>
        <w:jc w:val="both"/>
        <w:ind w:left="60" w:right="59" w:hanging="10"/>
        <w:spacing w:after="0" w:line="250" w:lineRule="auto"/>
        <w:tabs>
          <w:tab w:leader="none" w:pos="3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consolidation or combination with, or merger with or into, another Person, or any binding or statutory share exchange or involving the Convertible Preferred Stock, in each case unless: (i) the Convertible Preferred Stock either</w:t>
      </w:r>
    </w:p>
    <w:p>
      <w:pPr>
        <w:jc w:val="both"/>
        <w:ind w:left="60" w:right="59" w:hanging="10"/>
        <w:spacing w:after="0" w:line="251" w:lineRule="auto"/>
        <w:tabs>
          <w:tab w:leader="none" w:pos="3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remains outstanding after such consolidation, combination, merger, share exchange or reclassification; or (y) is converted or reclassified into, or is exchanged for, or represents solely the right to receive, preference securities of the continuing, resulting or surviving Person of such consolidation, combination, merger, share exchange or reclassification, or the parent thereof; (ii) the Convertible Preferred Stock that remains outstanding or such preference securities, as applicable, have rights, preferences and voting powers that, taken as a whole, are not materially less favorable to the Holders or the holders thereof, as applicable, than the rights, preferences and voting powers, taken as a whole, of the Convertible Preferred Stock immediately before the consummation of such consolidation, combination, merger, share exchange or reclassification; and (iii) the issuer of the Convertible Preferred Stock that remains outstanding or such preference securities, as applicable, is a corporation duly organized and existing under the laws of the United States of America, any State thereof or the District of Columbia that, if not the Company, will succeed to the Company under the Amended and Restated Certificate of Designations and the Convertible Preferred Stock.</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the right to redeem all Convertible Preferred Stock after the Redemption Trigger Date, which is the fifth anniversary of the Initial Issue Date of April 15, 2024. The amount payable on the redemption date is equal to the Liquidation Preference (i.e., Initial Liquidation Preference of $1,000 per share plus PIK Dividends) plus any unpaid Regular Dividends (to the extent such accumulated and unpaid Regular Dividends are not included in such Liquidation Preference).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occurs, each holder shall have the right to require the Company to repurchase all, or any whole number of shares that is less than all, of the holder’s Series A Preferred Stock at an amount equal to 1.75 multiplied by the sum of the Liquidation Preference (i.e., Initial Liquidation Preference of $1,000 per share plus PIK Dividends) plus any unpaid Regular Dividends (to the extent such accumulated and unpaid Regular Dividends are not included in such Liquidation Preference). As of September 30, 2024, the Company did not adjust the carrying value of the Series A Preferred Stock to its redemption value, since a change of control was determined to not be probable.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After the second anniversary, dividends on the Convertible Preferred Stock accrue quarterly, at a 6% annual rate, and if not paid out in cash before the quarter end, will become PIK Dividends and added to the liquidation preference, or original issue price plus PIK Dividends. Since dividends do not commence until the second anniversary of the Issuance, the Convertible Preferred Stock is considered increasing rate preferred stock. Accordingly, the Company accretes the dividends, using the effective interest method, from Issuance to the first contractual call date, April 15, 2029. The Company accrued dividends of $1,329 for the three months ended September 30, 2024, as a reduction to Additional Paid-In Capital and an increase to the carrying value of Convertible Preferred Stock. The carrying value of Convertible Preferred Stock as of September 30, 2024 is $141,481.</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Conversions:</w:t>
      </w:r>
    </w:p>
    <w:p>
      <w:pPr>
        <w:spacing w:after="0" w:line="227"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Holders of Convertible Preferred Stock have the option to convert any number of whole shares at any time. The conversion is based on the sum of the Liquidation Preference plus unpaid Dividends divided by the $48.00 Conversion Price. Given the Initial Liquidation Preference of $1,000, each share of Convertible Preferred Stock would be convertible into 20.8333 shares of common stock, prior to any adjustments such as PIK Dividends, unpaid Dividends, stock splits, or voluntary conversion rate increases. Upon conversion, cash will be paid in lieu of any fractional share of common stock. However, based on certain restrictions on the conversion of the Convertible Preferred Stock specified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Amended and Restated Certificate of Designations, a holder of Convertible Preferred Stock is not entitled to effect a conversion of any portion of its shares of Convertible Preferred Stock, or to vote in its capacity as a holder of shares of Convertible Preferred Stock with respect to matters submitted to holders of the common stock if, after giving effect to such conversion, that holder would beneficially own in excess of 4.99%, in the case of one holder, or 9.99%, in the case of the other holder, of the number of shares of common stock outstanding immediately after giving effect to such exercise.</w:t>
      </w:r>
    </w:p>
    <w:p>
      <w:pPr>
        <w:spacing w:after="0" w:line="18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July 10, 2024, the Company filed with the Securities Exchange Commission (the “SEC”) a prospectus supplement to the prospectus included in the Company’s registration statement on Form S-3ASR filed with the SEC on March 2, 2023, covering the resale from time to time by the Investors of up to an aggregate of 3,124,995 shares of common stock, to satisfy registration rights that the Company granted to such stockholders in connection with the Issuance.</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2024, an aggregate of 15,407,579 shares of common stock were reserved for issuance under the Company’s stock plans, which number includes stock options, restricted stock units, and performance stock units that have been granted covering 8,844,685 shares of common stock, 150,000 shares of Convertible Preferred Stock potentially convertible into 3,125,000 shares of common stock, and 1,872,738 shares of common stock that remain available for future grants under the Company’s 2017 Equity Incentive Plan (the “2017 Plan”), 2017 Employee Stock Purchase Plan and 2022 Employment Inducement Plan (the “Inducement Plan”).</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November 2, 2021, the Company entered into a Sales Agreement with Cowen and Company, LLC (“Cowen”), pursuant to which the Company may issue and sell shares of its common stock, having an aggregate offering price of up to $100.0 million, from time to time through an “at the market” equity offering program under which Cowen acts as sales agent (the “ATM Program”). Between August 10, 2023 and August 21, 2023, the Company sold approximately two million shares of its common stock in the ATM Program for net proceeds of approximately $48.9 million. The Company intends to use the net proceeds from the ATM Program to support its global commercialization efforts for IMCIVREE clinical development programs in hypothalamic obesity and other rare MC4R pathway diseases.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On January 4, 2024, the Company issued 432,143 shares of common stock as partial consideration for its acquisition of the worldwide rights to LGC’s proprietary compound bivamelagon (LB54640).</w:t>
      </w:r>
    </w:p>
    <w:p>
      <w:pPr>
        <w:spacing w:after="0" w:line="16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February 9, 2022, the Company’s board of directors adopted the Inducement Plan, without stockholder approval pursuant to Rule 5635(c)(4) of the Nasdaq Stock Market LLC listing rules or Rule 5635(c)(4). In accordance with Rule 5635(c)(4), awards under the Inducement Plan may only be made to a newly hired employee who has not previously been a member of the Company’s board of directors, or an employee who is being rehired following a bona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fide period of non-employment by the Company or a subsidiary, as a material inducement to the employee’s entering into employment with the Company or its subsidiary. An aggregate of 1,000,000 shares of the Company’s common stock have been reserved for issuance under the Inducement Plan. The Company continues to grant awards under the 2017 Plan pursuant to the terms thereof.</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of stock options granted under the Inducement Plan is not less than the fair market value of a share of the Company’s common stock on the grant date. Other terms of awards, including vesting requirements, are determined by the Company’s board of directors and are subject to the provisions of the Inducement Plan. Stock options granted to employees generally vest over a four-year period but may be granted with different vesting terms. Certain options may provide for accelerated vesting in the event of a change in control. Stock options granted under the Inducement Plan expire no more than 10 years from the date of grant. As of September 30, 2024, 570,603 stock option awards and 386,535 restricted stock unit awards have been granted under the Inducement Plan. As of September 30, 2024, 42,862 shares of common stock are available for future grant under the Inducement Plan.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Related-Party Transactions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Expenses paid directly to related parties for the three and nine months ended September 30, 2024 and 2023, were immaterial. Outstanding payments due to related parties as of September 30, 2024 and December 31, 2023 were immaterial.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Long-Term Obligations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16, 2022, we entered into a RIFA with entities managed by HealthCare Royalty Management, LLC, collectively referred to as the Investors. Pursuant to the RIFA and subject to customary closing conditions, the Investors have agreed to pay the Company an aggregate investment amount of up to $100,000, or the Investment Amount. Under the terms of the RIFA, we received $37,500 on June 29, 2022 upon FDA approval of IMCIVREE in BBS, referred to as the Initial Investment Amount, and we received an additional $37,500 on September 29, 2022 of the Investment Amount upon EMA approval for BBS. On September 12, 2023, we received the remaining $24,370 of the Investment Amount, net of debt issuance costs, following the achievement of a specified amount of cumulative net sales of IMCIVREE between July 1, 2022 and September 30, 2023.</w:t>
      </w:r>
    </w:p>
    <w:p>
      <w:pPr>
        <w:spacing w:after="0" w:line="12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$125,000, 7.5% on annual net revenues of between $125,000 and $300,000 and 2.5% on annual net revenues exceeding $300,000.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We made repayments of $9,092 in the nine months ended September 30, 2024. As of September 30, 2024 we have made cumulative payments of $16,622.</w:t>
      </w:r>
    </w:p>
    <w:p>
      <w:pPr>
        <w:spacing w:after="0" w:line="10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dependent on the aggregate royalty paid between 2028 and 2032. If a change of control of occurs, the Investors may accelerate payments due under the RIFA up to the Hard Cap plus any other obligations payable under the RIFA.</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repayment period commenced on July 8, 2022 for the Initial Investment Amount, and expires on the earlier of</w:t>
      </w:r>
    </w:p>
    <w:p>
      <w:pPr>
        <w:spacing w:after="0" w:line="27" w:lineRule="exact"/>
        <w:rPr>
          <w:sz w:val="20"/>
          <w:szCs w:val="20"/>
          <w:color w:val="auto"/>
        </w:rPr>
      </w:pPr>
    </w:p>
    <w:p>
      <w:pPr>
        <w:ind w:left="60" w:right="59" w:hanging="10"/>
        <w:spacing w:after="0" w:line="260" w:lineRule="auto"/>
        <w:tabs>
          <w:tab w:leader="none" w:pos="2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at which the Investors received cash payments totaling an aggregate of a Hard Cap ranging from 185% to 250% of the Initial Investment Amount or (ii) the legal maturity date of July 8, 2034. If the Investors have not received</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payments equal to 250% of the Investment Amount by the twelve-year anniversary of the initial closing date, we will be required to pay an amount equal to the Investment Amount plus a specific annual rate of return less payments previously received by Investors. In the event of a change of control, we are obligated to pay Investors an amount equal to the Hard Cap in effect at the time, ranging from 185% to 250% plus any Under Performance Payment of the Investment Amount less payments previously received by Investors. In addition, upon the occurrence of an event of default, including, among others, our failure to pay any amounts due to Investors under the deferred royalty obligation, insolvency, our failure to pay indebtedness when due, the revocation of regulatory approval of IMCIVREE in the U.S. or our breach of any covenant contained in the RIFA and our failure to cure the breach within the prescribed time frame, we are obligated to pay Investors an amount equal to the Hard Cap in effect at the time of default ranging from 185% to 250% plus any Under Performance Payment of the Investment Amount less payments previously received by Investors. In addition, upon an event of default, Investors may exercise all other rights and remedies available under the RIFA, including foreclosing on the collateral that was pledged to Investors, which consists of all of our present and future assets relating to IMCIVREE.</w:t>
      </w:r>
    </w:p>
    <w:p>
      <w:pPr>
        <w:spacing w:after="0" w:line="12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evaluated the terms of the RIFA and concluded that the features are similar to those of a debt instrument. Accordingly, we have accounted for the transaction as long-term debt and presented it as a deferred royalty obligation on our condensed consolidated balance sheets. We have further evaluated the terms of the RIFA and determined that the repayment of the Hard Cap in effect at the time which ranges from 185% to 250% of the Investment Amount, less any payments made to date, upon a change of control is an embedded derivative that requires bifurcation from the debt instrument and fair value recognition. We determined the fair value of the derivative using an option pricing Monte Carlo simulation model taking into account the probability of change of control occurring and potential repayment amounts and timing of such payments that would result under various scenarios, as further described in Note 2, “Summary of Significant Accounting Policies” to our condensed consolidated financial statements. The aggregate fair value of the embedded derivative asset (liability) was $150 and ($1,150) as of September 30, 2024 and December 31, 2023, respectively. We will remeasure the embedded derivative to fair value each reporting period until the time the features lapse and/or termination of the deferred royalty obligation. For the three and nine months ended September 30, 2024 and 2023, we recognized other income of $510, $1,300, $130 and $150, respectively, due to the remeasurement of the embedded derivative liability.</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carrying value of the deferred royalty obligation as of September 30, 2024 was $109,241 based on $100,000 of proceeds, net of the fair value of the bifurcated embedded derivative liability upon execution of the RIFA, and debt issuance costs incurred. The carrying value of the deferred royalty obligation approximated fair value as of September 30, 2024 and December 31, 2023. The effective interest rate as of September 30, 2024 was 15.47%. In connection with the deferred royalty obligation, we incurred debt issuance costs totaling $3,287. Debt issuance costs have been netted against the debt and are being amortized over the estimated term of the debt using the effective interest method, adjusted on a prospective basis for changes in the underlying assumptions and inputs. The assumptions used in determining the expected repayment term of the debt and amortization period of the issuance costs requires that we make estimates that could impact the short and long-term classification of these costs, as well as the period over which these costs will be amortized.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No events or transactions occurred subsequent to the balance sheet date that require disclosure.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various litigation arising in the ordinary course of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Company is party to various agreements, principally relating to licensed technology, that require future payments relating to milestones whose achievement may become probable in subsequent periods, or royalties on future sales of specified products. Additionally, the Company is party to various contracts with CROs and CMOs that generally provide for termination on notice, with the exact amounts in the event of termination to be based on the timing of the termination and the terms of the agreement.</w:t>
      </w:r>
    </w:p>
    <w:p>
      <w:pPr>
        <w:spacing w:after="0" w:line="183"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Based on the Company’s current development plans as of September 30, 2024, the Company does not expect to make milestone payments due to third parties during the next 12 months from the filing of this Form 10-Q, in connection with our license agreements. These milestones are generally recognized in the period in which the achievement of the underlying milestones becomes probable. When the achievement of these milestones or sales have not occurred, such contingencies are not recorded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together with our unaudited condensed consolidated financial statements and related notes appearing elsewhere in this Quarterly Report on Form 10-Q. In addition to historical information, some of the information contained in this discussion and analysis or set forth elsewhere in this Quarterly Report on Form 10-Q contains forward-looking statements within the meaning of Section 27A of the Securities Act of 1933, as amended, and Section 21E of the Securities Exchange Act of 1934, as amended, and is subject to the “safe harbor” created by those sections. All statements other than statements of historical facts contained in this Quarterly Report on Form 10-Q, including without limitation statements regarding: the promise or potential of any of our products or product candidates; the marketing, commercialization, and sales of IMCIVREE (setmelanotide), the design, success, cost and timing of our product development activities and clinical trials for setmelanotide, RM-718, bivamelagon (LB54640), and our other product candidates; our ability to obtain regulatory approval for setmelanotide in further indications, </w:t>
      </w:r>
      <w:r>
        <w:rPr>
          <w:rFonts w:ascii="Times New Roman" w:cs="Times New Roman" w:eastAsia="Times New Roman" w:hAnsi="Times New Roman"/>
          <w:sz w:val="18"/>
          <w:szCs w:val="18"/>
          <w:color w:val="auto"/>
        </w:rPr>
        <w:t>as well as for</w:t>
      </w:r>
      <w:r>
        <w:rPr>
          <w:rFonts w:ascii="Times New Roman" w:cs="Times New Roman" w:eastAsia="Times New Roman" w:hAnsi="Times New Roman"/>
          <w:sz w:val="18"/>
          <w:szCs w:val="18"/>
          <w:i w:val="1"/>
          <w:iCs w:val="1"/>
          <w:color w:val="auto"/>
        </w:rPr>
        <w:t xml:space="preserve"> RM-718, bivamelagon (LB54640), and our other product candidates; our financial performance, including our expectations regarding our existing cash, operating losses, expenses and sources of future financing; the sufficiency of our cash, cash equivalents and short-term investments to fund our operations; our ability to hire and retain necessary personnel; patient enrollments and the timing thereof; the timing of announcements regarding results of clinical trials; our ability to protect our intellectual property; ongoing activities under and our ability to negotiate our collaboration and license agreements, if needed, and the impact of termination; our marketing, commercial sales, revenue generation, and cost of revenue; expectations surrounding our manufacturing arrangements; the potential financial impact and, the ongoing integration process of Xinvento B.V.; the impact of the current or future economic conditions on our business and operations and our future financial results; and other statements identified by words such as “anticipates,” “believes,” “could,” “estimates,” “expects,” “intends,” “may,” “might,” “likely,” “plans,” “potential,” “predicts,” “projects,” “seeks,” “should,” “target,” “will,” “would,” or similar expressions and the negatives of those terms are forward-looking statements. These forward-looking statements are neither promises nor guarantees of future performance, and are subject to a variety of known and unknown risks, uncertainties, and other important factors, many of which are beyond our control, and which could cause actual results to differ materially from those contemplated in such forward-looking statements. We discuss factors that we believe could cause or contribute to these differences below and elsewhere in this report, including but not limited to those set forth in Part II, Item 1A under the heading “Risk Factors” of this Quarterly Report on Form 10-Q. Except as may be required by law, we have no plans to update our forward-looking statements to reflect events or circumstances after the date of this Quarterly Report on Form 10-Q. We caution readers not to place undue reliance upon any such forward-looking statements, which speak only as of the date made.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a global, commercial-stage biopharmaceutical company dedicated to transforming the lives of patients living with rare neuroendocrine diseases. We are focused on advancing our melanocortin-4 receptor (MC4R) agonists, including our lead asset, IMCIVREE® (setmelanotide), as a precision medicine designed to treat hyperphagia and severe obesity caused by rare MC4R pathway diseases. While obesity affects hundreds of millions of people worldwide, we are advancing therapies for a subset of individuals who have hyperphagia, a pathological hunger that leads to abnormal food-seeking behaviors, and severe obesity due to impaired MC4R pathway signaling, which may be caused by genetic variants or injury to the hypothalamic region. The MC4R pathway is an endocrine pathway in the brain that is responsible for regulating hunger, caloric intake and energy expenditure, which consequently affect body weight. IMCIVREE, an MC4R agonist for which we hold worldwide rights, is the first-ever therapy developed for patients with certain rare diseases that is approved or authorized in the United States, European Union (EU), Great Britain, Canada and other countries and regions. IMCIVREE is approved by the U.S. Food and Drug Administration (FDA) for chronic weight management in adult and pediatric patients 6 years of age and older with monogenic or syndromic obesity due to: (i) proopiomelanocortin (POMC), proprotein convertase subtilisin/kexin type 1 (PCSK1) or leptin receptor (LEPR) deficiency as determined by an FDA-approved test demonstrating variants in POMC, PCSK1, or LEPR genes that are interpreted as pathogenic, likely pathogenic, or of uncertain significance (VUS); or (ii) Bardet-Biedl syndrome (BBS). The European Commission (EC) has authorized IMCIVREE for the treatment of obesity and the control of hunger associated with genetically confirmed BBS or genetically confirmed loss-of-function biallelic POMC, including PCSK1, deficiency or biallelic LEPR deficiency in adults and children 2 years of age and above. Great Britain’s Medicines &amp; Healthcare Products Regulatory Agency (MHRA) has authorized IMCIVREE for the treatment of obesity and the control of hunger associated with genetically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confirmed BBS or genetically confirmed loss-of-function biallelic POMC, including PCSK1, deficiency or biallelic LEPR deficiency in adults and children 6 years of age and above. We have achieved market access or named patient sales of IMCIVREE for BBS or POMC and LEPR deficiencies, or both, in more than 15 countries outside the United States, and we continue to collaborate with authorities to achieve access in additional markets.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initial commercial efforts, we are advancing what we believe is the most comprehensive clinical research program ever initiated in MC4R pathway diseases, with multiple ongoing and planned clinical trials. Our MC4R pathway program is designed to expand the total number of patients who would benefit from setmelanotide therapy or one of our new drug candidates, RM-718, which is designed to be a more selective MC4R agonist with weekly administration, or bivamelagon (LB54640), an investigational oral small molecule MC4R agonist in Phase 2 clinical trials. With setmelanotide, we have completed enrollment in our Phase 3 trial in patients with acquired hypothalamic obesity. Our Phase 3 EMANATE trial, comprised of four independent substudies evaluating setmelanotide in genetically caused MC4R pathway diseases is ongoing, and we recently completed our Phase 2 DAYBREAK trial evaluating setmelanotide in additional genetic indications. With RM-718, in March 2024 we initiated Phase 1 in-human trials, including a multiple-ascending dose study in patients with acquired hypothalamic obesity and expect to begin dosing patients in Part C of this Phase 1 trial in the first quarter of 2025, following completion and final analysis of non-clinical toxicology studies to support long-term dosing and the submission to applicable regulatory authorities of our amendment to the protocol to enable longer term dosing of these patients. In July 2024, we announced that we had dosed the first patients in our Phase 2 trial evaluating bivamelagon (LB54640) in patients with acquired hypothalamic obesity. In our recently completed Phase 3 pediatrics trial in 12 patients between the ages of 2 and younger than 6 with BBS or POMC or LEPR deficiency obesities, setmelanotide achieved the primary endpoint with a 3.04 mean reduction in BMI-Z score (a measure of body mass index deviations from what is considered normal) and 18.4 percent mean reduction in BMI. We are seeking regulatory approval in the United States to expand the label for IMCIVREE to treat patients as young as 2 years of age with these diseases based on these data.</w:t>
      </w:r>
    </w:p>
    <w:p>
      <w:pPr>
        <w:spacing w:after="0" w:line="19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leveraging what we believe is the largest known DNA database focused on obesity - with almost 80,000 sequencing samples as of December 31, 2023 - to improve the understanding, diagnosis and care of people living with severe obesity due to certain variants in genes associated with the MC4R pathway. Our sequencing-based epidemiology estimates show that each of these genetically-defined MC4R pathway deficiencies are considered rare diseases, according to established definitions based on patient populations. Our epidemiology estimates are approximately 4,600 to 7,500 for U.S. patients in initial FDA-approved indications, including obesity due to biallelic POMC, PCSK1 or LEPR deficiencies, and BBS. We estimate the epidemiology for patients with acquired hypothalamic obesity to be between 5,000 and 10,000 in the United States, based on our analysis of published literature. Our epidemiology estimates for the indications being studied in our Phase 3 EMANATE trial suggest that approximately 53,000 U.S. patients with one of these genetically driven obesities have the potential to respond well to setmelanotide. Similarly, our epidemiology estimates for patients with genetic indications who demonstrated an initial response in our Phase 2 DAYBREAK trial is approximately 65,300. We believe that all these patients face similar challenges as other patients with rare diseases, namely lack of awareness, resources, tests, tools and, especially, therapeutic options.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Additional recent clinical, regulatory, corporate and commercial updates include:</w:t>
      </w:r>
    </w:p>
    <w:p>
      <w:pPr>
        <w:spacing w:after="0" w:line="22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November 5, 2024, we reported that revenue from global sales of IMCIVREE was $33.3 million for the third quarter of 2024, an increase of 14% percent on a sequential basis from the second quarter of 2024, primarily driven by sales for BBS. In the third quarter of 2024, revenue of $23.3 million, or 70% of product revenue, was generated in the United States, an increase of 8% on a sequential basis; revenue of $10.0 million, or 30% of product revenue, was generated outside the United States, an increase of 35% on a sequential basis.</w:t>
      </w:r>
    </w:p>
    <w:p>
      <w:pPr>
        <w:spacing w:after="0" w:line="183"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On November 5, 2024, during the Obesity Society’s ObesityWeek® conference in San Antonio, we and our collaborators delivered several presentations, including:</w:t>
      </w:r>
    </w:p>
    <w:p>
      <w:pPr>
        <w:spacing w:after="0" w:line="162" w:lineRule="exact"/>
        <w:rPr>
          <w:sz w:val="20"/>
          <w:szCs w:val="20"/>
          <w:color w:val="auto"/>
        </w:rPr>
      </w:pPr>
    </w:p>
    <w:p>
      <w:pPr>
        <w:jc w:val="both"/>
        <w:ind w:left="1380" w:right="7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Real-world data from patients participating in an early-access program in France that showed eight adult patients with acquired hypothalamic obesity achieved a mean BMI reduction of 12.8% at three months on setmelanotide therapy; three of these patients reached six months on therapy and achieved a mean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spacing w:after="0" w:line="282" w:lineRule="auto"/>
        <w:rPr>
          <w:sz w:val="20"/>
          <w:szCs w:val="20"/>
          <w:color w:val="auto"/>
        </w:rPr>
      </w:pPr>
      <w:r>
        <w:rPr>
          <w:rFonts w:ascii="Times New Roman" w:cs="Times New Roman" w:eastAsia="Times New Roman" w:hAnsi="Times New Roman"/>
          <w:sz w:val="18"/>
          <w:szCs w:val="18"/>
          <w:color w:val="auto"/>
        </w:rPr>
        <w:t>BMI reduction of 15.4%. These results demonstrate the clinical benefit of setmelanotide in adult patients who had lived with hypothalamic obesity for an average of 12.1 years;</w:t>
      </w:r>
    </w:p>
    <w:p>
      <w:pPr>
        <w:spacing w:after="0" w:line="162" w:lineRule="exact"/>
        <w:rPr>
          <w:sz w:val="20"/>
          <w:szCs w:val="20"/>
          <w:color w:val="auto"/>
        </w:rPr>
      </w:pPr>
    </w:p>
    <w:p>
      <w:pPr>
        <w:jc w:val="both"/>
        <w:ind w:left="1380" w:right="79" w:hanging="331"/>
        <w:spacing w:after="0" w:line="258"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extension phase of our Phase 2 trial of setmelanotide showed that patients with acquired hypothalamic obesity who were on therapy for more than one year (n=11) achieved a mean overall percent reduction in fat mass of 29.6%, versus a reduction in lean muscle mass of 7.7% (these same patients had achieved mean BMI reduction of 25.5%); and four male patients between 11 and 14 years old at baseline exhibited an increase in muscle mass; and</w:t>
      </w:r>
    </w:p>
    <w:p>
      <w:pPr>
        <w:spacing w:after="0" w:line="183" w:lineRule="exact"/>
        <w:rPr>
          <w:rFonts w:ascii="Times New Roman" w:cs="Times New Roman" w:eastAsia="Times New Roman" w:hAnsi="Times New Roman"/>
          <w:sz w:val="18"/>
          <w:szCs w:val="18"/>
          <w:color w:val="auto"/>
        </w:rPr>
      </w:pPr>
    </w:p>
    <w:p>
      <w:pPr>
        <w:jc w:val="both"/>
        <w:ind w:left="1380" w:right="79" w:hanging="331"/>
        <w:spacing w:after="0" w:line="258"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data from the our exploratory Phase 2 DAYBREAK study showing that 27 of 32 patients on setmelanotide, or 84% of patients, achieved or maintained &gt;5% BMI reduction from baseline through stage 2 for a total of 40 weeks, compared to 5 of 17 patients, or 29.4% of patients, who transitioned to placebo for 24 weeks during stage 2; also in DAYBREAK, a 12.4% mean percent BMI reduction was observed for all patients on continuous setmelanotide therapy over 40 weeks (n=32).</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October, 24, 2024, we announced a joint research collaboration with Axovia Pharmaceuticals, led by Professor Philip Beales, CEO and Co-founder, in order to better understand the global epidemiology of BBS, how various symptoms impact patients and their families’ lives, the underlying genetics of this disease, and the need for improved diagnosis and additional treatment options.</w:t>
      </w:r>
    </w:p>
    <w:p>
      <w:pPr>
        <w:spacing w:after="0" w:line="180"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On August 26, 2024, we announced that the FDA accepted with Priority Review our supplemental New Drug Application (sNDA) for IMCIVREE to treat children as young as 2 years old in its approved indications. The FDA assigned a Prescription Drug User Fee Act (PDUFA) goal date of December 26, 2024.</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currently expect to achieve the following near-term milestones:</w:t>
      </w:r>
    </w:p>
    <w:p>
      <w:pPr>
        <w:spacing w:after="0" w:line="27" w:lineRule="exact"/>
        <w:rPr>
          <w:sz w:val="20"/>
          <w:szCs w:val="20"/>
          <w:color w:val="auto"/>
        </w:rPr>
      </w:pPr>
    </w:p>
    <w:p>
      <w:pPr>
        <w:ind w:left="1380" w:right="79" w:hanging="331"/>
        <w:spacing w:after="0" w:line="260"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the supplemental, 12-patient Japanese cohort of our global Phase 3 trial evaluating setmelanotide in acquired hypothalamic obesity by the end of 2024;</w:t>
      </w:r>
    </w:p>
    <w:p>
      <w:pPr>
        <w:spacing w:after="0" w:line="18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two substudies in the Phase 3 EMANATE trial evaluating setmelanotide in genetically caused MC4R pathway diseases by the end of 2024;</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enrollment in our Phase 2 trial evaluating oral MC4R agonist bivamelagon (LB54640) in acquired hypothalamic obesity in the first quarter of 2025;</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 dosing patients with acquired hypothalamic obesity in Part C of the Phase 1 trial evaluating the weekly, MC4R agonist RM-718 in the first quarter of 2025;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top-line data in the Phase 3 trial evaluating setmelanotide in acquired hypothalamic obesity in the first half of 2025.</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Up until recently, our operations have been limited primarily to conducting research and development activities for setmelanotide. To date, we have not generated sufficient cash flow from product sales and have financed our operations primarily through the proceeds received from our sales of common and preferred stock, royalty interest financing, asset sales, as well as capital contributions from the former parent company, Rhythm Holdings LLC. From August 2015 through August 2017, we raised aggregate net proceeds of $80.8 million through our issuance of series A preferred stock. Since our initial public offering, or IPO, on October 10, 2017 and our underwritten follow-on offerings through October 2022, we have raised aggregate net proceeds of approximately $791.5 million through the issuance of our common stock after deducting underwriting discounts, commissions and offering related transaction costs. We also received $100.0 million from the sale of our Rare Pediatric Disease Priority Review Voucher, or PRV, to Alexion Pharmaceuticals, Inc. in February 2021. In June 2022, we entered into the Revenue Interest Financing Agreement (“RIFA”), with entities managed by HealthCare Royalty Partners, collectively referred to as the Investors, and through December 31, 2023 have received cumulative proceeds of $96.7 million, net of certain transaction costs. On April 1, 2024, we entered into an Investment Agreement with certain investors resulting in the issuance of convertible preferred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to the investors and proceeds to the Company of $150.0 million, as disclosed in Note 10, “Series A Preferred Stock”.</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IMCIVREE became commercially available to patients 6 years of age and older with obesity due to POMC, PCSK1 or LEPR deficiency in the U.S. in the first quarter of 2021 and patients 6 years of age and older with obesity due to BBS during June 2022. Following marketing authorizations in the EU, Great Britain and Canada, we are pursuing a country-by-country strategy to establish market access and reimbursement for IMCIVREE in several additional countries. During March 2022, we treated the first patients with IMCIVREE in France under the paid early access program and we treated the first patients with IMCIVREE in Germany during June 2022. We expect to continue to fund our operations through the sale of equity, debt financings or other sources. We have built our own marketing and commercial sales infrastructure in the United States and are in the process of building a similar infrastructure in several European markets and the United Kingdom. We may enter into arrangements with other parties for certain markets outside the United States. However, we may be unable to raise additional funds or enter into such other arrangements when needed on favorable terms, or at all. If we fail to raise capital or enter into such other arrangements as, and when, needed, we may have to significantly delay, scale back or discontinue the development or commercialization of setmelanotide.</w:t>
      </w:r>
    </w:p>
    <w:p>
      <w:pPr>
        <w:spacing w:after="0" w:line="19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we had an accumulated deficit of $1.1 billion. Our net loss was $43.6 million, $217.3 million, $44.2 million and $143 million for the three and nine months ended September 30, 2024 and 2023, respectively. We expect to continue to incur significant expenses and operating losses for the foreseeable future. Our expenses may increase in connection with our ongoing activities, as we:</w:t>
      </w:r>
    </w:p>
    <w:p>
      <w:pPr>
        <w:spacing w:after="0" w:line="153"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clinical trials for setmelanotide and our other product candidates;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contract manufacturing organizations, or CMOs, for the manufacture of clinical and commercial-grade setmelanotide;</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setmelanotide for future indications, and for our other product candidates;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clinical and financial operations and build a marketing and commercialization infrastructure;</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the sales and marketing efforts necessary to support the continued commercial efforts of IMCIVREE globally;</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into account the levels, timing and collection of revenue earned from sales of IMCIVREE and other products approved in the future, if any;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our existing cash and cash equivalents and short-term investments were approximately $298.4 million.</w:t>
      </w:r>
    </w:p>
    <w:p>
      <w:pPr>
        <w:spacing w:after="0" w:line="16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existing cash and cash equivalents and short-term investments as of September 30, 2024 will be sufficient to fund our operations into 2026.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Background</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are a Delaware corporation organized in February 2013 under the name Rhythm Metabolic, Inc., and as of October 2015, under the name Rhythm Pharmaceuticals, Inc.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the transaction price, which includes estimates of variable consideration for which reserves are established and which result from discounts, rebates, and co-pay assistance that are offered within contracts between us and our customers, health care providers and other indirect customers relating to the sale of IMCIVREE.</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date, we have generated approximately $185.8 million in product revenue. Our lead product candidate, IMCIVREE, was approved by the FDA in November 2020 for chronic weight management in adult and pediatric patients six years of age and older with obesity due to POMC, PCSK1 or LEPR deficiency confirmed by genetic testing. IMCIVREE became commercially available in the United States in the first quarter of 2021. We recorded our first sales of IMCIVREE in the United States in March 2021 and we made our first sales in France during March 2022 under the paid early access program. IMCIVREE was approval by the FDA and the EC in adult and pediatric patients six years of age and older with obesity due to BBS in June and September 2022, respectively. Following these approvals for BBS, we expect our sales of IMCIVREE will continue to grow as we identify and treat more patients with this disease and obtain reimbursement throughout the international markets in which we operate.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All of our inventory of IMCIVREE produced prior to FDA approval is available for commercial or clinical use. Most of the manufacturing costs have been recorded as research and development expenses in prior periods. We expect cost of sales to increase in 2024 as we continue to sell inventory that is produced after we began capitalizing manufacturing costs for IMCIVREE commercial inventory.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and genetic sequencing efforts, and the clinical development of setmelanotide, which include:</w:t>
      </w:r>
    </w:p>
    <w:p>
      <w:pPr>
        <w:spacing w:after="0" w:line="162" w:lineRule="exact"/>
        <w:rPr>
          <w:sz w:val="20"/>
          <w:szCs w:val="20"/>
          <w:color w:val="auto"/>
        </w:rPr>
      </w:pPr>
    </w:p>
    <w:p>
      <w:pPr>
        <w:jc w:val="both"/>
        <w:ind w:left="1040" w:right="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CROs that conduct research and development and preclinical activities on our behalf, and the cost of consultants and CMOs that manufacture drug products for use in our preclinical studies and clinical trials;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and clinical study materials;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genetic sequencing of potential patients in clinical studies;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rent and maintenance of facilities, insurance and other operating costs;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Xinvento B.V., or Xinvento in the three months ended March 31, 2023; and</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LG Chem, Ltd.’s, or LGC’s proprietary compound bivamelagon (LB54640) in the three months ended March 31, 2024.</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Nonrefundable advance payments for goods or services to be received in the future for use in research and development activities are recorded as prepaid expenses. The capitalized amounts are expensed as the related goods are delivered or the services are performed.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research and development expenses:</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Research and development summary</w:t>
            </w:r>
          </w:p>
        </w:tc>
        <w:tc>
          <w:tcPr>
            <w:tcW w:w="1120" w:type="dxa"/>
            <w:vAlign w:val="bottom"/>
          </w:tcPr>
          <w:p>
            <w:pPr>
              <w:spacing w:after="0"/>
              <w:rPr>
                <w:sz w:val="15"/>
                <w:szCs w:val="15"/>
                <w:color w:val="auto"/>
              </w:rPr>
            </w:pPr>
          </w:p>
        </w:tc>
        <w:tc>
          <w:tcPr>
            <w:tcW w:w="19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expense</w:t>
            </w:r>
          </w:p>
        </w:tc>
        <w:tc>
          <w:tcPr>
            <w:tcW w:w="1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37,931</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33,570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105,059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unable to predict the duration and costs of the current or future clinical trials of our product candidates. The duration, costs, and timing of clinical trials and development of setmelanotide, RM-718, bivamelagon (LB54640), and a potential therapeutic product candidate for congenital hyperinsulinism (CHI) will depend on a variety of factors, including:</w:t>
      </w:r>
    </w:p>
    <w:p>
      <w:pPr>
        <w:spacing w:after="0" w:line="180" w:lineRule="exact"/>
        <w:rPr>
          <w:sz w:val="20"/>
          <w:szCs w:val="20"/>
          <w:color w:val="auto"/>
        </w:rPr>
      </w:pPr>
    </w:p>
    <w:p>
      <w:pPr>
        <w:ind w:left="1040" w:right="79" w:hanging="315"/>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ongoing, as well as any additional,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enrollment in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demonstrated by setmelanotide and other product candidates in future clinical trials;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trial design;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2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would significantly change the costs and timing associated with its development and potential commercialization.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setmelanotide and other development programs progress. However, we do not believe that it is possible at this time to accurately project total program-specific expenses to commercialization and there can be no guarantee that we can meet the funding needs associated with these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Selling expenses consist of professional fees related to preparation for the commercialization of setmelanotide, as well as salaries and related benefits for commercial employees, including stock-based compensation. As we further implement and execute our commercialization plans to market setmelanotide in new territories and as we explore new collaborations to develop and commercialize setmelanotide, we anticipate that these expenses will materially increase.</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relating to our full-time employees not involved in R&amp;D or commercial activities. Other significant costs include rent, legal fees relating to patent and corporate matters and fees for accounting and consulting services.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current selling, general and administrative expenses:</w:t>
      </w: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summary</w:t>
            </w:r>
          </w:p>
        </w:tc>
        <w:tc>
          <w:tcPr>
            <w:tcW w:w="160" w:type="dxa"/>
            <w:vAlign w:val="bottom"/>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780" w:type="dxa"/>
            <w:vAlign w:val="bottom"/>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4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$ 35,377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$ 30,475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$ 106,174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$ 85,158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our continued and expanding commercialization efforts for IMCIVREE in the United States and the European Union as well as increased costs of operating as a global commercial stage biopharmaceutical public company. These increases will likely include increased costs related to the hiring of additional personnel and fees to outside consultants, lawyers and accountants, compliance with local rules and regulations in the United States and foreign jurisdictions, exchange listing and Securities and Exchange Commission, or SEC, expenses, insurance and investor relations costs, among other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we have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These items are monitored and analyzed by us for changes in facts and circumstances on an ongoing basis,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our critical accounting policies as reported in our Annual Report on Form 10-K for the fiscal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 together with the changes in those items in dollars and as a percentage:</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(193)%</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Product revenue, net increased by $10.7 million to $33.3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$22.5 million for the three months ended September 30, 2023, an increase of 48%. We expect our sales of IMCIVREE to continue to increase following the FDA approval for the treatment of patients with BBS in the United States in June 2022. For the three months ended September 30, 2024 and 2023, a substantial amount of our product revenue, or 68% and 80%, respectively, was generated from sales of our product to patients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$1.4 million to $3.8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$2.4 million for the three months ended September 30, 2023, an increase of 59%, which was driven by a corresponding increase in revenue in the three months ended September 30, 2024. Cost of sales is composed of royalty expense due to Ipsen Pharma S.A.S., or Ipsen, on our net product revenue, amortization of our capitalized sales-based milestone payment made to Ipsen, upon our first commercial sale in the United States and European Union, the cost of product, as well as costs associated with our patient assistance programs. Specifically, the $1.4 million increase in cost of sales in the three months ended September 30, 2024 from the same period in 2023 was due to $0.5 million of additional royalties due to our growth in sales and $0.9 million attributed to increased product cost associated with higher sales volume. We expect cost of sales to continue to increase as a percentage of product revenue, net to continue to be in a range of 10% to 12% in the foreseeable future.</w:t>
      </w:r>
    </w:p>
    <w:p>
      <w:pPr>
        <w:spacing w:after="0" w:line="18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increased by $4.4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$37.9 million for the three months ended September 30, 2024 from $33.6 million for the three months ended September 30, 2023, an increase of 13%. The net increase was primarily due to the following:</w:t>
      </w:r>
    </w:p>
    <w:p>
      <w:pPr>
        <w:spacing w:after="0" w:line="175" w:lineRule="exact"/>
        <w:rPr>
          <w:sz w:val="20"/>
          <w:szCs w:val="20"/>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$2.1 million for ongoing manufacturing development costs for bivamelagon (LB54640).</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in our clinical trial costs associated with increased activity in our Phase 3 acquired hypothalamic obesity trial, our Phase 1 clinical trial of RM-718 and the Phase 2 trial of bivamelagon (LB54640); and</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salaries, benefits and stock-based compensation related to the hiring of additional full-time employees in order to support the growth of our research and development program.</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above increases were partially offset by:</w:t>
      </w:r>
    </w:p>
    <w:p>
      <w:pPr>
        <w:spacing w:after="0" w:line="225" w:lineRule="exact"/>
        <w:rPr>
          <w:sz w:val="20"/>
          <w:szCs w:val="20"/>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our clinical trial costs associated with decreased activity in our Phase 2 DAYBREAK trial and pediatrics trial for setmelanotide therapy of approximately $1.3 million.</w:t>
      </w:r>
    </w:p>
    <w:p>
      <w:pPr>
        <w:spacing w:after="0" w:line="160" w:lineRule="exact"/>
        <w:rPr>
          <w:sz w:val="20"/>
          <w:szCs w:val="20"/>
          <w:color w:val="auto"/>
        </w:rPr>
      </w:pPr>
    </w:p>
    <w:p>
      <w:pPr>
        <w:jc w:val="both"/>
        <w:ind w:left="60" w:right="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$35.4 million for the three months ended September 30, 2024 from $30.5 million for the three months ended September 30, 2023, an increase of 16%. The increase was primarily due to the following:</w:t>
      </w:r>
    </w:p>
    <w:p>
      <w:pPr>
        <w:spacing w:after="0" w:line="175" w:lineRule="exact"/>
        <w:rPr>
          <w:sz w:val="20"/>
          <w:szCs w:val="20"/>
          <w:color w:val="auto"/>
        </w:rPr>
      </w:pPr>
    </w:p>
    <w:p>
      <w:pPr>
        <w:jc w:val="both"/>
        <w:ind w:left="1040" w:right="79" w:hanging="315"/>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$2.9 million due to increased compensation and benefits related costs, including stock-based compensation, associated with additional headcount to support our expanding business operations as well as to establish commercial operations in international regions;</w:t>
      </w:r>
    </w:p>
    <w:p>
      <w:pPr>
        <w:spacing w:after="0" w:line="17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related to increased marketing and promotion costs to support continued revenue growth;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$0.7 million related to professional services costs, including legal, consulting and tax services.</w:t>
      </w:r>
    </w:p>
    <w:p>
      <w:pPr>
        <w:spacing w:after="0" w:line="22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decreased by $0.3 million to ($0.1)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from $0.2 million for the three months ended September 30, 2023. The increase was primarily due to the following:</w:t>
      </w:r>
    </w:p>
    <w:p>
      <w:pPr>
        <w:spacing w:after="0" w:line="175" w:lineRule="exact"/>
        <w:rPr>
          <w:sz w:val="20"/>
          <w:szCs w:val="20"/>
          <w:color w:val="auto"/>
        </w:rPr>
      </w:pPr>
    </w:p>
    <w:p>
      <w:pPr>
        <w:ind w:left="1380" w:right="79" w:hanging="331"/>
        <w:spacing w:after="0" w:line="282"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$1.0 million of non-cash interest expense in the three months ended September 30, 2024 associated with accretion of our other current liability payable to LGC in July, 2025;</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1"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non-cash interest expense of $1.0 million related to amortization of debt discount and deferred financing fees associated with our higher deferred royalty obligation balance, based on the receipt of our final $25.0 million sales milestone in the three months ended September 30, 2023. The above amounts were partially offset by: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above amounts were partially offset by:</w:t>
      </w:r>
    </w:p>
    <w:p>
      <w:pPr>
        <w:spacing w:after="0" w:line="225" w:lineRule="exact"/>
        <w:rPr>
          <w:sz w:val="20"/>
          <w:szCs w:val="20"/>
          <w:color w:val="auto"/>
        </w:rPr>
      </w:pPr>
    </w:p>
    <w:p>
      <w:pPr>
        <w:ind w:left="1380" w:right="7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$1.2 million recognized for the net change in fair value of the embedded derivatives in our debt royalty obligation, as well as realized foreign currency gains;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income of $0.6 million earned on our short-term investments, based on higher investment balances from the proceeds of $150.0 million from the convertible preferred stock issuance.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360" w:type="dxa"/>
            <w:vAlign w:val="bottom"/>
            <w:gridSpan w:val="3"/>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0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35,102</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91,730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85,158</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196,286</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116,258</w:t>
            </w:r>
          </w:p>
        </w:tc>
        <w:tc>
          <w:tcPr>
            <w:tcW w:w="6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(81,156)</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432"/>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6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1,677 %</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(74,197)</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(74,633)</w:t>
            </w:r>
          </w:p>
        </w:tc>
        <w:tc>
          <w:tcPr>
            <w:tcW w:w="6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Product revenue, net increased by $35.1 million to $88.3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$53.2 million for the nine months ended September 30, 2023, an increase of 66%. We expect our sales of IMCIVREE to continue to increase following the FDA approval for the treatment of patients with BBS in the United States in June 2022. During the nine months ended September 30, 2024 and 2023, a substantial amount of our product revenue, or 73% and 84%, respectively, has been generated in the United States.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$3.5 million to $9.6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 increase of 58%. Cost of sales primarily reflects a royalty due to Ipsen, on our net product sales and the amortization of our capitalized sales-based milestone payment made to Ipsen, upon our first commercial sale in the U.S. and EU, the cost of product as well as costs associated with our patient assistance programs. Specifically, the $3.5 million increase in cost of sales for the nine months ended September 30, 2024 was due to $1.8 million of additional royalties due to our growth in net product revenue and $1.7 million due to higher product costs from higher net product revenue. We expect cost of sales as a percentage of product revenue, net to be in a range of 10% to 12% in the foreseeable future.</w:t>
      </w:r>
    </w:p>
    <w:p>
      <w:pPr>
        <w:spacing w:after="0" w:line="183"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increased by $91.7 million to $196.8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2024 from $105.1 million for the nine months ended September 30, 2023, an increase of 87%. The net increase was primarily due to the following:</w:t>
      </w:r>
    </w:p>
    <w:p>
      <w:pPr>
        <w:spacing w:after="0" w:line="175" w:lineRule="exact"/>
        <w:rPr>
          <w:sz w:val="20"/>
          <w:szCs w:val="20"/>
          <w:color w:val="auto"/>
        </w:rPr>
      </w:pPr>
    </w:p>
    <w:p>
      <w:pPr>
        <w:ind w:left="1380" w:right="79" w:hanging="331"/>
        <w:spacing w:after="0" w:line="28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 process research and development costs associated with the acquisition of LGC’s proprietary compound bivamelagon (LB54640) of $92.4 million in the nine months ended September 30, 2024;</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$4.3 million in salaries, benefits and stock-based compensation related to the hiring of additional full-time employees in order to support the growth of our research and development programs;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$0.9 million in our clinical trial costs associated with increased activity in our Phase 3 hypothalamic obesity trial, our RM-718 clinical trial and the Phase 2 bivamelagon (LB54640) trial acquired from LG Chem; and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above increases were partially offset by:</w:t>
      </w:r>
    </w:p>
    <w:p>
      <w:pPr>
        <w:spacing w:after="0" w:line="225" w:lineRule="exact"/>
        <w:rPr>
          <w:sz w:val="20"/>
          <w:szCs w:val="20"/>
          <w:color w:val="auto"/>
        </w:rPr>
      </w:pPr>
    </w:p>
    <w:p>
      <w:pPr>
        <w:ind w:left="1380" w:right="79" w:hanging="331"/>
        <w:spacing w:after="0" w:line="282"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in-process research and development assets of $5.7 million from Xinvento in the nine months ended September 30, 2023, which did not recur in the nine months ended September 30, 2024.</w:t>
      </w:r>
    </w:p>
    <w:p>
      <w:pPr>
        <w:spacing w:after="0" w:line="160" w:lineRule="exact"/>
        <w:rPr>
          <w:sz w:val="20"/>
          <w:szCs w:val="20"/>
          <w:color w:val="auto"/>
        </w:rPr>
      </w:pPr>
    </w:p>
    <w:p>
      <w:pPr>
        <w:ind w:left="60" w:right="4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$106.2 million for the nine months ended September 30, 2024 from $85.2 million for the nine months ended September 30, 2023, an increase of 25%. The increase was primarily due to the following:</w:t>
      </w:r>
    </w:p>
    <w:p>
      <w:pPr>
        <w:spacing w:after="0" w:line="175" w:lineRule="exact"/>
        <w:rPr>
          <w:sz w:val="20"/>
          <w:szCs w:val="20"/>
          <w:color w:val="auto"/>
        </w:rPr>
      </w:pPr>
    </w:p>
    <w:p>
      <w:pPr>
        <w:jc w:val="both"/>
        <w:ind w:left="1380" w:right="79" w:hanging="331"/>
        <w:spacing w:after="0" w:line="266"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$12.2 million due to increased salaries, benefits and stock-based compensation related costs associated with additional headcount to support our expanding business operations as well as to build out our commercial operations in the United States and internationally;</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 million related to professional services costs;</w:t>
      </w:r>
    </w:p>
    <w:p>
      <w:pPr>
        <w:spacing w:after="0" w:line="225"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$4.5 million due to increased costs associated with marketing, data analytics, website and sponsorships;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due to increased costs associated with information technology, international office space, and general corporate travel related expenses for our expanding workforce.</w:t>
      </w:r>
    </w:p>
    <w:p>
      <w:pPr>
        <w:spacing w:after="0" w:line="160" w:lineRule="exact"/>
        <w:rPr>
          <w:sz w:val="20"/>
          <w:szCs w:val="20"/>
          <w:color w:val="auto"/>
        </w:rPr>
      </w:pPr>
    </w:p>
    <w:p>
      <w:pPr>
        <w:ind w:left="60" w:right="13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was $7.4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compared to $0.4 million for the nine months ended September 30, 2023.</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increase was primarily due to the following:</w:t>
      </w:r>
    </w:p>
    <w:p>
      <w:pPr>
        <w:spacing w:after="0" w:line="225" w:lineRule="exact"/>
        <w:rPr>
          <w:sz w:val="20"/>
          <w:szCs w:val="20"/>
          <w:color w:val="auto"/>
        </w:rPr>
      </w:pPr>
    </w:p>
    <w:p>
      <w:pPr>
        <w:ind w:left="1380" w:right="79" w:hanging="331"/>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of $8.9 million recognized for the change in fair value of a forward contract recorded with the issuance of convertible preferred stock;</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fair value of the embedded derivative in our debt royalty obligation of $1.2 million and realized foreign currency gains of $1.3 million and other income of $0.4 million; and</w:t>
      </w:r>
    </w:p>
    <w:p>
      <w:pPr>
        <w:spacing w:after="0" w:line="161" w:lineRule="exact"/>
        <w:rPr>
          <w:rFonts w:ascii="Times New Roman" w:cs="Times New Roman" w:eastAsia="Times New Roman" w:hAnsi="Times New Roman"/>
          <w:sz w:val="18"/>
          <w:szCs w:val="18"/>
          <w:color w:val="auto"/>
        </w:rPr>
      </w:pPr>
    </w:p>
    <w:p>
      <w:pPr>
        <w:ind w:left="1380" w:right="79" w:hanging="331"/>
        <w:spacing w:after="0" w:line="282"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interest income of $1.1 million earned on our short-term investments, based on higher investment balances from the proceeds of $150.0 million from the convertible preferred stock issuance;</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above amounts were partially offset by:</w:t>
      </w:r>
    </w:p>
    <w:p>
      <w:pPr>
        <w:spacing w:after="0" w:line="225" w:lineRule="exact"/>
        <w:rPr>
          <w:sz w:val="20"/>
          <w:szCs w:val="20"/>
          <w:color w:val="auto"/>
        </w:rPr>
      </w:pPr>
    </w:p>
    <w:p>
      <w:pPr>
        <w:ind w:left="1380" w:right="79" w:hanging="331"/>
        <w:spacing w:after="0" w:line="282"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$3.0 million of non-cash interest expense in the nine months ended September 30, 2024 associated with accretion of the non-current liability payable to LGC in July, 2025; and</w:t>
      </w:r>
    </w:p>
    <w:p>
      <w:pPr>
        <w:spacing w:after="0" w:line="161" w:lineRule="exact"/>
        <w:rPr>
          <w:rFonts w:ascii="Times New Roman" w:cs="Times New Roman" w:eastAsia="Times New Roman" w:hAnsi="Times New Roman"/>
          <w:sz w:val="18"/>
          <w:szCs w:val="18"/>
          <w:color w:val="auto"/>
        </w:rPr>
      </w:pPr>
    </w:p>
    <w:p>
      <w:pPr>
        <w:jc w:val="both"/>
        <w:ind w:left="1380" w:right="79" w:hanging="331"/>
        <w:spacing w:after="0" w:line="266" w:lineRule="auto"/>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non-cash interest expense of $2.7 million related to amortization of debt discount and deferred financing fees associated with our higher deferred royalty obligation balance, based on the receipt of our final $25.0 million sales milestone in the three months ended September 30, 2023.</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our cash and cash equivalents and short-term investments were approximately $298.4 million.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 and 2023:</w:t>
      </w: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9"/>
        </w:trPr>
        <w:tc>
          <w:tcPr>
            <w:tcW w:w="5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60" w:type="dxa"/>
            <w:vAlign w:val="bottom"/>
            <w:gridSpan w:val="4"/>
          </w:tcPr>
          <w:p>
            <w:pPr>
              <w:jc w:val="right"/>
              <w:ind w:right="5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(106,774)</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(28,305)</w:t>
            </w:r>
          </w:p>
        </w:tc>
      </w:tr>
      <w:tr>
        <w:trPr>
          <w:trHeight w:val="216"/>
        </w:trPr>
        <w:tc>
          <w:tcPr>
            <w:tcW w:w="5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71,945</w:t>
            </w:r>
          </w:p>
        </w:tc>
      </w:tr>
      <w:tr>
        <w:trPr>
          <w:trHeight w:val="216"/>
        </w:trPr>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(63,084)</w:t>
            </w:r>
          </w:p>
        </w:tc>
      </w:tr>
      <w:tr>
        <w:trPr>
          <w:trHeight w:val="20"/>
        </w:trPr>
        <w:tc>
          <w:tcPr>
            <w:tcW w:w="5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use of cash in all periods resulted primarily from our net loss adjusted for non-cash charges and changes in components of operating assets and liabilities.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$95.0 million for the nine months ended September 30, 2024 and consisted primarily of a net loss of $217.3 million adjusted for non-cash items of $121.9 million, which consisted of non-cash stock-based compensation, non-cash interest expense, non-cash accretion and amortization of short-term investments, non-cash accretion of other current liability, gain on settlement of forward contract, depreciation and amortization, rent expense and the change in the fair value of our embedded derivative liability, totaling $29.5 million. Our net loss adjusted for non-cash items also includes $92.4 million of acquired In Process Research and Development (IPR&amp;D) assets, which are classified as investing activities. The change in operating assets and liabilities used net cash of approximately $0.3 million, primarily driven by net increases in accounts receivable and inventory of $9.7 million, offset by net decreases in accounts payable and accrued expenses of $6.7 million and net decreases in long-term assets of $3.2 million.</w:t>
      </w:r>
    </w:p>
    <w:p>
      <w:pPr>
        <w:spacing w:after="0" w:line="18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$106.8 million for the nine months ended September 30, 2023 and consisted primarily of a net loss of $143.0 million adjusted for non-cash items of $34.7 million, which consisted of noncash stock-based compensation, depreciation and amortization, rent expense and the change in the fair value of our embedded derivative liability. Our net loss also includes $5.7 million of acquired In-Process Research and Development (IPR&amp;D) assets, which are classified as investing activities. The change in operating assets and liabilities used net cash of approximately $4.1 million, primarily driven by net increases in accounts receivable and inventory of $13.2 million from our increasing revenues and a net increase in prepaid expenses and other assets of $0.8 million, offset by a net increase in accounts payable and accrued expenses of $9.9 million due to the timing of vendor and employee bonus payments.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$69.3 million for the nine months ended September 30, 2024 and relates to purchases of short term investments for $201.9 million and cash used for the purchase of LGC’s proprietary compound bivamelagon (LB54640) for $40.0 million in January 2024, offset by gross maturities of short-term investments of $173.1 million.</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$28.3 million for the nine months ended September 30, 2023 and relates to gross purchases of short-term investments of $314.2 million and cash used to purchase Xinvento’s IPR&amp;D assets for $5.7 million in February 2023. These cash uses were offset by maturities of short-term investments of $291.7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$152.9 million for the nine months ended September 30, 2024, and consisted of net proceeds of $147.8 million from the issuance of Series A Preferred Stock as well as proceeds of $14.3 million from the exercise of stock options and the issuance of common stock from our Employee Stock Purchase Plan. These proceeds were offset by $9.1 million of repayments of our deferred royalty obligation.</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$71.9 million for the nine months ended September 30, 2023, and consisted of net proceeds of $48.9 million from the issuance of common stock, net proceeds of $24.4 million from the final investment tranche of our deferred royalty obligation and proceeds of $3.5 million from the exercise of stock options, and the issuance of common stock from Employee Stock Purchase Plan. These proceeds were offset by $4.8 million of repayments of our deferred royalty obligation.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clinical development of and seek marketing approval for setmelanotide for future indications, continue the clinical development of our other product candidates and build out our global organization. In addition, we expect to incur significant commercialization expenses related to product sales, marketing, manufacturing and distribution to the extent that such sales, marketing and distribution are not the responsibility of potential collaborators. We also expect to incur additional costs associated with operating as a public company.</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and cash equivalents and short-term investments as of September 30, 2024, will be sufficient to fund our operations into 2026. Our cash and cash equivalents are maintained at financial institutions in amounts that exceed federally-insured limits. In the event of failure of any of the financial institutions where we maintain our cash and cash equivalents, there can be no assurance that we will be able to access uninsured funds in a timely manner or at all.</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need to obtain substantial additional funding in connection with our research and development activities and any continuing operations thereafter. If we are unable to raise capital when needed or on favorable terms, we would be forced to delay, reduce or eliminate our research and development programs or future commercialization efforts.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25" w:lineRule="exact"/>
        <w:rPr>
          <w:sz w:val="20"/>
          <w:szCs w:val="20"/>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continue to commercialize setmelanotide, by growing our internal sales force or entering into collaborations with third parties and providing support services for patients;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clinical trials for our setmelanotide program as well as for RM-718 and bivamelagon (LB54640),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setmelanotide program as well as for RM-718 and bivamelagon (LB54640), and in connection with a therapeutic product candidate for CHI;</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owed to Ipsen, Camurus and Takeda Pharmaceutical Company Limited, or Takeda, and LGC pursuant to our license agreements;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Although IMCIVREE has been approved by the FDA in certain indications, and became commercially available in the first quarter of 2021, IMCIVREE may not achieve commercial success. In addition, developing our setmelanotide program is a time-consuming, expensive and uncertain process that may take years to complete, and we may never generate the necessary data or results required to obtain future marketing approvals and achieve product sales. Accordingly, we will need to continue to rely on additional financing to achieve our business objectives. Adequate additional financing may not be available to us on acceptable terms, or at all.</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All of these factors could impact our liquidity and future funding requirements, including but not limited to our ability to raise additional capital when needed on acceptable terms, if at all. The duration of this economic slowdown is uncertain and the impact on our business is difficult to predict. See “Risk Factors— Unfavorable global political or economic conditions could adversely affect our business, financial condition or results of operations.”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involves agreements that include covenants limiting or restricting our ability to take specific actions, such as incurring additional debt, making capital expenditures or declaring dividends.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setmelanotide program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setmelanotide program that we would otherwise prefer to develop and market ourselves.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November 2, 2021, we entered into a Sales Agreement with Cowen and Company, LLC (“Cowen”), pursuant to which we may issue and sell shares of our common stock, having an aggregate offering price of up to $100.0 million, from time to time through an “at the market” equity offering program under which Cowen acts as sales agent (the “ATM Program”). Between August 10, 2023 and August 21, 2023, we sold approximately two million shares of our common stock in the ATM Program for net proceeds of approximately $48.9 million.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29, 2024, the Company and Cowen entered into Amendment No. 1 to Sales Agreement (the “Amendment”) to increase the aggregate offering price of the shares of common stock that may be issued and sold pursuant to the Sales Agreement to $200,000,000 (excluding the aggregate offering price of shares of common stock issued and sold pursuant to the Sales Agreement prior to February 29, 2024). In connection with the Amendment, on February 29, 2024, the Company filed with the Securities Exchange Commission a prospectus supplement, dated February 29, 2024, which, combined with the Base Prospectus (together, the “New Prospectus”), amended the Prior Prospectus in its entirety. The issuances and sales under the Sales Agreement, as amended by the Amendment, will be made pursuant to the Registration Statement and the New Prospectus.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apart from additional contractual obligations under our acquisition of Xinvento and LGC’s bivamelagon (LB54640) as disclosed in Note 3, “Asset Acquisitions” to the unaudited condensed consolidated financial statements included under Part I, Item 1 of this Quarterly Report on Form 10-Q, there were no other material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changes to our principal contractual obligations and commitments as reported in our Annual Report on Form 10-K for the fiscal year ended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there were no material changes to our quantitative and qualitative disclosures about market risks as reported in Part II, Item 7A “Quantitative and Qualitative Disclosures About Market Risks” in our Annual Report on Form 10-K for the fiscal year ended December 31,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Quarterly Report on Form 10-Q. Based on such evaluation, our principal executive officer and principal financial officer have concluded that, as of September 30, 2024, our disclosure controls and procedures were not effective at the reasonable assurance level due to the material weakness described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2023, we identified a material weakness in internal control related to ineffective information technology general controls, or ITGCs, in the areas of user access and program change management over our key accounting and reporting information technology, or IT, system. As a result, the related business process controls (IT application controls and IT-dependent manual controls) that are dependent on the ineffective ITGCs, or that use data produced from the system impacted by the ineffective ITGCs, were also ineffective.</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material weakness identified above did not result in any material misstatements in our financial statements or disclosures, and there were no changes to previously released financial results. Our management concluded that the unaudited condensed consolidated financial statements included in this Quarterly Report on Form 10-Q, present fairly, in all material respects, our financial position, results of operations, and cash flows for the periods presented in accordance with accounting principles generally accepted in the United States of America, or U.S. GAAP.</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is committed to maintaining a strong internal control environment. In response to the identified material weakness above, we have implemented, and are continuing to implement, measures designed to improve internal control over financial reporting to remediate the control deficiencies that led to our material weakness.</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ongoing remediation actions include: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support administration of user access and program change management; and (iv) enhancing quarterly management reporting on the remediation measures to the Audit Committee of the Board of Directors.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these actions, when fully implemented, will remediate the material weakness. The weakness will not be considered remediated, however, until the applicable controls operate for a sufficient period of time and management has concluded, through testing, that these controls are operating effectively. We may also conclude that additional measures may be required to remediate the material weakness in our internal control over financial reporting, which may necessitate additional implementation and evaluation time. We will continue to assess the effectiveness of our internal control over financial reporting and take steps to remediate the known material weakness expeditiously.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continued to implement certain internal controls in connection with remediation efforts related to the material weakness identified in our Annual Report on Form 10-K for the year ended December 31, 2023.</w:t>
      </w:r>
    </w:p>
    <w:p>
      <w:pPr>
        <w:spacing w:after="0" w:line="176" w:lineRule="exact"/>
        <w:rPr>
          <w:sz w:val="20"/>
          <w:szCs w:val="20"/>
          <w:color w:val="auto"/>
        </w:rPr>
      </w:pPr>
    </w:p>
    <w:p>
      <w:pPr>
        <w:jc w:val="both"/>
        <w:ind w:left="60" w:right="59" w:firstLine="693"/>
        <w:spacing w:after="0" w:line="261" w:lineRule="auto"/>
        <w:rPr>
          <w:sz w:val="20"/>
          <w:szCs w:val="20"/>
          <w:color w:val="auto"/>
        </w:rPr>
      </w:pPr>
      <w:r>
        <w:rPr>
          <w:rFonts w:ascii="Times New Roman" w:cs="Times New Roman" w:eastAsia="Times New Roman" w:hAnsi="Times New Roman"/>
          <w:sz w:val="18"/>
          <w:szCs w:val="18"/>
          <w:color w:val="auto"/>
        </w:rPr>
        <w:t>Except as described above, there were no changes in our internal control over financial reporting (as defined in Rules 13a-15(f) and 15d-15(f) under the Exchange Act) that occurred during the fiscal quarter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which could adversely affect our business, financial condition, results of operations, cash flows, and the trading price of our common stock. Additional risks and uncertainties that we currently do not know about or that we currently believe to be immaterial may also impair our business. You should carefully consider the risks described below and the other information in this Quarterly Report on Form 10-Q for the period ended September 30, 2024 (the “Quarterly Report”), including our unaudited condensed consolidated financial statements and the related notes thereto, and “Management’s Discussion and Analysis of Financial Condition and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commercial stage biopharmaceutical company with a limited operating history and have not generated significant revenue from product sales. We have incurred significant operating losses since our inception, anticipate that we will incur continued losses for the foreseeable future and may never achieve profitability.</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a commercial stage biopharmaceutical company with a limited operating history on which to base your investment decision. Biopharmaceutical product development is a highly speculative undertaking and involves a substantial degree of risk. We were incorporated in February 2013. Our operations to date have been primarily focused on developing and commercializing IMCIVREE® (setmelanotide) to treat patients living with hyperphagia and severe obesity caused by rare MC4R pathway diseases. Our business activities have included acquiring rights to intellectual property, business planning, raising capital, developing our technology, identifying potential product candidates, undertaking preclinical studies and conducting research and development activities, including clinical trials, for setmelanotide. To date we have generated approximately $185.8 million of revenue from product sales. In the United States, IMCIVREE is approved for chronic weight management in adult and pediatric patients 6 years of age and older with monogenic or syndromic obesity due to POMC, PCSK1 or LEPR deficiency as determined by an FDA approved test demonstrating variants in POMC, PCSK1 or LEPR genes that are interpreted as pathogenic, likely pathogenic, or of uncertain significance, or BBS. The EC has authorized IMCIVREE for the treatment of obesity and the control of hunger associated with genetically confirmed BBS or genetically confirmed loss-of-function biallelic POMC, including PCSK1, deficiency or biallelic LEPR deficiency in adults and children 2 years of age and above. The MHRA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Health Canada has approved IMCIVREE for weight management in adult and pediatric patients 6 years of age and older with obesity due to BBS or genetically-confirmed POMC, PCSK1, or LEPR deficiency due to variants interpreted as pathogenic, likely pathogenic, or of uncertain significance. In total, to date we have achieved market access or named patient sales of IMCIVREE for BBS or POMC and LEPR deficiencies, or both, in more than 15 countries outside the United States, and we continue to collaborate with authorities to achieve access in additional markets.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obtained any other regulatory approvals for setmelanotide. We first commercialized IMCIVREE in the U.S. in the first quarter of 2021 and therefore do not have a long history operating as a commercial company. We are continuing to transition from a company with a research and development focus to a company capable of supporting commercial activities and we may not be successful in such transition. We are still at the early stages of demonstrating our ability to manufacture at commercial scale, or arrange for a third party to do so on our behalf, or conduct sales, marketing and distribution activities necessary for successful product commercialization. Consequently, any predictions made about our future success or viability may not be as accurate as they could be if we had a longer operating history.</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and development of setmelanotide, which is approved by the FDA and Health Canada and authorized by the EC and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MHRA, as noted above, and is in development to address patients affected by several other indications. We have funded our operations to date primarily through the proceeds from the sales of common stock and preferred stock, asset sales, royalty interest financing, as well as capital contributions from our former parent, Rhythm Holdings LLC, and have incurred losses in each year since our inception.</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net losses were $217.3 million and $143.0 million for the nine months ended September 30, 2024 and 2023, respectively. As of September 30, 2024, we had an accumulated deficit of $1,112.0 million. Substantially all of our operating losses have resulted from costs incurred in connection with our development programs and from commercial and general and administrative costs associated with our operations. Our prior losses, combined with expected future losses, have had and will continue to have an adverse effect on our stockholders’ deficit and working capital. We expect our research and development expenses to significantly increase in connection with our additional clinical trials of setmelanotide, with clinical trials of our product candidates (RM-718), which is designed to be a more selective MC4R agonist with weekly administration, and bivamelagon (LB54640), an investigational oral small molecule MC4R agonist now in Phase 2 clinical trials), and with the development of any other product candidates we may choose to pursue, including a product candidate for CHI. In addition, since we have market access for IMCIVREE for BBS or POMC and LEPR deficiencies, or both, in more than 15 countries outside of the United States, we expect to continue to incur significant sales, marketing and outsourced manufacturing expenses. Nevertheless, setmelanotide may not be a commercially successful drug. We have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generated approximately $185.8 million of revenue from product sales. Our ability to generate revenue depends on a number of factors, including, but not limited to, our ability to:</w:t>
      </w:r>
    </w:p>
    <w:p>
      <w:pPr>
        <w:spacing w:after="0" w:line="176" w:lineRule="exact"/>
        <w:rPr>
          <w:sz w:val="20"/>
          <w:szCs w:val="20"/>
          <w:color w:val="auto"/>
        </w:rPr>
      </w:pPr>
    </w:p>
    <w:p>
      <w:pPr>
        <w:ind w:left="1040" w:right="79" w:hanging="315"/>
        <w:spacing w:after="0" w:line="29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setmelanotide by building a commercial organization and/or entering into collaborations with third parties;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IMCIVREE is available to patients;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achieve market acceptance of setmelanotide in the medical community and with third-party payors;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later-stage clinical trials for setmelanotide, RM-718, bivamelagon (LB54640), or other product candidates that meet their clinical endpoints;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initiate and successfully complete all studies required to obtain U.S. and foreign marketing approvals for setmelanotide as a treatment to address patients with deficiencies affecting the MC4R pathway; and</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setmelanotide, or RM-718 and bivamelagon (LB54640) if approved.</w:t>
      </w:r>
    </w:p>
    <w:p>
      <w:pPr>
        <w:spacing w:after="0" w:line="16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described above, we have and expect to continue to incur significant sales and marketing, commercialization, and research and development costs. Additionally, as a result of the acquisition of Xinvento B.V., we also expect to devote substantial financial resources to the research and development and potential commercialization of a product candidate for CHI. We may not achieve profitability soon after generating product sales, if ever. If we are unable to generate significant product revenue, we will not become profitable and will be unable to continue operations without continued funding.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currently in the early stages of commercializing IMCIVREE for chronic weight management in patients with obesity due to BBS, POMC, PCSK1 or LEPR deficiencies in the U.S., Canada, the EU and Great Britain and advancing setmelanotide through clinical development for additional indications in the United States and for potential approvals in other countries. Developing peptide therapeutic products is expensive and we expect our research and development expenses to increase substantially in connection with our ongoing activities, particularly as we advance setmelanotide in additional clinical trials, as well as in connection with research and development activities for setmelanotide, RM-718, and bivamelagon (LB54640), and in connection with a product candidate for CHI as a result of the acquisition of Xinvento B.V. We intend to use our available cash resources to advance the clinical development of setmelanotide, for disease-education and community-building activities, patient identification, and commercialization activities related to IMCIVREE. Depending on the status of additional regulatory approvals and commercialization of setmelanotide, as well as the progress we make in sales of IMCIVREE, we may still require significant additional capital to fund the continued development of setmelanotide and our operating needs thereafter, as well as research and development activities for setmelanotide, RM-718, bivamelagon (LB54640), and a product candidate for CHI. We may also need to raise additional funds if we choose to pursue additional indications and/or geographies for setmelanotide or otherwise expand more rapidly than we presently anticipate.</w:t>
      </w:r>
    </w:p>
    <w:p>
      <w:pPr>
        <w:spacing w:after="0" w:line="196"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From August 2015 through August 2017, we raised aggregate net proceeds of $80.8 million through our issuance of series A preferred stock. In connection with our initial public offering, or IPO, in October 2017 and our underwritten follow-on offerings through December 2023, we raised aggregate net proceeds of approximately $791.5 million through the issuance of our common stock after deducting underwriting discounts, commissions and offering related transaction costs. We received a further $100.0 million from asset sales, specifically in connection with the sale of our Rare Pediatric Disease Priority Review Voucher, or PRV, to Alexion Pharmaceuticals, Inc. In June 2022, we entered into a Revenue Interest Financing Agreement, or RIFA, with HealthCare Royalty Partners for a total investment amount of up to $100.0 million, conditioned upon our achievement of certain clinical development and sales milestones. As of September 30, 2024, we have received $96.7 million of aggregate proceeds, net of debt issuance costs, under the RIFA. We also received $147.8 million in net proceeds under an investment agreement, or the Investment Agreement, with certain affiliates of Perceptive Advisors LLC, or Perceptive, and certain other investors, relating to the issuance and sale of 150,000 shares of a new series of the Company’s Series A Convertible Preferred Stock, par value $0.001 per share, titled the “Series A Convertible Preferred Stock”, or the Convertible Preferred Stock, for an aggregate purchase price of $150.0 million, or $1,000 per share. As of September 30, 2024, our cash and cash equivalents and short-term investments were approximately $298.4 million. We expect that our existing cash and cash equivalents and short-term investments will be sufficient to fund our operations into 2026.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We will also require additional capital to obtain additional regulatory approvals for, and to continue to commercialize, setmelanotide, as well as for research and development activities for setmelanotide, RM-718, bivamelagon (LB54640), and a product candidate for CHI. Raising funds in the current economic and geopolitical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20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commercialize IMCIVREE and develop setmelanotide, RM-718, bivamelagon (LB54640), and a product candidate for CHI. In addition, we cannot guarantee that future financing will be available in sufficient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 third parties at an earlier stage than otherwise would be desirable and we may be required to relinquish rights to setmelanotide or technologies or otherwise agree to terms unfavorable to us, any of which may have a material adverse effect on our business, operating results and prospects.</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setmelanotide or be unable to expand our operations or otherwise capitalize on our business opportunities, as desired, which could materially adversely affect our business, financial condition and results of operations.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Interest Financing Agreement with Healthcare Royalty Partners could restrict our ability to commercialize IMCIVREE, limit cash flow available for our operations and expose us to risks that could adversely affect our business, financial condition and results of operations.</w:t>
      </w:r>
    </w:p>
    <w:p>
      <w:pPr>
        <w:spacing w:after="0" w:line="17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June 16, 2022, we entered into the RIFA, with entities managed by HealthCare Royalty Management, collectively referred to as the Investors. Pursuant to the RIFA and subject to customary closing conditions, the Investors agreed to pay us an aggregate investment amount of up to $100.0 million, or the Investment Amount. Under the terms of the RIFA, we received $37.5 million on June 29, 2022 upon FDA approval of IMCIVREE in BBS, and an additional $37.5 million on September 29, 2022, following EC marketing authorization for BBS on September 6, 2022. On September 12, 2023, we received the remaining $24.4 million of the Investment Amount, net of debt issuance costs, following the achievement of a specified amount of cumulative net sales of IMCIVREE between July 1, 2022 and September 30, 2023.</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consideration for the Investment Amount and pursuant to the RIFA, we agreed to pay the Investors a tiered royalty on our annual net revenues, or Revenue Interest, including worldwide net product sales and upfront payments and milestones. The applicable tiered percentage will initially be 11.5% on annual net revenues up to $125 million, 7.5% on annual net revenues of between $125 million and $300 million and 2.5% on annual net revenues exceeding $300 million. If the Investors have not received cumulative minimum payments equal to 60% of the amount funded by the Investors to date by March 31, 2027 or 120% of the amount funded by the Investors to date by March 31, 2029, we must make a cash payment immediately following each applicable date to the Investors sufficient to gross the Investors up to such minimum amounts after giving full consideration of the cumulative amounts paid by us to the Investors through each date, referred to as the Under Performance Payment. As the repayment of the funded amount is contingent upon worldwide net product sales and upfront payments, milestones, and royalties, the repayment term may be shortened or extended depending on actual worldwide net product sales and upfront payments, milestones, and royalties. As of September 30, 2024 we have made $16,622 of payments, including $9,092 in the nine months ended September 30, 2024.</w:t>
      </w:r>
    </w:p>
    <w:p>
      <w:pPr>
        <w:spacing w:after="0" w:line="19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Investors’ rights to receive the Revenue Interests will terminate on the date on which the Investors have received payments equal to a certain percentage of the funded portion of the Investment Amount including the aggregate of all payments made to the Investors as of such date, each percentage tier referred to as the Hard Cap, unless the RIFA is earlier terminated. The total Revenue Interests payable by us to the Investors is capped between 185% and 250% of the Investment Amount paid to us, dependent on the aggregate royalty paid between 2028 and 2032. If a change of control of occurs, the Investors may accelerate payments due under the RIFA up to the Hard Cap plus any other obligations payable under the RIFA.</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obligations under the RIFA could have significant negative consequences for our security holders and our business, results of operations and financial condition by, among other things:</w:t>
      </w:r>
    </w:p>
    <w:p>
      <w:pPr>
        <w:spacing w:after="0" w:line="162"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or enter into IMCIVREE partnership agreements;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cash flow from operations to service our indebtedness, which will reduce the amount of cash available for other purposes;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 and</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terms of the RIFA, resulting in an event of default that is not cured or waived, Investors could seek to enforce their security interest in our cash and cash equivalents and all assets relating to IMCIVREE that secures such indebtedness.</w:t>
      </w:r>
    </w:p>
    <w:p>
      <w:pPr>
        <w:spacing w:after="0" w:line="17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the extent we incur additional debt (including without limitation additional amounts under the RIFA), the risks described above could increase.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Setmelanotide and Other Product Candidates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earlier clinical trials of setmelanotide may not be predictive of the results of later clinical trials of setmelanotide. If we cannot generate positive results in our later clinical trials of setmelanotide, we may be unable to successfully develop, obtain regulatory approval for, and commercialize additional indications for setmelanotide.</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Positive results from any of our Phase 1, Phase 2, or Phase 3 clinical trials of setmelanotide, or initial results from other clinical trials of setmelanotide, may not be predictive of the results of later clinical trials. The duration of effect of setmelanotide tested in our Phase 1 and Phase 2 clinical trials was often for shorter periods than in our pivotal Phase 3 clinical trials. The duration of effect of setmelanotide has only been studied in long-term durations for a small number of patients in our Phase 2 and Phase 3 clinical trials and safety or efficacy issues may arise when more patients are studied in longer trials and on commercial drug. It is possible that the effects seen in short-term clinical trials will not be replicated in long-term or larger clinical trials. In addition, not all of our trials demonstrated statistically significant weight loss and there can be no guarantee that future trials will do so.</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Positive results observed in one patient population are not necessarily predictive of positive results for other populations. We have demonstrated statistically significant and clinically meaningful reductions in weight and hunger in Phase 3 clinical trials in obesity due to POMC, PCSK1 or LEPR deficiencies and BBS, and believe we have demonstrated proof of concept in Phase 2 clinical trials in impairments due to a variant in one of the two alleles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LEPR </w:t>
      </w:r>
      <w:r>
        <w:rPr>
          <w:rFonts w:ascii="Times New Roman" w:cs="Times New Roman" w:eastAsia="Times New Roman" w:hAnsi="Times New Roman"/>
          <w:sz w:val="18"/>
          <w:szCs w:val="18"/>
          <w:color w:val="auto"/>
        </w:rPr>
        <w:t>genes (HET obesity), as well as the SRC1 and SH2B1 genes, all genetic diseases of extreme and unrelenting appetite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obesity. We hypothesize that patients with other upstream genetic variants in the MC4R pathway may also respond with reductions in weight and hunger after treatment with setmelanotide. However, patients with other upstream genetic variants may not have a similar response to setmelanotide, and until we obtain more clinical data in other genetic variants, we will not be sure that we can achieve proof of concept in such populations.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actively working to advance additional genetic variants related to the MC4R pathway through our clinical development programs. Our continued development efforts are focused on obesity related to several single gene related, or monogenic, MC4R pathway impairments: BBS; obesity due to a genetic variant in one of the two alleles of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gene, or HETs; obesity due to steroid receptor coactivator 1, or SRC1, variants; obesity due to SH2B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adapter protein 1, or SH2B1; hypothalamic obesity; and MC4R deficiency obesity. For example, in April 2022 we enrolled the first patient in our pivotal Phase 3 EMANATE clinical trial of setmelanotide. The trial is a randomized, double-blind, placebo-controlled study with four independent sub-studies evaluating setmelanotide in patients with: heterozygous POMC/PCSK1 obesity; heterozygous LEPR obesity; certain variants of the SRC1; or certain variants of SH2B1 genes. Each of the four sub-studies will be entirely independent of the others and, if successful, is designed to support separate regulatory submissions to the FDA and EMA in each studied population. However, the FDA and EMA may not view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8"/>
          <w:szCs w:val="18"/>
          <w:color w:val="auto"/>
        </w:rPr>
        <w:t>positive results in one sub-study, even if such results are statistically significant and clinically meaningful, as being sufficient for approval for any given indication</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Success in a basket trial, or any trial in one cohort, may not predict success in another cohort. In contrast, in the event of an adverse safety issue, clinical hold, or other adverse finding in one or more cohorts being tested, such event could adversely affect our trials in the other cohorts and may delay or prevent completion of such clinical trials.</w:t>
      </w:r>
    </w:p>
    <w:p>
      <w:pPr>
        <w:spacing w:after="0" w:line="17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later stage clinical trials after achieving positive results in early-stage development, and we cannot be certain that we will not face similar setbacks. These setbacks have been caused by, among other things, pre-clinical findings made while clinical trials were underway.</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Additionally, setbacks may be caused by new safety or efficacy observations made in clinical trials, including previously unreported adverse events, or AEs. Moreover, preclinical and clinical data are often susceptible to varying interpretations and analyses, and many companies that believed their product candidates performed satisfactorily in preclinical studies and clinical trials nonetheless failed to obtain FDA approval or a marketing authorization from the EC or foreign regulatory authorities. If we fail to obtain positive results in our Phase 3 clinical trials of setmelanotide, the development timeline and regulatory approval and commercialization prospects for setmelanotide and, correspondingly, our business and financial prospects, would be materially adversely affected.</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or reported. As a result, topline data should be viewed with caution until the final data are available.</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license agreement with LGC is important to our business. If we or LGC fail to adequately perform under the agreement, the development of bivamelagon (LB54640) could be delayed, or if we or LGC terminate the agreement, we would lose our rights to develop and commercialize bivamelagon (LB54640).</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January 2024, we entered into a license agreement and share issuance agreement with LGC. Pursuant to the terms of the license agreement, we obtained exclusive worldwide rights to develop LGC’s proprietary compound bivamelagon (LB54640) and assumed sponsorship of two ongoing LGC Phase 2 studies designed to evaluate safety, tolerability, pharmacokinetics and weight loss efficacy of bivamelagon (LB54640). In addition and subject to the completion of Phase 2 development of bivamelagon (LB54640), we have agreed to pay LGC royalties of between low-to-mid single digit percent of net revenues from our MC4R portfolio, including bivamelagon (LB54640), commencing in 2029 and dependent upon achievement of various regulatory and indication approvals, and subject to customary deductions and anti-stacking. Royalties may further increase to a low double digit percent royalty, though such royalty would only be applicable on net sales of bivamelagon (LB54640) in a region if bivamelagon (LB54640) is covered by a composition of matter or method of use patent controlled by LGC in such region and the Company’s MC4R portfolio is not covered by any composition of matter or method of use patents controlled by the Company in such region. Such increased rate would only apply on net sales of bivamelagon (LB54640) for the limited remainder of the royalty term in the relevant region. The license agreement will continue until the expiration of the obligation to pay royalties in all countries or regions, unless terminated earlier. We or LGC can terminate the license agreement in certain circumstances, including for the other party’s material uncured breach. If the license agreement is terminated, we would lose our rights to develop and commercialize bivamelagon (LB54640), and, under some circumstances, we could be subject to certain ongoing payments, penalties and fees, all of which in turn would have a material adverse effect on our business.</w:t>
      </w:r>
    </w:p>
    <w:p>
      <w:pPr>
        <w:spacing w:after="0" w:line="18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suffering from each of the MC4R pathway variants we are targeting is small and has not been established with precision. If the actual number of patients is smaller than we estimate, our revenue and ability to achieve profitability may be materially adversely affected.</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Due to the rarity of our target indications, there is no comprehensive patient registry or other method of establishing with precision the actual number of patients with MC4R pathway deficiencies. As a result, we have had to rely on other available sources to derive clinical prevalence estimates for our target indications. In addition, we have internal genetic sequencing results from individuals with severe obesity that provide another approach to estimating prevalence. As of December 31, 2023, our database had approximately 80,000 sequencing samples. Since the published epidemiology studies for these genetic variants are based on relatively small population samples, and are not amenable to robust statistical analyses, it is possible that these projections may significantly exceed the addressable population, particularly given the need to genotype patients to definitively confirm a diagnosis.</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on multiple epidemiological methods, we have estimated the potential addressable patient populations with these MC4R pathway deficiencies based on the following sources and assumptions:</w:t>
      </w:r>
    </w:p>
    <w:p>
      <w:pPr>
        <w:spacing w:after="0" w:line="160" w:lineRule="exact"/>
        <w:rPr>
          <w:sz w:val="20"/>
          <w:szCs w:val="20"/>
          <w:color w:val="auto"/>
        </w:rPr>
      </w:pPr>
    </w:p>
    <w:p>
      <w:pPr>
        <w:jc w:val="both"/>
        <w:ind w:left="1380" w:right="79" w:hanging="331"/>
        <w:spacing w:after="0" w:line="274"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Deficiency Obesity</w:t>
      </w:r>
      <w:r>
        <w:rPr>
          <w:rFonts w:ascii="Times New Roman" w:cs="Times New Roman" w:eastAsia="Times New Roman" w:hAnsi="Times New Roman"/>
          <w:sz w:val="18"/>
          <w:szCs w:val="18"/>
          <w:color w:val="auto"/>
        </w:rPr>
        <w:t>. POMC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genes that are interpreted as pathogenic, likely pathogenic, or of uncertain significance. Our addressable patient population estimate for POMC deficiency obesity is approximately 100 to 500 patients in the United States, with a comparable addressable patient population in Europe. Our estimates are based on:</w:t>
      </w:r>
    </w:p>
    <w:p>
      <w:pPr>
        <w:spacing w:after="0" w:line="183" w:lineRule="exact"/>
        <w:rPr>
          <w:rFonts w:ascii="Times New Roman" w:cs="Times New Roman" w:eastAsia="Times New Roman" w:hAnsi="Times New Roman"/>
          <w:sz w:val="18"/>
          <w:szCs w:val="18"/>
          <w:color w:val="auto"/>
        </w:rPr>
      </w:pPr>
    </w:p>
    <w:p>
      <w:pPr>
        <w:jc w:val="both"/>
        <w:ind w:left="1700" w:right="79" w:hanging="327"/>
        <w:spacing w:after="0" w:line="272" w:lineRule="auto"/>
        <w:tabs>
          <w:tab w:leader="none" w:pos="17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patients with POMC deficiency obesity noted in a series of published case reports, each mostly reporting a single or small number of patients. However, we believe our addressable patient population for this deficiency may be approximately 100 to 500 patients in the United States, and a comparable addressable patient population in Europe, as most of the reported cases are from a small number of academic research centers, and because genetic testing for POMC deficiency obesity is often unavailable and currently is rarely performed;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700" w:right="79" w:hanging="327"/>
        <w:spacing w:after="0" w:line="281"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based on discussions with experts in rare diseases, that the number of diagnosed cases could increase several-fold with increased awareness of this deficiency and the availability of new treatments;</w:t>
      </w:r>
    </w:p>
    <w:p>
      <w:pPr>
        <w:spacing w:after="0" w:line="177" w:lineRule="exact"/>
        <w:rPr>
          <w:rFonts w:ascii="Times New Roman" w:cs="Times New Roman" w:eastAsia="Times New Roman" w:hAnsi="Times New Roman"/>
          <w:sz w:val="18"/>
          <w:szCs w:val="18"/>
          <w:color w:val="auto"/>
        </w:rPr>
      </w:pPr>
    </w:p>
    <w:p>
      <w:pPr>
        <w:jc w:val="both"/>
        <w:ind w:left="1700" w:right="79" w:hanging="327"/>
        <w:spacing w:after="0" w:line="276"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Centers for Disease Control and Prevention, or CDC, prevalence numbers for adults with severe obesity (body mass index, or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 and</w:t>
      </w:r>
    </w:p>
    <w:p>
      <w:pPr>
        <w:spacing w:after="0" w:line="179" w:lineRule="exact"/>
        <w:rPr>
          <w:rFonts w:ascii="Times New Roman" w:cs="Times New Roman" w:eastAsia="Times New Roman" w:hAnsi="Times New Roman"/>
          <w:sz w:val="18"/>
          <w:szCs w:val="18"/>
          <w:color w:val="auto"/>
        </w:rPr>
      </w:pPr>
    </w:p>
    <w:p>
      <w:pPr>
        <w:jc w:val="both"/>
        <w:ind w:left="1700" w:right="79" w:hanging="327"/>
        <w:spacing w:after="0" w:line="277"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POMC deficiency obesity patients (including both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gene diseases), defined as patients having biallelic variants in the</w:t>
      </w:r>
      <w:r>
        <w:rPr>
          <w:rFonts w:ascii="Times New Roman" w:cs="Times New Roman" w:eastAsia="Times New Roman" w:hAnsi="Times New Roman"/>
          <w:sz w:val="18"/>
          <w:szCs w:val="18"/>
          <w:i w:val="1"/>
          <w:iCs w:val="1"/>
          <w:color w:val="auto"/>
        </w:rPr>
        <w:t xml:space="preserve"> POMC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PCSK1 </w:t>
      </w:r>
      <w:r>
        <w:rPr>
          <w:rFonts w:ascii="Times New Roman" w:cs="Times New Roman" w:eastAsia="Times New Roman" w:hAnsi="Times New Roman"/>
          <w:sz w:val="18"/>
          <w:szCs w:val="18"/>
          <w:color w:val="auto"/>
        </w:rPr>
        <w:t>genes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interpreted as pathogenic, likely pathogenic, or of uncertain significance, of approximately 0.05%.</w:t>
      </w:r>
    </w:p>
    <w:p>
      <w:pPr>
        <w:spacing w:after="0" w:line="178" w:lineRule="exact"/>
        <w:rPr>
          <w:rFonts w:ascii="Times New Roman" w:cs="Times New Roman" w:eastAsia="Times New Roman" w:hAnsi="Times New Roman"/>
          <w:sz w:val="18"/>
          <w:szCs w:val="18"/>
          <w:color w:val="auto"/>
        </w:rPr>
      </w:pPr>
    </w:p>
    <w:p>
      <w:pPr>
        <w:jc w:val="both"/>
        <w:ind w:left="1380" w:right="79" w:hanging="331"/>
        <w:spacing w:after="0" w:line="274"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LEPR Deficiency Obesity</w:t>
      </w:r>
      <w:r>
        <w:rPr>
          <w:rFonts w:ascii="Times New Roman" w:cs="Times New Roman" w:eastAsia="Times New Roman" w:hAnsi="Times New Roman"/>
          <w:sz w:val="18"/>
          <w:szCs w:val="18"/>
          <w:color w:val="auto"/>
        </w:rPr>
        <w:t>. LEPR Deficiency Obesity is defined by the presence of biallelic variants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Our addressable patient population estimate for LEPR deficiency obesity is approximately 500 to 2,000 patients in the United States, with a comparable addressable patient population in Europe. Our estimates are based on:</w:t>
      </w:r>
    </w:p>
    <w:p>
      <w:pPr>
        <w:spacing w:after="0" w:line="18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epidemiology studies on LEPR deficiency obesity in small cohorts of patients comprised of children with severe obesity and adults with severe obesity who have a history of early onset obesity;</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figures for adults and children and CDC prevalence numbers for adults with severe obesity (BMI, greater than 40 kg/m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and for children with severe early-onset obesity (99th percentile at ages two to 17 years old);</w:t>
      </w:r>
    </w:p>
    <w:p>
      <w:pPr>
        <w:spacing w:after="0" w:line="177"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wider availability of genetic testing expected for LEPR deficiency obesity and increased awareness of new treatments, our belief that up to 40% of patients with these diseases may eventually be diagnosed; and</w:t>
      </w:r>
    </w:p>
    <w:p>
      <w:pPr>
        <w:spacing w:after="0" w:line="177"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internal sequencing yield for LEPR deficiency obesity patients, defined as patients having biallelic variants in the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 that are interpreted as pathogenic, likely pathogenic, or of uncertain significance, of approximately 0.09%.</w:t>
      </w:r>
    </w:p>
    <w:p>
      <w:pPr>
        <w:spacing w:after="0" w:line="17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Bardet-Biedl Syndrome</w:t>
      </w:r>
      <w:r>
        <w:rPr>
          <w:rFonts w:ascii="Times New Roman" w:cs="Times New Roman" w:eastAsia="Times New Roman" w:hAnsi="Times New Roman"/>
          <w:sz w:val="18"/>
          <w:szCs w:val="18"/>
          <w:color w:val="auto"/>
        </w:rPr>
        <w:t>. Our addressable patient population estimate for BBS is approximately 4,000 to</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patients in the United States based on:</w:t>
      </w:r>
    </w:p>
    <w:p>
      <w:pPr>
        <w:spacing w:after="0" w:line="233"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prevalence estimates of one in 100,000 in North America, which projects to approximately 3,250 people in the United States. We believe the majority of these patients are addressable patients;</w:t>
      </w:r>
    </w:p>
    <w:p>
      <w:pPr>
        <w:spacing w:after="0" w:line="177"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our patient identification efforts in Europe where we believe there are approximately 1,500 patients diagnosed and being cared for at academic centers in Europe;</w:t>
      </w:r>
    </w:p>
    <w:p>
      <w:pPr>
        <w:spacing w:after="0" w:line="162"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patient identification efforts to date in the United States;</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biallelic pathogenic or likely pathogenic variants in BBS genes of approximately 0.3%; and</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right="79" w:hanging="327"/>
        <w:spacing w:after="0" w:line="297" w:lineRule="auto"/>
        <w:tabs>
          <w:tab w:leader="none" w:pos="1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with wider availability of genetic testing expected for BBS and increased awareness of new treatments, the number of patients diagnosed with this disorder will increase.</w:t>
      </w:r>
    </w:p>
    <w:p>
      <w:pPr>
        <w:spacing w:after="0" w:line="160" w:lineRule="exact"/>
        <w:rPr>
          <w:rFonts w:ascii="Times New Roman" w:cs="Times New Roman" w:eastAsia="Times New Roman" w:hAnsi="Times New Roman"/>
          <w:sz w:val="18"/>
          <w:szCs w:val="18"/>
          <w:color w:val="auto"/>
        </w:rPr>
      </w:pPr>
    </w:p>
    <w:p>
      <w:pPr>
        <w:jc w:val="both"/>
        <w:ind w:left="1380" w:right="79" w:hanging="331"/>
        <w:spacing w:after="0" w:line="274"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POMC, PCSK1, or LEPR Heterozygous Obesities; SRC1 and SH2B1 Obesities</w:t>
      </w:r>
      <w:r>
        <w:rPr>
          <w:rFonts w:ascii="Times New Roman" w:cs="Times New Roman" w:eastAsia="Times New Roman" w:hAnsi="Times New Roman"/>
          <w:sz w:val="18"/>
          <w:szCs w:val="18"/>
          <w:color w:val="auto"/>
        </w:rPr>
        <w:t>. Our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setmelanotide-responsive patient population estimate for POMC, PCSK1, or LEPR heterozygous, SRC1 and SH2B1 obesity patients with at least one variant interpreted as pathogenic, likely pathogenic, or of uncertain significance suspected pathogenic is approximately 53,000 patients in the United States. Our estimates are based on:</w:t>
      </w:r>
    </w:p>
    <w:p>
      <w:pPr>
        <w:spacing w:after="0" w:line="18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between the ages of 2-5 years);</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of patients with POMC, PCSK1, or LEPR heterozygous, SRC1 or SH2B1 variants interpreted as pathogenic, likely pathogenic, or of uncertain significance of approximately 10-15%; and</w:t>
      </w:r>
    </w:p>
    <w:p>
      <w:pPr>
        <w:spacing w:after="0" w:line="177"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clinical response rate of 40% for patients carrying pathogenic or likely pathogenic variants, and 20% for patients carrying a variant of uncertain significance.</w:t>
      </w:r>
    </w:p>
    <w:p>
      <w:pPr>
        <w:spacing w:after="0" w:line="163"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The clinical response rate used in this calculation is based on the clinical data currently available to us from our trials and may change as more data become available.</w:t>
      </w:r>
    </w:p>
    <w:p>
      <w:pPr>
        <w:spacing w:after="0" w:line="160" w:lineRule="exact"/>
        <w:rPr>
          <w:sz w:val="20"/>
          <w:szCs w:val="20"/>
          <w:color w:val="auto"/>
        </w:rPr>
      </w:pPr>
    </w:p>
    <w:p>
      <w:pPr>
        <w:ind w:left="1380" w:right="79" w:hanging="331"/>
        <w:spacing w:after="0" w:line="300"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MC4R Deficiency Obesity</w:t>
      </w:r>
      <w:r>
        <w:rPr>
          <w:rFonts w:ascii="Times New Roman" w:cs="Times New Roman" w:eastAsia="Times New Roman" w:hAnsi="Times New Roman"/>
          <w:sz w:val="18"/>
          <w:szCs w:val="18"/>
          <w:color w:val="auto"/>
        </w:rPr>
        <w:t>. Our addressable patient population estimate for MC4R-rescuable deficiency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obesity is approximately 10,000 patients in the United States. This estimate is based on:</w:t>
      </w:r>
    </w:p>
    <w:p>
      <w:pPr>
        <w:spacing w:after="0" w:line="159"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Census Bureau population data and CDC prevalence numbers for early onset obesity (120% the 95th percentile between the ages of 2-5 years);</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ongoing biochemical screening study indicating there may be a defined subset of individuals who carry MC4R variants that may be rescued by an MC4R agonist; and</w:t>
      </w:r>
    </w:p>
    <w:p>
      <w:pPr>
        <w:spacing w:after="0" w:line="162"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sequencing yield for MC4R deficiency obesity patients of approximately 2.0% prior to application of functional filters.</w:t>
      </w:r>
    </w:p>
    <w:p>
      <w:pPr>
        <w:spacing w:after="0" w:line="160"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Hypothalamic obesity</w:t>
      </w:r>
      <w:r>
        <w:rPr>
          <w:rFonts w:ascii="Times New Roman" w:cs="Times New Roman" w:eastAsia="Times New Roman" w:hAnsi="Times New Roman"/>
          <w:sz w:val="18"/>
          <w:szCs w:val="18"/>
          <w:color w:val="auto"/>
        </w:rPr>
        <w:t>. Our addressable patient population estimate for hypothalamic obesity (HO) is</w:t>
      </w:r>
    </w:p>
    <w:p>
      <w:pPr>
        <w:spacing w:after="0" w:line="2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to 10,000 patients in the United States. This estimate is based on:</w:t>
      </w:r>
    </w:p>
    <w:p>
      <w:pPr>
        <w:spacing w:after="0" w:line="233"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diagnosis of an underlying HO etiology such as craniopharyngioma (CP), astrocytoma, or other brain tumors with CP accounting for approximately 50% of HO etiologies;</w:t>
      </w:r>
    </w:p>
    <w:p>
      <w:pPr>
        <w:spacing w:after="0" w:line="162" w:lineRule="exact"/>
        <w:rPr>
          <w:rFonts w:ascii="Times New Roman" w:cs="Times New Roman" w:eastAsia="Times New Roman" w:hAnsi="Times New Roman"/>
          <w:sz w:val="18"/>
          <w:szCs w:val="18"/>
          <w:color w:val="auto"/>
        </w:rPr>
      </w:pPr>
    </w:p>
    <w:p>
      <w:pPr>
        <w:jc w:val="both"/>
        <w:ind w:left="1700" w:right="79" w:hanging="327"/>
        <w:spacing w:after="0" w:line="281" w:lineRule="auto"/>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incidence of CP of approximately 1.3 to 2.2 per million per year in the United States, which projects to approximately 600 cases of CP per year based on a United States population of approximately 329 million;</w:t>
      </w:r>
    </w:p>
    <w:p>
      <w:pPr>
        <w:spacing w:after="0" w:line="177"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50% (based on a published range of 6% to 91%) of CP patients develop HO;</w:t>
      </w:r>
    </w:p>
    <w:p>
      <w:pPr>
        <w:spacing w:after="0" w:line="238" w:lineRule="exact"/>
        <w:rPr>
          <w:rFonts w:ascii="Times New Roman" w:cs="Times New Roman" w:eastAsia="Times New Roman" w:hAnsi="Times New Roman"/>
          <w:sz w:val="18"/>
          <w:szCs w:val="18"/>
          <w:color w:val="auto"/>
        </w:rPr>
      </w:pPr>
    </w:p>
    <w:p>
      <w:pPr>
        <w:ind w:left="1700" w:hanging="327"/>
        <w:spacing w:after="0"/>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estimates of overall survival (OS) after CP diagnosis, with a 20-year OS of 84%;</w:t>
      </w:r>
    </w:p>
    <w:p>
      <w:pPr>
        <w:spacing w:after="0" w:line="238" w:lineRule="exact"/>
        <w:rPr>
          <w:rFonts w:ascii="Times New Roman" w:cs="Times New Roman" w:eastAsia="Times New Roman" w:hAnsi="Times New Roman"/>
          <w:sz w:val="18"/>
          <w:szCs w:val="18"/>
          <w:color w:val="auto"/>
        </w:rPr>
      </w:pPr>
    </w:p>
    <w:p>
      <w:pPr>
        <w:ind w:left="1700" w:right="79" w:hanging="327"/>
        <w:spacing w:after="0" w:line="297" w:lineRule="auto"/>
        <w:tabs>
          <w:tab w:leader="none" w:pos="1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for patients that develop HO due to other factors besides CP, results in an estimated HO prevalence after CP diagnosis in the United States exceeding 2,500-7,500 patients; and</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00" w:right="79" w:hanging="327"/>
        <w:spacing w:after="0" w:line="297" w:lineRule="auto"/>
        <w:tabs>
          <w:tab w:leader="none" w:pos="1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Company estimate is based on reported incidence of hypothalamic obesity following CP and long-term survival rates.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Obesity due to a deficiency in the MC4R pathway caused by variants in the SEMA3 family, PHIP, TBX3 or PLXNA family. Our addressable patient population estimate for obesity patient with variants in these genes is approximately 63,500 patients in the United States. This estimate is based on:</w:t>
      </w:r>
    </w:p>
    <w:p>
      <w:pPr>
        <w:spacing w:after="0" w:line="177" w:lineRule="exact"/>
        <w:rPr>
          <w:rFonts w:ascii="Times New Roman" w:cs="Times New Roman" w:eastAsia="Times New Roman" w:hAnsi="Times New Roman"/>
          <w:sz w:val="18"/>
          <w:szCs w:val="18"/>
          <w:color w:val="auto"/>
        </w:rPr>
      </w:pPr>
    </w:p>
    <w:p>
      <w:pPr>
        <w:jc w:val="both"/>
        <w:ind w:left="1700" w:right="79" w:hanging="327"/>
        <w:spacing w:after="0" w:line="276" w:lineRule="auto"/>
        <w:tabs>
          <w:tab w:leader="none" w:pos="17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URO genetic testing program with samples from more than 36,000 participants, classification of variants for pathogenic, likely pathogenic and 20% of with a variant of uncertain significance and applied to established estimate of approximately 5 million people in the US with early-onset obesity.</w:t>
      </w:r>
    </w:p>
    <w:p>
      <w:pPr>
        <w:spacing w:after="0" w:line="182"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patient populations in the EU are similar to those in the United States. However, we do not have comparable epidemiological data from the EU and these estimates are therefore based solely on applying relative population percentages to the Company-derived estimates described above.</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Defining the exact genetic variants that result in MC4R pathway diseases is complex, so if any approval that we obtain is based on a narrower definition of these patient populations than we had anticipated, then the potential market for setmelanotide for these indications will be smaller than we originally believed. In either case, a smaller patient population in our target indications would have a materially adverse effect on our ability to achieve commercialization and generate revenues.</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regulatory submissions or receipt of additional marketing approvals could be delayed or prevented.</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planned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including general obesity, and this competition reduces the number and types of patients available to us, as some patients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are limited patient pools from which to draw for clinical studies. In addition to the rarity of genetic diseases of obesity,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Patient enrollment for our current or any future clinical trials may be affected by other factors, including:</w:t>
      </w:r>
    </w:p>
    <w:p>
      <w:pPr>
        <w:spacing w:after="0" w:line="194"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8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patients for genetic markers to indicate which patients may be eligible for enrollment in our clinical trials;</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patients in our planned clinical trial due to public health emergencies;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including as a result of health conditions or being forced to quarantine, or, because they may be late-stage cancer patients or for other reasons, will not survive the full terms of the clinical trials.</w:t>
      </w:r>
    </w:p>
    <w:p>
      <w:pPr>
        <w:spacing w:after="0" w:line="17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pediatric population is an important patient population for setmelanotide, RM-718, and bivamelagon (LB54640), and our addressable patient population estimates include pediatric populations. However, it may be more challenging to conduct studies in younger participants, and to locate and enroll pediatric patients. 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also result in increased development costs for setmelanotide and any future product candidates and jeopardize our ability to obtain additional marketing approvals for the sale of setmelanotide. Furthermore, even if we are able to enroll a sufficient number of patients for our clinical trials, we may have difficulty maintaining participation in our clinical trials through the treatment and any follow-up periods.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our planned clinical trials of setmelanotide, RM-718, or bivamelagon (LB54640) could result in increased costs to us and could delay, prevent or limit our ability to generate revenue and continue our business.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Successful completion of our ongoing and planned clinical trials is a prerequisite to submitting an NDA or NDA supplement to the FDA, an MAA to the EMA, and other applications for marketing authorization to equivalent competent authorities in foreign jurisdictions, and consequently, successful completion of such trials, at a minimum, will be required for regulatory approvals and the commercial marketing of setmelanotide for additional indications as well as RM-718 and bivamelagon (LB54640).</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or whether any of our clinical trials will be completed on schedule, if at all, as the commencement and successful completion of clinical trials can be delayed or prevented for a number of reasons, including but not limited to:</w:t>
      </w:r>
    </w:p>
    <w:p>
      <w:pPr>
        <w:spacing w:after="0" w:line="174" w:lineRule="exact"/>
        <w:rPr>
          <w:sz w:val="20"/>
          <w:szCs w:val="20"/>
          <w:color w:val="auto"/>
        </w:rPr>
      </w:pPr>
    </w:p>
    <w:p>
      <w:pPr>
        <w:ind w:left="1040" w:right="79" w:hanging="315"/>
        <w:spacing w:after="0" w:line="300"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studies;</w:t>
      </w:r>
    </w:p>
    <w:p>
      <w:pPr>
        <w:spacing w:after="0" w:line="159"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completion of preclinical laboratory tests, animal studies and formulation studies in accordance with FDA’s good laboratory practice requirements and other applicable regulations;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deny permission to proceed with our ongoing or planned trials or any other clinical trials we may initiate, or may place a clinical trial on hold or such trial may be suspended;</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authorization to proceed under an additional investigational new drug application, or IND, or similar foreign application if required;</w:t>
      </w:r>
    </w:p>
    <w:p>
      <w:pPr>
        <w:spacing w:after="0" w:line="162"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the FDA and other regulatory agencies on study design and obtaining regulatory authorization to commence clinical trials;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77"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or maintaining Institutional Review Board, or IRB, and/or ethics committee approval or opinion to conduct a clinical trial at a prospective site or sites;</w:t>
      </w:r>
    </w:p>
    <w:p>
      <w:pPr>
        <w:spacing w:after="0" w:line="162"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many already diagnosed patients are at academic sites, delays in conducting clinical trials at academic sites due to the particular challenges and delays typically associated with those sites, as well as the lack of alternatives to these sites which have already diagnosed patients;</w:t>
      </w:r>
    </w:p>
    <w:p>
      <w:pPr>
        <w:spacing w:after="0" w:line="177"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quantity or quality of setmelanotide, RM-718, bivamelagon (LB54640) or other materials necessary to conduct clinical trials, including delays in the manufacturing of sufficient supply of finished drug product;</w:t>
      </w:r>
    </w:p>
    <w:p>
      <w:pPr>
        <w:spacing w:after="0" w:line="17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recruiting and training suitable clinical investigators;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suitable patients to participate in clinical trials;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 related side effects experienced by patients in a clinical trial, including side effects previously identified in our completed clinical trials;</w:t>
      </w:r>
    </w:p>
    <w:p>
      <w:pPr>
        <w:spacing w:after="0" w:line="16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perform in accordance with the FDA’s or any other regulatory authority’s good clinical practice requirements, or GCPs, or applicable regulatory guidelines in other countries;</w:t>
      </w:r>
    </w:p>
    <w:p>
      <w:pPr>
        <w:spacing w:after="0" w:line="177"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setmelanotide, RM-718 or bivamelagon (LB54640) that are viewed to outweigh their potential benefits, or occurrence of adverse events in trial of the same or similar class of agents conducted by other companies;</w:t>
      </w:r>
    </w:p>
    <w:p>
      <w:pPr>
        <w:spacing w:after="0" w:line="17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38" w:lineRule="exact"/>
        <w:rPr>
          <w:rFonts w:ascii="Times New Roman" w:cs="Times New Roman" w:eastAsia="Times New Roman" w:hAnsi="Times New Roman"/>
          <w:sz w:val="18"/>
          <w:szCs w:val="18"/>
          <w:color w:val="auto"/>
        </w:rPr>
      </w:pPr>
    </w:p>
    <w:p>
      <w:pPr>
        <w:ind w:left="1040" w:right="79" w:hanging="315"/>
        <w:spacing w:after="0" w:line="297"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23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38" w:lineRule="exact"/>
        <w:rPr>
          <w:rFonts w:ascii="Times New Roman" w:cs="Times New Roman" w:eastAsia="Times New Roman" w:hAnsi="Times New Roman"/>
          <w:sz w:val="18"/>
          <w:szCs w:val="18"/>
          <w:color w:val="auto"/>
        </w:rPr>
      </w:pPr>
    </w:p>
    <w:p>
      <w:pPr>
        <w:jc w:val="both"/>
        <w:ind w:left="1040" w:right="79" w:hanging="315"/>
        <w:spacing w:after="0" w:line="281"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or related non-clinical trials of our product candidates producing negative or inconclusive results, which may result in our deciding, or regulators requiring us, to conduct additional clinical trials or delay or abandon development of such product candidates; and</w:t>
      </w:r>
    </w:p>
    <w:p>
      <w:pPr>
        <w:spacing w:after="0" w:line="17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antibodies to the drug or adjuvants may result in loss of efficacy or safety events.</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a clinical trial may be suspended or terminated by us, the FDA or other equivalent competent authorities in foreign jurisdictions, the IRB at the sites where the IRBs are overseeing a clinical trial, a data and safety monitoring board, or DSMB, or Safety Monitoring Committee, or SMC, overseeing the clinical trial at issue or other equivalent competent authorities due to a number of factors, including, among others:</w:t>
      </w:r>
    </w:p>
    <w:p>
      <w:pPr>
        <w:spacing w:after="0" w:line="180" w:lineRule="exact"/>
        <w:rPr>
          <w:sz w:val="20"/>
          <w:szCs w:val="20"/>
          <w:color w:val="auto"/>
        </w:rPr>
      </w:pPr>
    </w:p>
    <w:p>
      <w:pPr>
        <w:ind w:left="1380" w:right="79" w:hanging="331"/>
        <w:spacing w:after="0" w:line="297"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trial protocols;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trial operations or trial sites by the FDA or other equivalent competent authorities that reveals deficiencies or violations that require us to undertake corrective action, including the imposition of a clinical hold;</w:t>
      </w:r>
    </w:p>
    <w:p>
      <w:pPr>
        <w:spacing w:after="0" w:line="177"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inconclusive results, unforeseen safety issues, adverse side effects or lack of effectiveness;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trial supply materials;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Delays in the completion of any preclinical or non-clinical studies or clinical trials of setmelanotide, RM-718 or bivamelagon (LB54640) will increase our costs, slow down our product candidate development and the regulatory approval processes and delay or potentially jeopardize our ability to commence product sales and generate product revenue. In addition, many of the factors that cause, or lead to, a delay in the commencement or completion of clinical trials may also ultimately lead to the denial of a regulatory approval for setmelanotide, RM-718 or bivamelagon (LB54640). Any delays to our preclinical studies or clinical trials that occur as a result could shorten any period during which we may have the exclusive right to commercialize setmelanotide, RM-718 or bivamelagon (LB54640), in each case if approved,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currently unclear to what extent the United Kingdom (UK) will seek to align its regulations with the EU. On January 17, 2022, the MHRA launched an eight-week consultation on reframing the UK legislation for clinical trials and which aimed to streamline clinical trials approvals, enable innovation, enhance clinical trials transparency, enable greater risk proportionality, and promote patient and public involvement in clinical trials. The UK Government published its response to the consultation on March 21, 2023 confirming that it would bring forward changes to the legislation. These resulting legislative amendments will determine how closely the UK regulations are aligned with the CTR. A decision by the UK not to closely align its regulations with the new approach adopted in the EU may have an effect on the cost of conducting clinical trials in the UK as opposed to other countries. Under the terms of the Protocol on Ireland/Northern Ireland, provisions of the CTR which relate to the manufacture and import of investigational medicinal products and auxiliary medicinal products apply in Northern Ireland. Once the changes brought by the Windsor Framework are implemented, this may have a further impact on the application of the CTR in Northern Ireland.</w:t>
      </w:r>
    </w:p>
    <w:p>
      <w:pPr>
        <w:spacing w:after="0" w:line="19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Setmelanotide, RM-718 or bivamelagon (LB54640) may cause undesirable side effects that could delay or prevent additional regulatory approvals, limit the commercial profile of approved labeling, or result in significant negative consequences following marketing approval.</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First generation MC4R agonists were predominantly small molecules that failed in clinical trials due to significant safety issues, particularly increases in blood pressure, and had limited efficacy. Undesirable side effects caused by setmelanotide, RM-718 or bivamelagon (LB54640) could cause us or regulatory authorities to interrupt, delay or halt clinical trials and could result in a more restrictive labeling or the delay or denial of additional regulatory approvals by the FDA or other equivalent competent authorities in foreign jurisdictions.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Setmelanotide, RM-718 and bivamelagon (LB54640) are MC4R agonists. Potential side effects of MC4R agonism, which have been noted either with setmelanotide or with other MC4R agonists in clinical trials and preclinical studies, may include:</w:t>
      </w:r>
    </w:p>
    <w:p>
      <w:pPr>
        <w:spacing w:after="0" w:line="176" w:lineRule="exact"/>
        <w:rPr>
          <w:sz w:val="20"/>
          <w:szCs w:val="20"/>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cardiovascular parameters, such as increases in heart rate and blood pressure;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erections in males and similar effects in women, such as sexual arousal, clitoral swelling and hypersensitivity;</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nausea and vomiting;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appetite;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headache;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on mood, depression, anxiety and other psychiatric manifestations;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for which most investigators reported as unrelated to setmelanotide and for which no increased incidence or pattern is currently evident.</w:t>
      </w:r>
    </w:p>
    <w:p>
      <w:pPr>
        <w:spacing w:after="0" w:line="16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injection site reactions have been seen in subcutaneous, or SC, injections with setmelanotide. Also, setmelanotide has likely off target effects on the closely related MC1 receptor, which mediates tanning in response to sun exposure. Other MC1 receptor mediated effects include darkening of skin blemishes, such as freckles and moles, and hair color change. The cosmetic effects are not tolerated by all patients, as a small number of patients have withdrawn from treatment due to skin darkening. These effects have generally been reversible in clinical trials after discontinuation of setmelanotide, but it is still unknown if they will be reversible with long term exposure. The MC1 receptor mediated effects may also carry risks. The long term impact of MC1 receptor activation has not been tested in clinical trials, and could potentially include increases in skin cancer, excess biopsy procedures and cosmetic blemishes. These skin changes may also result in unblinding, which could make interpretation of clinical trial results more complex and possibly subject to bias. We have also initiated trials of setmelanotide in potential new indications that include patients who might have more serious underlying conditions. It is possible that the underlying conditions in these patients, such as congestive heart failure and potentially other conditions, may confound the understanding of the safety profile of setmelanotide.</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these or other significant adverse events or other side effects are observed in any of our ongoing or planned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also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setmelanotide, RM-718 or bivamelagon (LB54640) from obtaining or maintaining marketing approval or obtaining additional approvals, undesirable side effects may inhibit market acceptance due to its tolerability versus other therapies. Any of these developments could materially adversely affect our business, financial condition and prospects.</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Further, if we or others identify undesirable side effects associated with or caused by the products, or any other similar product, before or after regulatory approvals, a number of potentially significant negative consequences could result, including: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request that we withdraw the product from the market or may limit or vary their approval of the product through labeling or other means;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EU competent authorities and other equivalent competent authorities in foreign jurisdictions may require the addition of a Risk Evaluation and Mitigation Strategy, or REMS, or other specific obligations as a condition for marketing authorization due to the need to limit treatment to rare patient populations, or to address safety concerns;</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distributed or administered or change the labeling of the product;</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studies and clinical trials or comply with other post-market requirements to assess possible serious risks;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long term safety follow-up evaluations, including setting up disease and drug based registries;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marketplace;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the product;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setmelanotide, RM-718 or bivamelagon (LB54640), and could substantially increase the costs of commercializing setmelanotide, RM-718 or bivamelagon (LB54640) and significantly impact our ability to successfully commercialize setmelanotide, RM-718 or bivamelagon (LB54640) and generate revenues.</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designations for setmelanotide, RM-718 or bivamelagon (LB54640) or to obtain or maintain exclusivity in any use. Even with exclusivity, competitors may obtain approval for different drugs that treat the same indications as setmelanotide, RM-718 and bivamelagon (LB54640).</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may designate drugs for relatively small patient populations as orphan drugs. Under the Orphan Drug Act of 1983, or the Orphan Drug Act, the FDA may designate a product candidate as an orphan drug if it is intended to treat a rare disease or condition, which is defined under the Federal Food, Drug and Cosmetic Act, or FDCA,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disease or condition for which it has such designation, the product is entitled to a period of seven years of marketing exclusivity, which precludes the FDA from approving another marketing application for a product that constitutes the same drug treating the same disease or condition for that marketing exclusivity period, except in limited circumstances.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exclusivity period in the United States can be extended by six months if the NDA sponsor submits pediatric data that fairly respond to a written request from the FDA for such data. Orphan drug exclusivity may be revoked if the FDA determines that the request for designation was materially defective or if the manufacturer is unable to assure sufficient quantity of the product to meet the needs of patients with the rare disease or condition. Other potential benefits of orphan drug designation and/or approval of a designated drug include eligibility for: exemption from certain prescription drug user fees, tax credits for certain qualified clinical testing expenses, and waivers from the pediatric assessment requirements of the Pediatric Research Equity Act.</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Grant of orphan designation by the EC also entitles the holder of this designation to financial incentives such as reduction of fees or fee waivers, protocol assistance, and access to the centralized marketing authorization procedure. In addition to a range of other benefits during the development and regulatory review, orphan medicinal products are, upon grant of marketing authorization and assuming the requirement for orphan designation are also met at the time the marketing authorization is granted, entitled to ten years of exclusivity in all EU member states for the approved therapeutic indication, which means that the competent authorities cannot accept another MAA, grant a marketing authorization, or accept an application to extend a marketing authorization for a similar product for the same indication for a period of ten years.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ten-year market exclusivity in the EU may be reduced to six years if, at the end of the fifth year, it is established that the product no longer meets the criteria for which it received orphan designation, including where it is shown that the product is sufficiently profitable not to justify maintenance of market exclusivity, or where the prevalence of the condition has increased above the threshold. Additionally granting of an authorization for another similar orphan medicinal product where another product has market exclusivity can happen at any time: (i) the second applicant can establish that its product, although similar, is safer, more effective or otherwise clinically superior; (ii) the applicant cannot supply enough orphan medicinal product or (iii) where the applicant consents to a second orphan medicinal product application.</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IMCIVREE’s approval, the FDA granted us seven years of orphan drug exclusivity for setmelanotide for chronic weight management in adult and pediatric patients 6 years of age and older with obesity due to POMC, PCSK1, or LEPR deficiency confirmed by genetic testing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The FDA also granted us seven years of orphan drug exclusivity for setmelanotide for chronic weight management in adult and pediatric patients 6 years of age and older with monogenic or syndromic obesity due to BBS. In the EU, we obtained ten years of market exclusivity for setmelanotide for the treatment of obesity and the control of hunger associated with genetically confirmed loss-of-function biallelic POMC, including PCSK1, deficiency or biallelic leptin receptor (LEPR) deficiency in adults and children 6 years of age and above.</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also been granted orphan designation for setmelanotide for the treatment of Alström syndrome in both the United States and the EU. Setmelanotide has also been granted orphan designation for setmelanotide in treating Prader-Willi syndrome and acquired hypothalamic obesity in the EU. There can be no assurance that we will be able to maintain the benefits orphan drug exclusivity, or that the FDA or the EC will grant orphan designations for setmelanotide for other uses. In addition,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Even though we have obtained orphan drug exclusivity for certain uses of setmelanotide, such exclusivities may not effectively protect setmelanotide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As discussed above, similar rules apply in the EU.</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PRIME designation in the EU for setmelanotide for the treatment of obesity and the control of hunger associated with deficiency disorders of the MC4R receptor pathway and Breakthrough Therapy designation for setmelanotide for the treatment of obesity associated with certain defects upstream of the MC4R in the leptin melanocortin pathway, which includes POMC deficiency obesity, LEPR deficiency obesity, Bardet-Biedl syndrome and Alström syndrome, as well as hypothalamic obesity in the United States, the FDA may rescind the Breakthrough Therapy designation and we may be unable to obtain Breakthrough Therapy designation for other uses. In addition, Breakthrough Therapy designation by the FDA or PRIME designation by the EMA may not lead to a faster development, regulatory review or approval process, and it does not increase the likelihood that setmelanotide will receive additional marketing approvals in the United States or additional marketing authorizations in the EU.</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is authorized under the FDCA to give certain product candidates “Breakthrough Therapy designation.” A Breakthrough Therapy product candidate is defined as a product candidate that is intended, alone or in combination with one or more other drugs or biologics, to treat a serious or life threatening disease or condition, where preliminary clinical evidence indicates that such product candidate may demonstrate substantial improvement on one or more clinically significant endpoints over existing therapies. The FDA will seek to ensure the sponsor of Breakthrough Therapy product candidate receives intensive guidance on an efficient drug development program, intensive involvement of senior managers and experienced staff on a proactive, collaborative and cross disciplinary review. In addition, the FDA may consider reviewing portions of an NDA before the sponsor submits the complete application, a process also known as rolling review. Product candidates designated as breakthrough therapies by the FDA may be eligible for other expedited programs, such as priority review, provided the relevant criteria are met.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Designation as Breakthrough Therapy is within the discretion of the FDA. Accordingly, even if we believe our product candidates meet the criteria for designation as Breakthrough Therapy, the FDA may disagree. In any event, the receipt of Breakthrough Therapy designation for a product candidate, or acceptance for one or more of the FDA’s other expedited programs, may not result in a faster development process, review or approval compared to products considered for approval under conventional FDA procedures and does not guarantee ultimate approval by the FDA. Regulatory standards to demonstrate safety and efficacy must still be met. Additionally, the FDA may later decide that the product candidate no longer meets the conditions for designation and may withdraw designation at any time or decide that the time period for FDA review or approval will not be shortened.</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PRIME (PRIority MEdicines) scheme was launched by the EMA in 2016.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an MAA, early dialogue and scientific advice at key development milestones, and the potential to qualify products for accelerated review earlier in the application process. In late June 2018, setmelanotide was granted eligibility to PRIME by the Committee for Medicinal Products for Human Use, or CHMP for the treatment of obesity and the control of hunger associated with deficiency disorders of the MC4R receptor pathway. Acknowledging that setmelanotide targets an unmet medical need, the EMA offers enhanced support in the development of the medicinal product through enhanced interaction and early dialogue to optimize our development plans and speed up regulatory evaluation in the EU. As part of this designation, the EMA has provided guidance to us concerning the development of setmelanotide. However, the EMA may later decide that such product candidates no longer meet the conditions for qualification or decide that the time period for review or approval will not be shortened. Neither does the PRIME designation guarantee that the EC will grant additional marketing authorizations for setmelanotide.</w:t>
      </w:r>
    </w:p>
    <w:p>
      <w:pPr>
        <w:spacing w:after="0" w:line="19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translate the once-daily, subcutaneous injection formulations of setmelanotide into alternate formulations, including alternate methods of delivery that would be acceptable to the FDA or other equivalent competent authorities in foreign jurisdictions or commercially successful.</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Setmelanotide is currently administered by once-daily subcutaneous (SC) injection using small insulin type needles and syringes. SC injection is generally less well received by patients than other methods of administration, such as oral administration. Considerable additional resources and efforts, including potential studies, may be necessary in order to translate the once-daily formulation of setmelanotide into a once-weekly formulation that may be well received by patients.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entered into a license agreement with Camurus AB, or Camurus, for the use of Camurus’ drug delivery technology, FluidCrystal, to formulate once-weekly setmelanotide. This formulation, if successfully developed for setmelanotide, and approved by the FDA and other regulatory authorities, will be delivered subcutaneously, similar to our once-daily formulation, except that we anticipate it would be injected once weekly. In addition, we have initiated development of an auto-injector device designed to make administration of our once-weekly product candidate easier and more convenient for our patients.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have started consultations with regulatory authorities about the potential path for approval of the once-weekly formulation, and have initiated clinical studies of the once-weekly formulation, we cannot yet estimate the requirements for non-clinical and clinical data, manufacturing program, time, cost, and probability of success for approval. Regulatory authorities have limited experience evaluating Camurus’ formulations, which further complicates our understanding regarding the information that may be required to obtain approval of a once-weekly formulation.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received FDA approval of the once-daily formulation in the initial NDA submission for setmelanotide, and plan to seek approval of the once-weekly formulation at a later time. While we plan to develop the once-weekly formulation, or to develop other new and useful formulations and delivery technology for setmelanotide, we cannot estimate the probability of success, nor the resources and time needed to succeed. If we are unable to gain approval and utilize the once-weekly formulation, or to develop new formulations, setmelanotide may not achieve significant market acceptance and our business, financial condition and results of operations may be materially harmed.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approach to treating patients with MC4R pathway deficiencies requires the identification of patients with unique genetic subtypes, for example, POMC genetic deficiency. The FDA or other equivalent competent authorities in foreign jurisdictions could require the clearance, approval or certification of an in vitro companion diagnostic device to ensure appropriate selection of patients as a condition of approving setmelanotide in additional indications. The requirement that we obtain clearance, approval or certification of an in vitro companion diagnostic device will require substantial financial resources, and could delay or prevent the receipt of additional regulatory approvals for setmelanotide, or adversely affect those we have already obtained.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focused our development of setmelanotide as a treatment for obesity caused by certain genetic deficiencies affecting the MC4R pathway. To date, we have employed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genetic diagnostic testing to select patients for enrollment in our clinical trials, including our clinical trials for IMCIVREE and for other potential indications for setmelanotide. If the safe and effective use of any of our product candidates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that is not otherwise commercially available, then the FDA may require approval or clearance of that diagnostic, known as a companion diagnostic, at the same time as, or in connection with, the FDA approval of such product candidates.</w:t>
      </w:r>
    </w:p>
    <w:p>
      <w:pPr>
        <w:spacing w:after="0" w:line="187"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the EU, until May 25, 2022, in vitro diagnostic medical devices were regulated by Directive 98/79/EC, or the IVDD, which has been repealed and replaced by Regulation (EU) No 2017/746, or the IVDR. Unlike the IVDD, the IVDR is directly applicable in EU member states without the need for member states to implement into national law. The regulation of companion diagnostics is now subject to further requirements set forth in the IVDR. However, on October 14, 2021, the EC proposed a “progressive” roll-out of the IVDR to prevent disruption in the supply of in vitro diagnostic medical devices. The European Parliament and Council adopted the proposed regulation on December 15, 2021. The IVDR became applicable on May 26, 2022 but there is a tiered system extending the grace period for many devices (depending on their risk classification) before they have to be fully compliant with the regulation. For instance, under these provisions, class C devices (including devices that are intended to be used as companion diagnostics) had until May 26, 2026 to comply with the new requirements. In June 2024, to address issues related to notified body capacity, the EC adopted an extension of the grace period, resulting in an extended transition period until December 31, 2028 for certain class C devices, subject to compliance with the transitional provisions. The IVDR introduces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MAA for the medicinal product has been submitted through the centralized procedure. For other substances, the notified body can seek the opinion from a national competent authorities or the EMA. These modifications may make it more difficult and costly for us to obtain regulatory clearances or approvals or certification for our companion diagnostics or to manufacture, market or distribute our products after clearance, approval or certification is obtained. Compliance with the new requirements may impact our development plans for setmelanotide.</w:t>
      </w:r>
    </w:p>
    <w:p>
      <w:pPr>
        <w:spacing w:after="0" w:line="20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FDA or a comparable regulatory authority requires clearance, approval or certification of a companion diagnostic for setmelanotide, RM-718 or bivamelagon (LB54640), any delay or failure by us or our current and future collaborators to develop or obtain regulatory clearance or approval of, or certification of, such tests, if necessary, could delay or prevent us from obtaining additional approvals for setmelanotide, or adversely affect the approvals we have already obtained. For example, in November 2020, the FDA approved IMCIVREE for chronic weight management in adult and pediatric patients 6 years of age and older with obesity due to POMC, PCSK1, or LEPR deficiencies confirmed by genetic testing demonstrating variants in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Although the FDA did not require that we obtain approval of a companion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diagnostic prior to approving the New Drug Application, or NDA, for IMCIVREE, in connection with the NDA approval we agreed as a post-marketing commitment to conduct adequate analytical and clinical validation testing to develop and establish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to accurately and reliably detect patients with variants in the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PCSK1,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LEPR </w:t>
      </w:r>
      <w:r>
        <w:rPr>
          <w:rFonts w:ascii="Times New Roman" w:cs="Times New Roman" w:eastAsia="Times New Roman" w:hAnsi="Times New Roman"/>
          <w:sz w:val="18"/>
          <w:szCs w:val="18"/>
          <w:color w:val="auto"/>
        </w:rPr>
        <w:t>genes that may benefit from setmelanotide therapy. In September 2020, our collaboration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Prevention Genetics, submitted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seeking FDA authorization to market such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for IMCIVREE as a Class II medical device. In January 2022, the FDA granted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for classification for the POMC/PCSK1/LEPR CDx Panel for market authorization as a Class II device. If the FDA or a comparable regulatory authority requires clearance, approval or certification of a companion diagnostic when we seek additional approvals for setmelanotide, RM-718 or bivamelagon (LB54640), any delay or failure by us or our current and future collaborators to develop or obtain regulatory clearance or approval of, or certification of, such tests, if necessary, could delay or prevent us from obtaining such additional approvals for setmelanotide, or adversely affect the approvals we have already obtained.</w:t>
      </w:r>
    </w:p>
    <w:p>
      <w:pPr>
        <w:spacing w:after="0" w:line="18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that we will continue to rely, on third parties to conduct clinical trials for setmelanotide, RM-718 and bivamelagon (LB54640). If these third parties do not successfully carry out their contractual duties or meet expected deadlines, we may not be able to obtain additional regulatory approvals for or commercialize setmelanotide, RM-718 or bivamelagon (LB54640), and our business could be substantially harmed.</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agreements with third-party CROs to operationalize, provide monitors for and to manage data for our ongoing clinical trials. We rely heavily on these parties for the execution of clinical trials and control only certain aspects of their activities. As a result, we have less direct control over the start-up,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However, we remain responsible for the conduct of these trials and are subject to enforcement which may include civil and criminal liabilities for any violations of FDA rules and regulations and the comparable foreign regulatory provisions during the conduct of our clinical trials. Outside parties may:</w:t>
      </w:r>
    </w:p>
    <w:p>
      <w:pPr>
        <w:spacing w:after="0" w:line="192"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devote inadequate resources to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favorable relationships with other entities, some of which may be our competitors.</w:t>
      </w:r>
    </w:p>
    <w:p>
      <w:pPr>
        <w:spacing w:after="0" w:line="23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These factors, among others, may materially adversely affect the willingness or ability of third parties to conduct our clinical trials and may subject us to unexpected cost increases that are beyond our control. Nevertheless, we are responsible for ensuring that each of our studies is conducted in accordance with the applicable protocol, legal, regulatory and scientific standards, and our reliance on CROs does not relieve us of our regulatory responsibilities. We and our CROs are required to comply with GCPs, which are regulations and guidelines enforced by the FDA, the competent authorities of the EU member states and equivalent competent authorities in foreign jurisdictions for any products in clinical development. The FDA and foreign regulatory authorities enforce GCPs through periodic inspections of clinical trial sponsors, principal investigators, and trial sites, and IRBs. If we or our CROs fail to comply with applicable GCPs, the clinical data generated in our clinical trials may be deemed unreliable and the FDA or other equivalent competent authorities in foreign jurisdictions may require us to perform additional clinical trials before approving our marketing applications, if ever. We cannot assure you that, upon inspection, the FDA or foreign regulatory authorities will determine that any of our clinical trials have complied with GCPs. In addition, our clinical trials must be conducted with products produced under current Good Manufacturing Practices, or cGMPs and similar foreign requirements. Our failure or the failure of our CROs to comply with these regulations may require us to repeat clinical trials, which would delay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regulatory approval process and could also subject us to enforcement action up to and including civil and criminal penalties.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such clinical trials may be extended, delayed or terminated, and we may not be able to obtain regulatory approval for, or successfully commercialize, setmelanotide, RM-718 or bivamelagon (LB54640). As a result, our financial results and the commercial prospects for setmelanotide, RM-718 or bivamelagon (LB54640), would be harmed, our costs could increase and our ability to generate revenue could be delayed.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IMCIVREE and, if Approved, our Products Candidates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IMCIVREE 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IMCIVREE or any other product candidates for which we obtain approval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Increasing efforts by governmental and third-party payors in the United States and abroad to cap or reduce healthcare costs may cause such organizations to limit both coverage and the level of reimbursement for recently approved products, such as IMCIVREE, and, as a result, they may not cover or provide adequate payment. Even if we show improved efficacy or improved convenience of administration, third-party payors may deny or revoke the reimbursement status of our product candidates, if approved, or establish prices for our product candidates at levels that are too low to enable us to realize an appropriate return on our investment. If reimbursement is not available or is available only at limited levels, we may not be able to successfully commercialize IMCIVREE or other product candidates, and may not be able to obtain a satisfactory financial return. Further, as we continue to grow as an organization, previously-established prices may no longer be sufficient and could create additional pricing pressure for us.</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 among third-party payors in the United States. Therefore, coverage and reimbursement for products can differ significantly from payor to payor. As a result, the coverage determination process is often a time-consuming and costly process that may require us to provide scientific and clinical support for the use of IMCIVREE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foreign countries, particularly in Canada, Great Britain and in the EU member states, the pricing and reimbursement of prescription only medicinal products is subject to strict governmental control which varies widely between countries.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 effectiveness of IMCIVREE with other available therapies. If reimbursement for IMCIVREE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in particular, each EU member state can restrict the range of medicinal products for which its national health insurance system provides reimbursement and can control the prices of medicinal products for human use marketed in its territory. As a result, following receipt of marketing authorization in an EU member state, through any application route, an applicant is required to engage in pricing discussions and negotiations with the competent pricing authority in the individual EU member states. Some EU member states operate positive and negative list systems under which products may only be marketed once a reimbursement price has been agreed upon. Other EU member states approve a specific price for the medicinal product or may instead adopt a system of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IMCIVREE from lower priced products in foreign countries that have placed price controls on pharmaceutical products.</w:t>
      </w:r>
    </w:p>
    <w:p>
      <w:pPr>
        <w:spacing w:after="0" w:line="19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Health Technology Assessment, or HTA, of medicinal products, however, is becoming an increasingly common part of the pricing and reimbursement procedures in the United Kingdom and some EU member states, including France, Germany, Italy, Spain, the Netherlands, Belgium, Norway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 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 member states. The extent to which pricing and reimbursement decisions are influenced by the HTA of the specific medicinal product varies between EU member states. In addition, pursuant to Directive 2011/24/EU on the application of patients’ rights in cross border healthcare, a voluntary network of national authorities or bodies responsible for HTA in the individual EU member states was established. The purpose of the network is to facilitate and support the exchange of scientific information concerning HTAs. This may lead to harmonization of the criteria taken into account in the conduct of HTAs between EU member states and in pricing and reimbursement decisions and may negatively affect price in at least some EU member states.</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maintain or expand our sales, marketing and distribution capabilities or enter into agreements with third parties to market, sell, and distribute IMCIVREE, we may not be able to generate revenue.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order to market IMCIVREE, we must continue to build our sales, marketing, distribution, managerial and other non-technical capabilities or make arrangements with third parties to perform these services. Although we have received FDA and Health Canada approval, and EC and MHRA marketing authorization for certain indications, we are early in our commercialization efforts. Therefore, you should not compare us to commercial-stage biotechnology companies, and you should not expect that we will generate substantial revenues or become profitable in the near term. If we are unable to establish, maintain or expand our sales, marketing and distribution capabilities, whether independently or with third parties, or if we are unable to do so on commercially reasonable terms, our business, results of operations, financial condition and prospects would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receive regulatory approval to market setmelanotide outside of the United States, Canada, the European Union and Great Britain.</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intend to seek marketing authorizations in various countries worldwide. In order to market any product outside of the United States, Canada, the EU or Great Britain, we must establish and comply with the numerous and varying safety, efficacy and other regulatory requirements of other countries. Marketing authorization procedures vary among countries and can involve additional setmelanotide testing and additional administrative review periods. The time required to obtain marketing authorization in other countries might differ from that required to obtain FDA approval or marketing authorization from the EC or the MHRA. The marketing authorization processes in other countries may implicate all of the risks detailed above regarding FDA approval in the United States as well as other risks. In particular, in many countries outside of the United States and Europe, products must receive pricing and reimbursement approval before the product can be commercialized. Obtaining this approval can result in substantial delays in bringing products to market in such countries. Grant of marketing authorization in one country does not ensure grant of marketing authorization in another country, but a failure or delay in obtaining marketing authorization in one country may have a negative effect on the regulatory process or commercial activities in others. Failure to obtain marketing authorization in other countries or any delay or other setback in obtaining such authorizations would impair our ability to market setmelanotide in such foreign markets. Any such impairment would reduce the size of our potential market share and could have a material adverse impact on our business, results of operations and prospects.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achieve or maintain market acceptance for IMCIVREE, which would limit the revenue that we generate from the sale of IMCIVREE.</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commercial success of IMCIVREE will also depend upon the awareness and acceptance of IMCIVREE within the medical community, including physicians, patients and third-party payors. If IMCIVREE does not achieve or maintain an adequate level of acceptance by patients, physicians and third-party payors, we may not generate sufficient revenue to become or remain profitable. Before granting reimbursement approval, third-party payors may require us to demonstrate that, in addition to treating obesity caused by certain genetic deficiencies affecting the MC4R pathway, IMCIVREE also provides incremental health benefits to patients. Our efforts to educate the medical community and third-party payors about the benefits of IMCIVREE may require significant resources and may never be successful. All of these challenges may impact our ability to ever successfully market and sell IMCIVREE.</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 acceptance of IMCIVREE will depend on a number of factors, including, among others:</w:t>
      </w:r>
    </w:p>
    <w:p>
      <w:pPr>
        <w:spacing w:after="0" w:line="225" w:lineRule="exact"/>
        <w:rPr>
          <w:sz w:val="20"/>
          <w:szCs w:val="20"/>
          <w:color w:val="auto"/>
        </w:rPr>
      </w:pPr>
    </w:p>
    <w:p>
      <w:pPr>
        <w:jc w:val="both"/>
        <w:ind w:left="1380" w:right="79" w:hanging="331"/>
        <w:spacing w:after="0" w:line="276"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provide chronic weight management in patients with obesity caused by certain genetic deficiencies affecting the MC4R pathway and, if required by any competent authority in connection with the approval for these indications, to provide patients with incremental health benefits, as compared with other available treatments, therapies, devices or surgeries;</w:t>
      </w:r>
    </w:p>
    <w:p>
      <w:pPr>
        <w:spacing w:after="0" w:line="18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genetic testing, including obtaining genetic results that support patient treatment with</w:t>
      </w:r>
    </w:p>
    <w:p>
      <w:pPr>
        <w:spacing w:after="0" w:line="27"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IMCIVREE;</w:t>
      </w:r>
    </w:p>
    <w:p>
      <w:pPr>
        <w:spacing w:after="0" w:line="233"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SC injections as the necessary method of administration of IMCIVREE, including as compared with other treatments for patients with obesity;</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IMCIVREE;</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IMCIVREE by the FDA or the specific obligations imposed as a condition for marketing authorization imposed by other equivalent competent authorities in foreign jurisdictions, particularly by the EC;</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including a number of obesity therapies already approved or expected to be commercially launched in the near future;</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these diseases among our target populations through marketing and other cross-functional efforts;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 and the willingness of the target patient population to try new therapies and of physicians to prescribe these therapies;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IMCIVREE to treat the maximum range of pediatric patients, and any limitations on its indications for use;</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IMCIVREE or competing products and treatments;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IMCIVREE through marketing efforts;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 and</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competent authorities in foreign jurisdictions may require development of a REMS or other specific obligations as a condition of approval or post-approval, may not agree with our proposed REMS or other specific obligations, or may impose additional requirements that limit the promotion, advertising, distribution or sales of IMCIVREE.</w:t>
      </w:r>
    </w:p>
    <w:p>
      <w:pPr>
        <w:spacing w:after="0" w:line="17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intensely competitive. If we are not able to compete effectively against current and future competitors, we may not be able to generate revenue from the sale of IMCIVREE, our business will not grow and our financial condition and operations will suffer.</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compounds that could make IMCIVREE obsolete or uneconomical. Any new product that competes with an approved product may need to demonstrate compelling advantages in efficacy, convenience, tolerability and safety to be commercially successful. In addition, payors may require that patients try other medications known as step therapy or a “step-edit,” including medications approved for treatment of general obesity, before receiving reimbursement for IMCIVREE. Other competitive factors, including generic competition, could force us to lower prices or could result in reduced sales. In addition, new products developed by others could emerge as competitors to IMCIVREE and our other product candidates. If we are not able to compete effectively against our current and future competitors, our business will not grow and our financial condition and operations will suffer.</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Currently, IMCIVREE is the only approved treatment for providing chronic weight management in patients with obesity due to BBS or POMC, PCSK1 or LEPR deficiencies, and there are no approved treatments for chronic weight management in patients with deficiencies with deficiencies due to a variant in one of the two alleles in the </w:t>
      </w:r>
      <w:r>
        <w:rPr>
          <w:rFonts w:ascii="Times New Roman" w:cs="Times New Roman" w:eastAsia="Times New Roman" w:hAnsi="Times New Roman"/>
          <w:sz w:val="18"/>
          <w:szCs w:val="18"/>
          <w:i w:val="1"/>
          <w:iCs w:val="1"/>
          <w:color w:val="auto"/>
        </w:rPr>
        <w:t>POMC, PCSK1,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LEPR </w:t>
      </w:r>
      <w:r>
        <w:rPr>
          <w:rFonts w:ascii="Times New Roman" w:cs="Times New Roman" w:eastAsia="Times New Roman" w:hAnsi="Times New Roman"/>
          <w:sz w:val="18"/>
          <w:szCs w:val="18"/>
          <w:color w:val="auto"/>
        </w:rPr>
        <w:t>genes (HET obesity), SRC1 deficiency obesity, SH2B1 deficiency obesity, MC4R deficiency obesity,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hypothalamic obesity. Bariatric surgery is not a good treatment option for these genetic diseases of obesity because the severe obesity and hyperphagia associated with these diseases are considered to be risk factors for bariatric surgery. Also, existing therapies indicated for general obesity, including glucagon-like peptide-1 (GLP-1) receptor agonists, such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 w:right="59"/>
        <w:spacing w:after="0" w:line="237" w:lineRule="auto"/>
        <w:rPr>
          <w:sz w:val="20"/>
          <w:szCs w:val="20"/>
          <w:color w:val="auto"/>
        </w:rPr>
      </w:pPr>
      <w:r>
        <w:rPr>
          <w:rFonts w:ascii="Times New Roman" w:cs="Times New Roman" w:eastAsia="Times New Roman" w:hAnsi="Times New Roman"/>
          <w:sz w:val="18"/>
          <w:szCs w:val="18"/>
          <w:color w:val="auto"/>
        </w:rPr>
        <w:t>Wegovy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glucose-dependent insulinotropic polypeptide (GIP) and glucagon-like peptide-1 (GLP-1) agonists, such as tirzepatide which is being investigated as a treatment for obesity, do not specifically restore function impaired by genetic deficiencies in the MC4R pathway, which we believe is the root cause of hyperphagia and obesity in patients with MC4R genetic variants. Based on search results from ClinicalTrials.gov, we are unaware of any competitive products in therapeutic clinical studies for the obesity and hyperphagia caused by upstream MC4R pathway deficiencies. New competitors may emerge which could limit our business opportunity in the future.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claims are brought against us, we may incur substantial liability.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use of setmelanotide, RM-718, and bivamelagon (LB54640) in clinical trials and the sale of IMCIVREE exposes us to the risk of product liability claims. Product liability claims might be brought against us by patients, healthcare providers or others selling or otherwise coming into contact with IMCIVREE. For example, we may be sued if any product we develop allegedly causes injury or is found to be otherwise unsuitable during product testing, manufacturing, marketing or sale. Any such product liability claims may include allegations of defects in manufacturing, defects in design or a failure to warn of dangers inherent in the product, including as a result of interactions with alcohol or other drugs, negligence, strict liability and a breach of warranties. Claims could also be asserted under state consumer protection laws and any equivalent laws in foreign countries.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94" w:lineRule="exact"/>
        <w:rPr>
          <w:sz w:val="20"/>
          <w:szCs w:val="20"/>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IMCIVREE or any future product candidates following marketing approval, if obtained;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exposure to adverse publicity;</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commercialize IMCIVREE or any future product candidates, if approved.</w:t>
      </w:r>
    </w:p>
    <w:p>
      <w:pPr>
        <w:spacing w:after="0" w:line="2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maintain product liability insurance coverage for our clinical trials and commercial product with a $10.0 million annual aggregate coverage limit.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completely on third-party suppliers to manufacture our clinical and commercial drug supplies of setmelanotide, RM-718, and </w:t>
      </w:r>
      <w:r>
        <w:rPr>
          <w:rFonts w:ascii="Times New Roman" w:cs="Times New Roman" w:eastAsia="Times New Roman" w:hAnsi="Times New Roman"/>
          <w:sz w:val="18"/>
          <w:szCs w:val="18"/>
          <w:b w:val="1"/>
          <w:bCs w:val="1"/>
          <w:color w:val="auto"/>
        </w:rPr>
        <w:t>bivamelagon</w:t>
      </w:r>
      <w:r>
        <w:rPr>
          <w:rFonts w:ascii="Times New Roman" w:cs="Times New Roman" w:eastAsia="Times New Roman" w:hAnsi="Times New Roman"/>
          <w:sz w:val="18"/>
          <w:szCs w:val="18"/>
          <w:b w:val="1"/>
          <w:bCs w:val="1"/>
          <w:i w:val="1"/>
          <w:iCs w:val="1"/>
          <w:color w:val="auto"/>
        </w:rPr>
        <w:t xml:space="preserve"> (LB54640), and we intend to rely on third parties to produce preclinical, clinical and commercial supplies of any future product candidate.</w:t>
      </w:r>
    </w:p>
    <w:p>
      <w:pPr>
        <w:spacing w:after="0" w:line="175"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our clinical and commercial drug supply internally for setmelanotide, or any future product candidates, for use in the conduct of our preclinical studies and clinical trials, and we lack the internal resources and the capability to manufacture any product candidate on a clinical or commercial scale. The facilities used by our contract manufacturing organizations, or CMOs, to manufacture the active pharmaceutical ingredient, or API, and final drug product must successfully complete inspection by the FDA and other equivalent competent authorities in foreign jurisdictions pursuant to inspections that have been and will be conducted following submission of NDAs, NDA supplements or comparable foreign regulatory submissions to the other equivalent competent authorities in foreign jurisdictions. Our failure or the failure of our CMOs to successfully complete any potential preapproval inspections of the manufacturing facilities of setmelanotide, RM-718, and bivamelagon (LB54640) could delay the regulatory approval process. In addition, our clinical trials must be conducted with products produced in accordance with GMP and similar foreign regulations. Our failure or the failure of our CROs or CMOs to comply with these regulations may require us to repeat clinical trials, which would delay the regulatory approval process and could also subject us to enforcement action, including civil and criminal penalties. When we import any drugs or drug substances, we would be subject to FDA, United States Department of Agriculture, and U.S. Bureau of Customs and Border Patrol import regulation requirements. Such enforcement for our failure or our CROs or CMOs’ failure to comply with these regulations could result in import delays, detention of products, and, depending on criteria such as the history of violative activities, the FDA could place a foreign firm or certain drug substances or products on Import Alert and require that all such drug substances or products be subject to detention without physical examination which could significantly impact the global supply chain for setmelanotide, RM-718, and bivamelagon (LB54640). With the exception of those on the FDA’s drug shortage list or properly imported by individuals, the FDCA prohibits the importation of prescription drug products for commercial use if they were manufactured in a foreign country, unless they have been approved or are otherwise authorized to be marketed in the United States and are labeled accordingly.</w:t>
      </w:r>
    </w:p>
    <w:p>
      <w:pPr>
        <w:spacing w:after="0" w:line="20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contract with third parties for the manufacture of setmelanotide, RM-718, and bivamelagon (LB54640) and intend to continue to do so in the future. We have entered into process development and manufacturing service agreements with our CMOs, Corden Pharma Switzerland, LLC, or Corden, (formerly Peptisyntha SA prior to its acquisition by Corden), and Neuland Laboratories for certain process development and manufacturing services for regulatory starting materials and/or raw materials in connection with the manufacture of setmelanotide. We have entered into long-term commercial supply agreements with PolyPeptide Group and Recipharm Monts S.A.S. for manufacturing of drug substance and drug product for IMCIVREE. Under our agreements, we pay these third parties for services in accordance with the terms of mutually agreed upon work orders, which we may enter into from time to time. We may need to engage additional third-party suppliers to manufacture our clinical and/or commercial (subject to approval) drug supplies. We also have engaged other third parties to assist in, among other things, distribution, post-approval safety reporting and pharmacovigilance activities. We cannot be certain that we can engage third-party suppliers on terms as favorable as those that are currently in place.</w:t>
      </w:r>
    </w:p>
    <w:p>
      <w:pPr>
        <w:spacing w:after="0" w:line="19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do not perform the manufacturing of any drug products and are completely dependent on our CMOs to comply with GMPs and similar foreign requirements for manufacture of both drug substance, or API and finished drug product. We recognize that we are ultimately responsible for ensuring that our drug substances and finished drug product are manufactured in accordance with GMPs and similar foreign requirements, and, therefore, the company’s management practices and oversight, including routine auditing, are critical. If our CMOs cannot successfully manufacture material that conforms to our specifications and the strict regulatory requirements of the FDA or other equivalent competent authorities in foreign jurisdictions, they may be subject to administrative and judicial enforcement for non-compliance and the drug products would be deemed misbranded or adulterated and prohibited from distribution into interstate commerce. Furthermore, all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other company materials and products may affect the regulatory clearance of our CMOs’ facilities generally. In addition, satisfying the regulatory requirements for production of setmelanotide, RM-718, and bivamelagon (LB54640) with multiple suppliers, while assuring more robust drug availability in the future, adds additional complexity and risk to regulatory approval. If the FDA or another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equivalent competent foreign regulatory agency does not approve these facilities for the manufacture of setmelanotide, RM-718, and bivamelagon (LB54640) or if it withdraws its approval in the future, we may need to find alternative manufacturing facilities, which would adversely impact our ability to develop, obtain regulatory approval for or market setmelanotide, RM-718, or bivamelagon (LB54640).</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CMOs are manufacturing finished drug product for use in our upcoming or ongoing clinical trials and for commercial supply. We believe we currently have a sufficient amount of finished setmelanotide, RM-718, bivamelagon (LB54640), and placebo to complete our ongoing and planned clinical trials, and for commercial IMCIVREE supply. However, these projections could change based on delays encountered with manufacturing activities, equipment scheduling and material lead times. Any such delays in the manufacturing of finished drug product could delay our planned clinical trials of setmelanotide, RM-718, and bivamelagon (LB54640), and our commercial IMCIVREE supply, which could delay, prevent or limit our ability to generate revenue and continue our business.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do not have long term supply agreements in place with all of our contractors involved with the manufacturing of our weekly formulation of setmelanotide and RM-718, and bivamelagon (LB54640). We currently place individual batch or campaign orders with the CMOs/suppliers that are individually contracted under existing master services and quality agreements for the weekly formulation of setmelanotide, RM-718, and bivamelagon (LB54640). If we engage new contractors, such contractors must be approved by the FDA and other equivalent competent authorities in foreign jurisdictions. We will need to submit information to the FDA and other equivalent competent authorities in foreign jurisdictions describing the manufacturing changes. If manufacturing changes occur post-approval, the FDA and foreign regulatory authorities may have to approve these changes. We plan to continue to rely upon CMOs and, potentially, collaboration partners to manufacture commercial quantities of setmelanotide, RM-718, and bivamelagon (LB54640), if approved. Our current scale of manufacturing appears adequate to support all of our current needs for clinical trial and initial commercial supplies for setmelanotide, RM-718, and bivamelagon (LB54640), if approved. Going forward, we may need to identify additional CMOs or partners to produce setmelanotide, RM-718, and bivamelagon (LB54640) on a larger scale.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our election to terminate the exclusive license agreement with RareStone Group Ltd., or RareStone, the development of setmelanotide in certain indications and commercialization of IMCIVREE in certain markets could be delayed or terminated and our business could be adversely affected.</w:t>
      </w:r>
    </w:p>
    <w:p>
      <w:pPr>
        <w:spacing w:after="0" w:line="17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an Exclusive License Agreement with RareStone, or the RareStone License. Pursuant to the RareStone License, we granted to RareStone an exclusive, sublicensable, royalty-bearing license under certain patent rights and know-how to develop, manufacture, commercialize and otherwise exploit any pharmaceutical product that contains setmelanotide in the diagnosis, treatment or prevention of conditions and diseases in humans in China, including mainland China, Hong Kong and Macao. RareStone has a right of first negotiation in the event that the Company chooses to grant a license to develop or commercialize the licensed product in Taiwan.</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RareStone License, we are dependent upon RareStone to successfully commercialize any applicable collaboration products in China, including mainland China, Hong Kong and Macao. We cannot directly control RareStone's commercialization activities or the resources it allocates to setmelanotide. Our interests and RareStone's interests may differ or conflict from time to time, or we may disagree with RareStone's level of effort or resource allocation. RareStone may internally prioritize setmelanotide differently than we do or it may not allocate sufficient resources to effectively or optimally commercialize setmelanotide.</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October 28, 2022, we delivered a written notice to RareStone that we have terminated the RareStone License for cause. In accordance with the notice, we maintain that RareStone has materially breached its obligations under the RareStone License to fund, perform or seek certain key clinical studies and waivers, including with respect to the Company’s global EMANATE trial, among other obligations. On December 21, 2022, RareStone provided written notice to the Company that it objects to the claims in our October 28, 2022 notice, including the Company’s termination of the RareStone License for cause. On March 16, 2023, we provided written notice to RareStone reaffirming our position that RareStone has materially breached its obligations under the RareStone License and that we have terminated the RareStone License for cause, and also requested documentation supporting RareStone’s purported dispute notice objecting to the claims in the Notice. On May 10, 2023, RareStone provided written notice to the Company reaffirming its objections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claims in our October 28, 2022 notice and March 16, 2023 notice, including to the Company’s termination of the RareStone License for cause. On November 29, 2023, RareStone wrote to us seeking to negotiate and execute a commercial supply agreement as contemplated under the Exclusive License Agreement, and on January 19, 2024, we responded in writing again reaffirming our position that RareStone has materially breached its obligations under the RareStone License and that we have terminated the RareStone License for cause.</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negotiate an appropriate cure to the alleged material breaches, which we believe are incurable, and, if required, we expect to seek appropriate relief under the terms of the RareStone License. Termination of, or any possible litigation focused on, the RareStone License could cause significant delays in our product development and commercialization efforts for setmelanotide and could prevent us from commercializing IMCIVREE in the markets covered by the RareStone License without first expanding our internal capabilities or entering into another agreement with a third party. Any alternative collaboration or license could also be on less favorable terms to us. In addition, under the agreement, RareStone agreed to provide funding for certain clinical development activities. To date, no such funding has been provided. If the agreement were terminated, however, we may need to refund any such potential payments and seek additional funding to support the research and development of setmelanotide or discontinue any research and development activities for setmelanotide in China, including mainland China, Hong Kong and Macao, which could have a material adverse effect on our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maintain issued patents that are sufficient to protect setmelanotide, RM-718, and bivamelagon (LB54640), others could compete against us more directly, which would have a material adverse impact on our business, results of operations, financial condition and prospects.</w:t>
      </w:r>
    </w:p>
    <w:p>
      <w:pPr>
        <w:spacing w:after="0" w:line="17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cannot provide any assurances that any of our patents have, or that any of our pending patent applications that mature into issued patents will include, claims with a scope sufficient to protect setmelanotide, RM-718, and bivamelagon (LB54640). Other parties have developed technologies that may be related or competitive to our approach, and may have filed or may file patent applications and may have received or may receive patents that may overlap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Although an issued patent is presumed valid and enforceable, its issuance is not conclusive as to its validity or its enforceability and such patent may not provide us with adequate proprietary protection or competitive advantages against competitors with similar products. Patents, if issued, may be challenged, deemed unenforceable, invalidated or circumvented. U.S. patents and patent applications or the patents and patent application obtained or submitted pursuant to comparable foreign laws, may also be subject to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post-grant review proceedings, supplemental examination and challenges in court. Patents may be subjected to opposition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setmelanotide.</w:t>
      </w:r>
    </w:p>
    <w:p>
      <w:pPr>
        <w:spacing w:after="0" w:line="19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Competitors may also be able to design around our patents. Other parties may develop and obtain patent protection for more effective technologies, designs or methods. The laws of some foreign countries do not protect our proprietary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setmelanotide are invalidated or found unenforceable, our financial position and results of operations would be materially and adversely impacted. In addition, if a court found that valid, enforceable patents held by third parties covered setmelanotide, our financial position and results of operations would also be materially and adversely impacted.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setmelanotide;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IMCIVREE or our other product candidates before our relevant patents expire;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will be found to ultimately be valid and enforceable;</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239"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We rely upon unpatented trade secrets, unpatented know-how and continuing technological innovation to develop and maintain our competitive position, which we seek to protect, in part, by confidentiality agreements with employees, consultants, collaborators and vendors. We also have agreements with employees and selected consultants that obligate them to assign their inventions to us. It is possible that technology relevant to our business will be independently developed by a person who is not a party to such an agreement. We may not be able to prevent the unauthorized disclosure or use of our technical knowledge or trade secrets by consultants, collaborators, vendors, former employees and current employees. Furthermore, if the parties to our confidentiality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and divert the attention of our management and key personnel from our business operations. Even if we prevail in any lawsuits that we initiate, the damages or other remedies awarded may not be commercially meaningful.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IMCIVREE or our other product candidates.</w:t>
      </w:r>
    </w:p>
    <w:p>
      <w:pPr>
        <w:spacing w:after="0" w:line="17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 For example, numerous third-party U.S. and non U.S. patents and pending applications exist that cover melanocortin receptor analogs and methods of using these analogs.</w:t>
      </w:r>
    </w:p>
    <w:p>
      <w:pPr>
        <w:spacing w:after="0" w:line="18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pharmaceutical industry is characterized by extensive litigation regarding patents and other intellectual property rights. Other parties may allege that setmelanotide or the use of our technologies infringes patent claims or other intellectual property rights held by them or that we are employing their proprietary technology without authorization.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or choose to take a license. In addition, if any such claim were successfully asserted against us and we could not obtain such a license, we may be forced to stop or delay developing, manufacturing, selling or otherwise commercializing IMCIVREE or our other product candidates.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in order to avoid infringing the intellectual property rights of third parties and any resulting intellectual property litigation or claims, we could be forced to do one or more of the following, which may not be possible and, even if possible, could be costly and time consuming:</w:t>
      </w:r>
    </w:p>
    <w:p>
      <w:pPr>
        <w:spacing w:after="0" w:line="176" w:lineRule="exact"/>
        <w:rPr>
          <w:sz w:val="20"/>
          <w:szCs w:val="20"/>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development of setmelanotide and commercialization of IMCIVREE or our other product candidates;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rename setmelanotide and/or its trade name IMCIVREE.</w:t>
      </w:r>
    </w:p>
    <w:p>
      <w:pPr>
        <w:spacing w:after="0" w:line="2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such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setmelanotide or our other product candidates could be found invalid or unenforceable if challenged in court.</w:t>
      </w:r>
    </w:p>
    <w:p>
      <w:pPr>
        <w:spacing w:after="0" w:line="15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threatened or initiated legal proceedings against a third party to enforce a patent covering setmelanotide, the defendant could claim that the patent covering setmelanotide or our other product candidates are invalid and/or unenforceable. In patent litigation in the United States, defendant counterclaims alleging invalidity and/or unenforceability are commonplace. Grounds for a validity challenge include alleged failures to meet any one of several statutory requirements, including novelty, non-obviousness and enablement. Grounds for unenforceability assertions include allegations that someone connected with prosecution of the patent withheld material information from the U.S. PTO, or made a misleading statement, during patent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for example, opposition proceedings. Such proceedings could result in revocation or amendment of our patents in such a way that they no longer cover setmelanotide or competitive products. The outcome following legal assertions of invalidity and/or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setmelanotide. Such a loss of patent protection would have a material adverse impact on our business.</w:t>
      </w:r>
    </w:p>
    <w:p>
      <w:pPr>
        <w:spacing w:after="0" w:line="19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setmelanotide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and our patents or other intellectual property rights may not be effective or sufficient to prevent them from competing.</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2017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If we were to lose our rights to licensed intellectual property, we may not be able to continue developing or commercializing setmelanotide or bivamelagon (LB54640).</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licensed our rights to setmelanotide from Ipsen Pharma SAS, or Ipsen, and our rights to bivamelagon (LB54640) from LG Chem, Ltd, or LGC. Our licenses with Ipsen and LGC impose various obligations on us, and provide Ipsen and LGC the right to terminate the license in the event of our material breach of the license agreement, our failure to initiate or complete certain development of a licensed product, or our commencement of an action seeking to have an Ipsen or LGC licensed patent right declared invalid. Termination of our license from Ipsen or LGC would result in our loss of the right to use the licensed intellectual property, which would materially adversely affect our ability to develop and commercialize setmelanotide and bivamelagon (LB54640), respectively, as well as harm our competitive business position and our business prospects. Furthermore, if our license agreement with LGC were terminated, we may be subject to certain refunds or be subject to certain payments to LGC.</w:t>
      </w:r>
    </w:p>
    <w:p>
      <w:pPr>
        <w:spacing w:after="0" w:line="18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also have licensed from Camurus its drug delivery technology, FluidCrystal, to formulate once-weekly setmelanotide. Our license with Camurus imposes various obligations on us, and provides Camurus the right to terminate the license in the event of our material breach of the license agreement. Termination of our license from Camurus would result in our inability to use the licensed intellectual property.</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enter into additional licenses to third-party intellectual property that are necessary or useful to our business. Future licensors may also allege that we have breached our license agreement and may accordingly seek to terminate our license with them. In addition, future licensors may have the right to terminate our license at will. Any termination could result in our loss of the right to use the licensed intellectual property, which could materially adversely affect our ability to develop and commercialize setmelanotide, as well as harm our competitive business position and our business prospects.</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termination could result in our loss of the right to use the licensed intellectual property, which could materially adversely affect our ability to develop and commercialize setmelanotide or bivamelagon (LB54640), as well as harm our competitive business position and our business prospects.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have registered trademarks for the commercial trade name IMCIVREE (setmelanotide) in the United States, the EU, and other countries, we have not yet obtained trademark protection for IMCIVREE in certain foreign jurisdictions and failure to secure such registrations could adversely affect our business.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we have received registered trademarks for the commercial trade name IMCIVREE (setmelanotide) and its logo in the United States, the EU, and other countries, we have not yet obtained trademark protection for IMCIVREE in certain foreign jurisdictions and are pursuing trademark registrations in other jurisdictions. Our trademark applications may be rejected during trademark registration proceedings. Although we would be given an opportunity to respond to those rejections, we may be unable to overcome them.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those proceedings.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and obtaining product exclusivity for setmelanotide and our other product candidates, our business may be materially harmed.</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for setmelanotide and our other product candidates, one or more of the U.S. patents we license may be eligible for limited patent term restoration under the Drug Price Competition and Patent Term Restoration Act of 1984, referred to as the Hatch Waxman Amendments. The Hatch Waxman Amendments permit a patent term restoration of up to five years as compensation for patent term lost during product development and the FDA regulatory review process, and we have applied to the U.S. PTO for patent term extension. However, we may not be granted an extension because of, for example, failure to apply within applicable deadlines, failure to apply prior to expiration of relevant patents or otherwise failure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Because setmelanotide contains active ingredients that the FDA has determined to be a new chemical entity, it has been afforded five years of non-patent data exclusivity by the FDA. Following the expiration of this exclusivity period, the FDA may approve generic products referencing the information included in our NDA for setmelanotide. Manufacturers may seek to launch these generic products following the expiration of the applicable marketing exclusivity period, even if we still have patent protection for setmelanotide. Recent legislation enacted by Congress created, among other things, new causes of action against innovator companies that refuse to offer samples of drugs for purposes of testing and developing generic or biosimilar products or to allow companies to participate in a shared Risk Evaluation and Mitigation Strategy (REMS). Competition that setmelanotide may face from generic versions could materially and adversely impact our future revenue, profitability and cash flows and substantially limit our ability to obtain a return on the investments we have made in setmelanotide.</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obtain an extension of patent protection under similar foreign legislation, where applicable, our competitors may obtain approval of competing products following our patent expiration, and our ability to generate revenues could be materially adversely affected in the foreign countries concerned.</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United States has enacted and is currently implementing the America Invents Act of 2011, wide 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employees have been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setmelanotide, which would materially adversely affect our commercial development efforts.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Setmelanotide and Other Legal and Compliance Matters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regulatory and marketing approval process is expensive, time consuming and uncertain and may prevent us from obtaining additional approvals for the commercialization of our product candidates. If we are not able to obtain, or if there are delays in obtaining, required regulatory approvals for our product candidates, we will not be able to commercialize such candidates and our ability to generate revenue will be materially impaired.</w:t>
      </w:r>
    </w:p>
    <w:p>
      <w:pPr>
        <w:spacing w:after="0" w:line="18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business depends largely on its successful clinical development, regulatory approval and commercialization of our product candidates. In the United States, IMCIVREE is approved for chronic weight management in adult and pediatric patients 6 years of age and older with monogenic or syndromic obesity due to POMC, PCSK1 or LEPR deficiency as determined by a FDA-approved test demonstrating variants in </w:t>
      </w:r>
      <w:r>
        <w:rPr>
          <w:rFonts w:ascii="Times New Roman" w:cs="Times New Roman" w:eastAsia="Times New Roman" w:hAnsi="Times New Roman"/>
          <w:sz w:val="18"/>
          <w:szCs w:val="18"/>
          <w:i w:val="1"/>
          <w:iCs w:val="1"/>
          <w:color w:val="auto"/>
        </w:rPr>
        <w:t>POMC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PCSK1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LEPR</w:t>
      </w:r>
      <w:r>
        <w:rPr>
          <w:rFonts w:ascii="Times New Roman" w:cs="Times New Roman" w:eastAsia="Times New Roman" w:hAnsi="Times New Roman"/>
          <w:sz w:val="18"/>
          <w:szCs w:val="18"/>
          <w:color w:val="auto"/>
        </w:rPr>
        <w:t xml:space="preserve"> genes that are interpreted as pathogenic, likely pathogenic, or of uncertain significance, or BBS. Health Canada has approved IMCIVREE for weight management in adult and pediatric patients 6 years of age and older with obesity due to BBS or genetically-confirmed POMC, PCSK1, or LEPR deficiency due to variants interpreted as pathogenic, likely pathogenic, or of VUS. The EC has authorized setmelanotide for the treatment of obesity and the control of hunger associated with genetically confirmed BBS or genetically confirmed loss-of-function biallelic POMC, including PCSK1, deficiency or biallelic LEPR deficiency in adults and children 2 years of age and above. The UK’s MHRA authorized setmelanotide for the treatment of obesity and the control of hunger associated with genetically confirmed BBS or genetically confirmed loss-of-function biallelic POMC, including PCSK1, deficiency or biallelic LEPR deficiency in adults and children 6 years of age and above. Setmelanotide will require substantial additional clinical development, testing and regulatory approval before we are permitted to commence commercialization in indications beyond those currently approved for IMCIVREE in the United States, the EU and Great Britain, and our other product candidates will require similar efforts before we are permitted to commercialize them for any indication. The clinical trials, manufacturing and marketing of our product candidates are subject to extensive and rigorous review and regulation by numerous government authorities in the United States and in other countries where we intend to test and, if approved, market such product candidates.</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and approval, if any, may be conditional on postmarketing studies and surveillance, and will require the expenditure of substantial resources beyond our existing cash resources. Of the large number of drugs in development in the United States and in other countries, only a small percentage will successfully complete the FDA regulatory approval process or the equivalent process in foreign jurisdictions and will be commercialized. In addition, we have not discussed all of our proposed development programs with the FDA or the competent authorities of foreign jurisdictions. Accordingly, even if we are able to obtain the requisite financing to continue to fund our development and clinical trials, we cannot assure you that setmelanotide will be successfully developed or commercialized.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obtaining FDA or EC approval is a complex, lengthy, expensive and uncertain process, and the FDA, EMA or equivalent competent authorities in foreign jurisdictions may delay, limit or deny approval of our product candidates for many reasons, including, among others:</w:t>
      </w:r>
    </w:p>
    <w:p>
      <w:pPr>
        <w:spacing w:after="0" w:line="176" w:lineRule="exact"/>
        <w:rPr>
          <w:sz w:val="20"/>
          <w:szCs w:val="20"/>
          <w:color w:val="auto"/>
        </w:rPr>
      </w:pPr>
    </w:p>
    <w:p>
      <w:pPr>
        <w:jc w:val="both"/>
        <w:ind w:left="1380" w:right="79" w:hanging="331"/>
        <w:spacing w:after="0" w:line="281"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clinical trials, or may change the requirements for approval even after it has reviewed and commented on the design for our clinical trials;</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the EMA, or other equivalent competent authorities in foreign jurisdictions that our product candidates are safe and effective for their intended uses;</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be interpretable or meet the level of statistical or clinical significance required by the FDA, the EMA, or other equivalent competent authorities in foreign jurisdictions for marketing approval. For example, the potential unblinding of setmelanotide studies due to easily identifiable AEs may raise the concern that potential bias has affected the clinical trial results;</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the number, size, conduct or implementation of our clinical trials;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require that we conduct additional clinical trials or pre-clinical studies;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or the applicable foreign regulatory agency may identify deficiencies in our chemistry, manufacturing or controls of our product candidates, or in the commercial production of such product candidates that may be required to support product approval;</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CROs that we retain to conduct our clinical trials may take actions outside of our control that materially adversely impact our clinical trials;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find the data from preclinical studies and clinical trials insufficient to demonstrate that clinical and other benefits of a product candidate outweigh its safety risks;</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disagree with our interpretation of data from our preclinical studies and clinical trials;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authorities in foreign jurisdictions may not approve the formulation, labeling or specifications of our product candidates;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other equivalent competent authorities in foreign jurisdictions may not accept data generated at our clinical trial sites;</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the equivalent competent authorities in foreign jurisdictions may require, as a condition of approval, additional preclinical studies or clinical trials, limitations on approved labeling or distribution and use restrictions;</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any post-market requirements or commitments agreed to in connection with regulatory approvals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81"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REMS as a condition of additional approvals or may impose additional requirements that limit the promotion, advertising, distribution, or sales of our product candidate;</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 may grant only conditional marketing authorization or based on the EMA’s opinion impose specific obligations as a condition for marketing authorization, or may require us to conduct post authorization safety studies as a condition of grant of marketing authorization;</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equivalent competent foreign regulatory agencies may deem our manufacturing processes or our facilities or the facilities of our CMOs inadequate to preserve the identity, strength, quality, purity, or potency of our product; or</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equivalent competent authorities in foreign jurisdictions may change its approval policies or adopt new regulations and guidance.</w:t>
      </w:r>
    </w:p>
    <w:p>
      <w:pPr>
        <w:spacing w:after="0" w:line="16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additional regulatory approvals, or to successfully market IMCIVREE. Moreover, because our business is largely dependent upon setmelanotide, any such setback in our pursuit of regulatory approvals would have a material adverse effect on our business and prospects.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regulatory legislation or regulation may increase the difficulty and cost for us to obtain marketing approval of and commercialize our product candidates.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EU pharmaceutical legislation is currently undergoing a complete review process, in the context of the Pharmaceutical Strategy for Europe initiative, launched by the EC in November 2020. The EC’s proposal for a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or approve new products can be affected by a variety of factors, including government budget and funding levels, statutory, regulatory, and policy changes, the FDA’s and foreign regulatory authorities’ ability to hire and retain key personnel and accept the payment of user fees, and other events that may otherwise affect the FDA’s and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9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or if global health concerns prevent the FDA or other regulatory authorities from conducting their regular inspections, reviews, or other regulatory activities, it could significantly impact the ability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FDA or other regulatory authorities to timely review and process our regulatory submissions, which could have a material adverse effect on our business.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setmelanotide or our other product candidates from being marketed abroad, and any current or future approvals we have been or may be granted for setmelanotide or other products in the United States would not assure approval of setmelanotide or other products in foreign jurisdictions.</w:t>
      </w:r>
    </w:p>
    <w:p>
      <w:pPr>
        <w:spacing w:after="0" w:line="180"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order to market and sell setmelanotide and any other product candidate that we may develop in the EU and many other jurisdictions, we or our third-party collaborators must obtain separate marketing authorizations and comply with numerous and varying regulatory requirements. The marketing authorization procedure varies among countries and can involve additional testing. The time required to obtain marketing authorization may differ substantially from that required to obtain FDA approval. The marketing authorization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these third parties may not obtain marketing authorization from competent authorities outside the United States on a timely basis, if at all. Approval by the FDA does not ensure grant of marketing authorization by competent authorities in other countries or jurisdictions, and grant of marketing authorization by one competent authority outside the United States does not ensure grant of marketing authorization by competent authorities in other countries or jurisdictions or by the FDA. We may not be able to file for marketing authorizations and may not receive necessary marketing authorization to commercialize setmelanotide in any market. Additionally, the UK’s withdrawal from the EU, commonly referred to as Brexit, has resulted in the relocation of the EMA from the UK to the Netherlands. This relocation has caused, and may continue to cause, disruption in the administrative and medical scientific links between the EMA and the MHRA, including delays in granting clinical trial authorization or marketing authorization, disruption of importation and export of active substance and other components of new drug formulations, and disruption of the supply chain for clinical trial product and final authorized formulations. The cumulative effects of the disruption to the regulatory framework may add considerably to the development lead time to marketing authorization and commercialization of setmelanotide, or any other product candidates in the EU and/or the UK. Although we have obtained FDA approval and marketing authorization from the EC and the MHRA for setmelanotide, any delay in obtaining, or an inability to obtain, any marketing authorization, for any of our other product candidates,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marketing authorization in the UK and/or EU for any of our other product candidates, which could significantly and materially harm our business.</w:t>
      </w:r>
    </w:p>
    <w:p>
      <w:pPr>
        <w:spacing w:after="0" w:line="20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current and future potential marketing approvals for setmelanotide and other product candidates and ongoing regulation may limit how we manufacture and market setmelanotide and other products, and compliance with such requirements may involve substantial resources, which could materially impair our ability to generate revenue.</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Regulatory authorities may impose significant restrictions on setmelanotide’s indicated uses or marketing or impose ongoing requirements for potentially costly post approval studies, and the same may be true for our other product candidates, if approved. We and setmelanotide will also be subject to ongoing requirements by the FDA and foreign regulatory authorities, governing labeling, packaging, storage, advertising, promotion, marketing, distribution, importation, exportation, post-approval changes, manufacturing, recordkeeping, and submission of safety and other post market information. Advertising and promotional materials must comply with the FDCA and implementing regulations and foreign regulations, and are subject to FDA and foreign regulatory authorities oversight and post-marketing reporting obligations, in addition to other potentially applicable federal and state laws. The FDA and the other competent foreign authorities have significant post market authority, including, for example, the authority to require labeling changes based on new safety information and to require post market studies or clinical trials to evaluate serious safety risks related to the use of a drug. The FDA and foreign regulatory authorities also has the authority to require, as part of an NDA or similar foreign application or post approval, the submission of a REMS or other specific obligations, which may include Elements to Assure Safe Use. Any REMS or other specific obligations required by the FDA or foreign regulatory authorities may lead to increased costs to assure compliance with new post approval regulatory requirements and potential requirements or restrictions on the sale of approved products, all of which could lead to lower sales volume and revenue. The holder of an approved NDA also must submit new or supplemental applications and obtain FDA approval for certain changes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approved product, product labeling or manufacturing process, or adding new manufacturers. Similar requirements apply in foreign jurisdictions.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Manufacturers of drug products and their facilities may be subject to payment of application and program fees and are subject to continual review and periodic inspections by the FDA and other equivalent competent authorities for compliance with cGMPs and other regulations. If we or a regulatory agency discover problems with setmelanotide, such as AEs of unanticipated severity or frequency, or problems with the facility where setmelanotide is manufactured or disagrees with the promotion, marketing or labeling of the product, a regulatory agency may impose restrictions on setmelanotide, the manufacturer or us, including requiring withdrawal of setmelanotide from the market or suspension of manufacturing. If we or the manufacturing facilities for setmelanotide fail to comply with applicable regulatory requirements, a regulatory agency may, among other things:</w:t>
      </w:r>
    </w:p>
    <w:p>
      <w:pPr>
        <w:spacing w:after="0" w:line="192" w:lineRule="exact"/>
        <w:rPr>
          <w:sz w:val="20"/>
          <w:szCs w:val="20"/>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suspend or withdraw marketing approval;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submitted by us;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setmelanotide, refuse to permit the import or export of setmelanotide, or request that we initiate a product recall.</w:t>
      </w:r>
    </w:p>
    <w:p>
      <w:pPr>
        <w:spacing w:after="0" w:line="16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20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Accordingly,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setmelanotide withdrawn by regulatory authorities and our ability to market any future products could be limited, which could adversely affect our ability to achieve or sustain profitability. Thus, the cost of compliance with post-approval regulations may have a negative effect on our operating results and financial condition.</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a sponsor’s responsibilities and obligations under the FDCA and FDA regulations,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Similar to the United States, 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oversight includes control of compliance with GMP rules, which govern quality control of the manufacturing process and require documentation policies and procedures. We and our third-party manufacturers would be required to ensure that all of our processes, methods, and equipment are compliant with GMP. Failure by us or by any of our third-party partners, including suppliers,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revocation or variation of the marketing authorization, total or partial suspension of production, distribution, manufacturing, or clinical trials, operating restrictions, injunctions, suspension of licenses, fines, and criminal penalties.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EU legislation related to pharmacovigilance, or the assessment and monitoring of the safety of medicinal products, provides that the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AE management and reporting. Under the pharmacovigilance legislation and its related regulations and guidelines, we may be required to conduct a labor intensive collection of data regarding the risks and benefits of marketed products and may be required to engage in ongoing assessments of those risks and benefits, including the possible requirement to conduct additional clinical studies, which may be time consuming and expensive and could impact our profitability. Noncompliance with such obligations can lead to the variation, suspension or withdrawal of marketing authorization or imposition of financial penalties or other enforcement measures.</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and any future collaborators to commercialize setmelanotide and may adversely affect the prices we, or they, may obtain and may have a negative impact on our business and results of operations.</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a number of legislative and regulatory changes and proposed changes regarding the healthcare system that could, among other things, restrict or regulate post-approval activities with respect to IMCIVREE and affect our ability, or the ability of any future collaborators,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IMCIVREE or any product candidates approved for sale.</w:t>
      </w:r>
    </w:p>
    <w:p>
      <w:pPr>
        <w:spacing w:after="0" w:line="194"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(ACA) was signed into law in 2010. The ACA substantially changed the way healthcare is financed by both governmental and private insurers, and significantly affects the U.S. pharmaceutical industry. Among the provisions of the ACA of importance to our business, including, without limitation, our ability to commercialize and the prices we may obtain for any product candidates that are approved for sale, are the following:</w:t>
      </w:r>
    </w:p>
    <w:p>
      <w:pPr>
        <w:spacing w:after="0" w:line="183" w:lineRule="exact"/>
        <w:rPr>
          <w:sz w:val="20"/>
          <w:szCs w:val="20"/>
          <w:color w:val="auto"/>
        </w:rPr>
      </w:pPr>
    </w:p>
    <w:p>
      <w:pPr>
        <w:jc w:val="both"/>
        <w:ind w:left="1380" w:right="79" w:hanging="331"/>
        <w:spacing w:after="0" w:line="27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revising the “average manufacturer price” definition, and extending rebate liability from fee-for-service Medicaid utilization to include the utilization of Medicaid managed care organizations as well;</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hanging="331"/>
        <w:spacing w:after="0" w:line="276"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list of entity types eligible for participation in the Public Health Service 340B drug pricing program, or the 340B program, to include certain free-standing cancer hospitals, critical access hospitals, rural referral centers, and sole community hospitals, but exempting “orphan drugs,” such as IMCIVREE, from the 340B ceiling price requirements for these covered entities;</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Medicare Part D coverage gap discount program (to be replaced by a new discount program in 2025, as discussed below), which requires manufacturers to provide a 70% point of sale discount off the negotiated price of applicable brand drugs to eligible beneficiaries during their coverage gap period as a condition for the manufacturers’ outpatient drugs to be covered under Medicare Part D;</w:t>
      </w:r>
    </w:p>
    <w:p>
      <w:pPr>
        <w:spacing w:after="0" w:line="181"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 Centered Outcomes Research Institute to oversee, identify priorities in, and conduct comparative clinical effectiveness research, along with funding for such research; and</w:t>
      </w:r>
    </w:p>
    <w:p>
      <w:pPr>
        <w:spacing w:after="0" w:line="162"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within CMS to test innovative payment and service delivery models to lower Medicare and Medicaid spending, including prescription drug spending.</w:t>
      </w:r>
    </w:p>
    <w:p>
      <w:pPr>
        <w:spacing w:after="0" w:line="17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Since its enactment, certain provisions of the ACA have been subject to judicial, executive, and legislative challenges. On June 17, 2021, the U.S. Supreme Court dismissed the most recent judicial challenge to the ACA brought by several states without specifically ruling on the constitutionality of the ACA. Thus, the ACA will remain in effect in its current form.</w:t>
      </w:r>
    </w:p>
    <w:p>
      <w:pPr>
        <w:spacing w:after="0" w:line="18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Previously, the Medicaid rebate was capped at 100% of a drug’s average manufacturer price, or AMP.</w:t>
      </w:r>
    </w:p>
    <w:p>
      <w:pPr>
        <w:spacing w:after="0" w:line="18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was fully implemented in 2019. The cost of prescription pharmaceuticals in the United States has also been the subject of considerable discussion in the United States.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Moreover, the federal government and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increase reporting, and other transparency measures. These types of initiatives may result in additional reductions in Medicare, Medicaid, and other healthcare funding, and may otherwise affect the prices we may obtain for IMCIVREE or the frequency with which IMCIVREE is prescribed or used.</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Part D coverage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gap discount program with a new discounting program (beginning in 2025). The IRA permits the Secretary of the Department of Health and Human Services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us and the pharmaceutical industry cannot yet be fully determined, but is likely to be significant.</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IRA discounting program that will replace the coverage gap discount program in 2025, manufacturers must give a 10 percent discount on Part D drugs in the initial coverage phase, and a 20 percent discount on Part D drugs in the so-called “catastrophic phase” (the phase after the patient incurs costs above the initial phase out-of-pocket threshold, which will be $2,000 beginning in 2025). The IRA allows the 10 and 20 percent discounts to be phased in over time for certain drugs for “specified manufacturers.” In April 2024, CMS informed us that we are deemed a specified manufacturer. We are still evaluating the potential impact of this status on our future revenues.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IMCIVREE is reimbursed under Medicare Part D, and the reimbursement amount will be impacted by the 10 and 20 percent discounts under the IRA’s new discounting program. We anticipate that these increased discounts will impact IMCIVREE revenues, while also having an industry-wide impact on the cost of Part D drugs. The impact on IMCIVREE revenues could be offset because the IRA’s redesign of certain Part D components, some of which went into effect in 2024, resulted in an increase in the number of patients able to afford this therapy. The amount of the offset, if any, is inherently uncertain and difficult to predict.</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IRA discounting program that will replace the coverage gap discount program will also increase financial obligations of Part D prescription drug plans with respect to beneficiaries in the catastrophic coverage phase. This may incentivize Part D prescription drug plans to seek greater price concessions from us in order to include IMCIVREE on their formularies.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and payment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setmelanotide to other available therapies. If reimbursement of our products is unavailable or limited in scope or amount, or if pricing is set at unsatisfactory levels, our ability to generate revenues and become profitable could be impaired. For more details concerning the risks related to pricing and reimbursement in the EU, please refer to the discussion in the risk factor </w:t>
      </w:r>
      <w:r>
        <w:rPr>
          <w:rFonts w:ascii="Times New Roman" w:cs="Times New Roman" w:eastAsia="Times New Roman" w:hAnsi="Times New Roman"/>
          <w:sz w:val="18"/>
          <w:szCs w:val="18"/>
          <w:i w:val="1"/>
          <w:iCs w:val="1"/>
          <w:color w:val="auto"/>
        </w:rPr>
        <w:t>“The successful commercialization of IMCIVREE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any other product candidates for which we obtain approval will depend in part on the extent to which governmental authorities, private health insurers, and other third-party payors provide coverage and adequate reimbursement levels. Failure to obtain or maintain coverage and adequate reimbursement for IMCIVREE or our other product candidates, if any and if approved, could limit our ability to market those products and decrease our ability to generate revenue” </w:t>
      </w:r>
      <w:r>
        <w:rPr>
          <w:rFonts w:ascii="Times New Roman" w:cs="Times New Roman" w:eastAsia="Times New Roman" w:hAnsi="Times New Roman"/>
          <w:sz w:val="18"/>
          <w:szCs w:val="18"/>
          <w:color w:val="auto"/>
        </w:rPr>
        <w:t>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18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Medicaid Drug Rebate Program, or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19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w:t>
      </w:r>
      <w:r>
        <w:rPr>
          <w:rFonts w:ascii="Times New Roman" w:cs="Times New Roman" w:eastAsia="Times New Roman" w:hAnsi="Times New Roman"/>
          <w:sz w:val="18"/>
          <w:szCs w:val="18"/>
          <w:i w:val="1"/>
          <w:iCs w:val="1"/>
          <w:color w:val="auto"/>
        </w:rPr>
        <w:t>Current and future healthcare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legislation or regulation may increase the difficulty and cost for us and any future collaborators to obtain marketing approval of and commercialize setmelanotide and may adversely affect the prices we, or they, may obtain and may have a negative impact on our business and results of operations</w:t>
      </w:r>
      <w:r>
        <w:rPr>
          <w:rFonts w:ascii="Times New Roman" w:cs="Times New Roman" w:eastAsia="Times New Roman" w:hAnsi="Times New Roman"/>
          <w:sz w:val="18"/>
          <w:szCs w:val="18"/>
          <w:color w:val="auto"/>
        </w:rPr>
        <w:t>,” above. The Medicare Part D rebate will be calculated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the AMP figures we report pursuant to the MDRP.</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ACA expanded the list of covered entities to include certain free-standing cancer hospitals, critical access hospitals, rural referral centers and sole community hospitals, but exempts “orphan drugs,” such as IMCIVREE, from the ceiling price requirements for these covered entities.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 revised regulation implementing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legislation or regulation could affect our 340B ceiling price calculations and also negatively impact our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order for IMCIVREE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19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 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For example, the FDA-approved label for IMCIVREE is limited to chronic weight management in adult and pediatric patients 6 years of age and older with monogenic or syndromic obesity due POMC, PCSK1, or LEPR, deficiency confirmed by FDA-approved test demonstrating variants in POMC, PCSK1, or LEPR genes that are interpreted as pathogenic, likely pathogenic, or of uncertain significance, and due to BBS. In addition to the FDA approval required for new formulations, any new indication for an approved product also requires FDA approval. If we are not 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 obtain FDA approval for any desired future indications for our drugs and product candidates, our ability to effectively market and sell our products may be reduced and our business may be adversely affected.</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 treatment for some patients in varied circumstances. For example, we are actively evaluating IMCIVREE in subjects with other forms of obesity caused by defects in the MCR4 pathway. We are not currently permitted to, and do not, market or promote setmelanotide for these uses.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promotional activities may be protected under the First Amendment, the scope of any such protection is unclear.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in relation to medicinal products comply with the product’s Summary of Product Characteristics, or SmPC, as approved by the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 label promotion. The off label promotion of medicinal products is prohibited in the EU. The applicable laws at EU level and in the individual EU member states also prohibit the direct to consumer advertising of prescription 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spacing w:after="0" w:line="18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federal, state and foreign healthcare laws and regulations, including fraud and abuse laws, health information privacy and security laws, and antitrust laws. If we are unable to comply or have not fully complied with such laws and regulations, we could face criminal sanctions, damages, substantial civil penalties, reputational harm and diminished profits and future earnings.</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and prescription of setmelanotide, and other product candidates, if approved. Our arrangements and interactions with healthcare professionals, third-party payors, patients and others will expose us to broadly applicable fraud and abuse, antikickback, false claims and other healthcare laws and regulations that may constrain the business or financial arrangements and relationships through which we market, sell and distribute setmelanotide, if we obtain marketing approval. The U.S. federal, state and foreign healthcare laws and regulations that may affect our ability to operate include, but are not limited to:</w:t>
      </w:r>
    </w:p>
    <w:p>
      <w:pPr>
        <w:spacing w:after="0" w:line="187" w:lineRule="exact"/>
        <w:rPr>
          <w:sz w:val="20"/>
          <w:szCs w:val="20"/>
          <w:color w:val="auto"/>
        </w:rPr>
      </w:pPr>
    </w:p>
    <w:p>
      <w:pPr>
        <w:jc w:val="both"/>
        <w:ind w:left="1380" w:right="79" w:hanging="331"/>
        <w:spacing w:after="0" w:line="289" w:lineRule="auto"/>
        <w:tabs>
          <w:tab w:leader="none" w:pos="13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United States federal healthcare Anti-Kickback Statute, which prohibits, among other things, persons and entities from knowingly and willfully soliciting, offering, paying, or receiving remuneration, (anything of value), directly or indirectly, in cash or in kind, to induce or reward either the referral of an individual for, or the purchase, lease order or arranging for or recommending the purchase, lease or order of any good or service for which payment may be made, in whole or in part, by federal healthcare programs such as Medicare and Medicaid. This statute has been interpreted to apply to arrangements between pharmaceutical companies on one hand and prescribers, purchasers, formulary managers, and</w:t>
      </w:r>
    </w:p>
    <w:p>
      <w:pPr>
        <w:sectPr>
          <w:pgSz w:w="11900" w:h="16838" w:orient="portrait"/>
          <w:cols w:equalWidth="0" w:num="1">
            <w:col w:w="9019"/>
          </w:cols>
          <w:pgMar w:left="1440" w:top="513"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69" w:lineRule="auto"/>
        <w:rPr>
          <w:sz w:val="20"/>
          <w:szCs w:val="20"/>
          <w:color w:val="auto"/>
        </w:rPr>
      </w:pPr>
      <w:r>
        <w:rPr>
          <w:rFonts w:ascii="Times New Roman" w:cs="Times New Roman" w:eastAsia="Times New Roman" w:hAnsi="Times New Roman"/>
          <w:sz w:val="18"/>
          <w:szCs w:val="18"/>
          <w:color w:val="auto"/>
        </w:rPr>
        <w:t>patients on the other. Liability under the Anti-Kickback Statute may be established without proving actual knowledge of the statute or specific intent to violate it. Although there are a number of statutory exceptions and regulatory safe harbors to the federal Anti-Kickback Statute protecting certain common business arrangements and activities from prosecution or regulatory sanctions, the exceptions and safe harbors are drawn narrowly. Practices that involve remuneration to those who prescribe, purchase, or recommend pharmaceutical and biological products, including certain discounts, or engaging such individuals or patients as consultants, advisors, or speakers, may be subject to scrutiny if they do not fit squarely within an exception or safe harbor. Our practices may not in all cases meet all of the criteria for safe harbor protection from anti-kickback liability. Moreover, there are no safe harbors for many common practices, such as educational and research grants, charitable donations, product and patient support programs.</w:t>
      </w:r>
    </w:p>
    <w:p>
      <w:pPr>
        <w:spacing w:after="0" w:line="175" w:lineRule="exact"/>
        <w:rPr>
          <w:sz w:val="20"/>
          <w:szCs w:val="20"/>
          <w:color w:val="auto"/>
        </w:rPr>
      </w:pPr>
    </w:p>
    <w:p>
      <w:pPr>
        <w:jc w:val="both"/>
        <w:ind w:left="1380" w:right="79" w:hanging="331"/>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prohibits individuals or entities from, among other things, knowingly presenting, or causing to be presented a false or fraudulent claim for payment of government funds, or knowingly making, using or causing to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Attorney General or as a qui tam action by a private individual in the name of the government. Such private individuals may share in amounts paid by the entity to the government in recovery or settlement. Many pharmaceutical manufacturers have been investigated and have reached substantial financial settlements with the federal government under the civil False Claims Act for a variety of alleged improper activities including causing false claims to be submitted as a result of the marketing of their products for unapproved and thus non-reimbursable uses, inflating prices reported to private price publication services which are used to set drug payment rates under government healthcare programs, and other interactions with prescribers and other customers including those that may have affected their billing or coding practices and submission to the federal government. The government may assert that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191" w:lineRule="exact"/>
        <w:rPr>
          <w:rFonts w:ascii="Times New Roman" w:cs="Times New Roman" w:eastAsia="Times New Roman" w:hAnsi="Times New Roman"/>
          <w:sz w:val="18"/>
          <w:szCs w:val="18"/>
          <w:color w:val="auto"/>
        </w:rPr>
      </w:pPr>
    </w:p>
    <w:p>
      <w:pPr>
        <w:jc w:val="both"/>
        <w:ind w:left="1380" w:right="79" w:hanging="331"/>
        <w:spacing w:after="0" w:line="268"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amended by the Health Information Technology for Economic and Clinical Health Act, or HIPAA, imposes criminal and civil liability for executing a scheme to defraud any healthcare benefit program, including private third-party payors, and also imposes obligations, with respect to safeguarding the privacy, security and transmission of individually identifiable health information. Penalties for failure to comply with a requirement of HIPAA vary significantly and include civil monetary penalties as well as criminal penalties for knowingly obtaining or disclosing individually identifiable health information in violation of HIPAA. The criminal penalties increase if the wrongful conduct involves false pretenses or the intent to sell, transfer or use identifiable health information for commercial advantage, personal gain or malicious harm.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380" w:right="79"/>
        <w:spacing w:after="0" w:line="281" w:lineRule="auto"/>
        <w:rPr>
          <w:sz w:val="20"/>
          <w:szCs w:val="20"/>
          <w:color w:val="auto"/>
        </w:rPr>
      </w:pPr>
      <w:r>
        <w:rPr>
          <w:rFonts w:ascii="Times New Roman" w:cs="Times New Roman" w:eastAsia="Times New Roman" w:hAnsi="Times New Roman"/>
          <w:sz w:val="18"/>
          <w:szCs w:val="18"/>
          <w:color w:val="auto"/>
        </w:rPr>
        <w:t>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177" w:lineRule="exact"/>
        <w:rPr>
          <w:sz w:val="20"/>
          <w:szCs w:val="20"/>
          <w:color w:val="auto"/>
        </w:rPr>
      </w:pPr>
    </w:p>
    <w:p>
      <w:pPr>
        <w:jc w:val="both"/>
        <w:ind w:left="1380" w:right="79" w:hanging="331"/>
        <w:spacing w:after="0" w:line="269"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certain manufacturers of drugs, devices, biologics and medical supplies to report payments and other transfers of value to physicians for which payment is available under Medicare, Medicaid or the Children’s Health Insurance Program (with certain exceptions) to report annually to the United States Department of Health and Human Services, Centers for Medicare and Medicaid Services, information related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Manufacturers must submit reports on or before the 90th day of each calendar year disclosing reportable payments made in the previous calendar year.</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69"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items or services reimbursed under Medicaid and other state programs or, in several states, regardless of the payer, including private insurers. Some state laws require pharmaceutical companies to report expenses relating to the marketing and promotion of pharmaceutical products and to report gifts and payments to individual health care providers in those states. Some of these states also prohibit certain marketing-related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spacing w:after="0" w:line="175" w:lineRule="exact"/>
        <w:rPr>
          <w:rFonts w:ascii="Times New Roman" w:cs="Times New Roman" w:eastAsia="Times New Roman" w:hAnsi="Times New Roman"/>
          <w:sz w:val="18"/>
          <w:szCs w:val="18"/>
          <w:color w:val="auto"/>
        </w:rPr>
      </w:pPr>
    </w:p>
    <w:p>
      <w:pPr>
        <w:jc w:val="both"/>
        <w:ind w:left="1380" w:right="79" w:hanging="331"/>
        <w:spacing w:after="0" w:line="271"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foreign laws and regulations, including restrictions imposed on the promotion and marketing of medicinal products in the EU member states and other countries, restrictions on interactions with healthcare professionals and requirements for public disclosure of payments made to physicians. Laws (including those governing promotion, marketing and anti-kickback provisions), industry regulations and professional codes of conduct often are strictly enforced. Even in those countries where we may decide not to directly promote or market our products, inappropriate activity by our international distribution partners could have implications for us.</w:t>
      </w:r>
    </w:p>
    <w:p>
      <w:pPr>
        <w:spacing w:after="0" w:line="17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Ensuring that our business arrangements and interactions with healthcare professionals, third-party payors, patients and others comply with applicable healthcare laws and regulations will require substantial resources. Various state, federal and foreign regulatory and enforcement agencies continue actively to investigate violations of health care laws and regulations, and the United States Congress continues to strengthen the arsenal of enforcement tools.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statutes, regulations or case law involving applicable antitrust, fraud and abuse, privacy, or other healthcare laws and regulations. If our operations, including our engagements with healthcare professionals, researchers and patients, or our disease awareness and/or patient identification initiatives including genetic testing programs, or anticipated activities to be conducted by our field teams, were found to be in violation of any of these laws or any other governmental regulations that may apply to us, we may be subject to costly investigations, significant civil, criminal and administrative monetary penalties, imprisonment, damages, fines, disgorgement, exclusion from government funded healthcare programs, such as Medicare and Medicaid, contractual damages, diminished profits and future earnings, and the curtailment or restructuring of our operations, any of which could substantially disrupt our operations or financial results. Although compliance programs can mitigate the risk of investigation and prosecution for violations of these laws, the risks cannot be entirely eliminated. Any action against us for violation of these laws or regulations, even if we successfully defend against it,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cause us to incur significant legal expenses and generate negative publicity, which could harm our financial condition and divert our management’s attention from the operation of our business.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whether knowingly or unknowingly, including violating applicable regulatory standards and requirements or engaging in insider trading, which could significantly harm our business.</w:t>
      </w:r>
    </w:p>
    <w:p>
      <w:pPr>
        <w:spacing w:after="0" w:line="17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or unintentional failures to comply with the regulations of the FDA and applicable non U.S. regulators, provide accurate information to the FDA and applicable non 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It is not always possible to identify and deter employee misconduct, and any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Some of these laws and related risks are described under the risk factor “</w:t>
      </w:r>
      <w:r>
        <w:rPr>
          <w:rFonts w:ascii="Times New Roman" w:cs="Times New Roman" w:eastAsia="Times New Roman" w:hAnsi="Times New Roman"/>
          <w:sz w:val="18"/>
          <w:szCs w:val="18"/>
          <w:i w:val="1"/>
          <w:iCs w:val="1"/>
          <w:color w:val="auto"/>
        </w:rPr>
        <w:t>We may be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federal and state healthcare laws and regulations. If we are unable to comply or have not fully complied with such laws and regulations, we could face criminal sanctions, damages, substantial civil penalties, reputational harm and diminished profits and future earnings” </w:t>
      </w:r>
      <w:r>
        <w:rPr>
          <w:rFonts w:ascii="Times New Roman" w:cs="Times New Roman" w:eastAsia="Times New Roman" w:hAnsi="Times New Roman"/>
          <w:sz w:val="18"/>
          <w:szCs w:val="18"/>
          <w:color w:val="auto"/>
        </w:rPr>
        <w:t>of this Quarterly Report.</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and regulations could lead to government enforcement actions and significant penalties against us, and adversely impact our operating results.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financial performance, business and operating results.</w:t>
      </w:r>
    </w:p>
    <w:p>
      <w:pPr>
        <w:spacing w:after="0" w:line="19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HIPAA, as amended by the Health Information Technology for Economic and Clinical Health Act of 2009 and regulations implemented thereunder, collectively HIPAA, state data breach notification laws, state health information privacy laws and federal and state consumer protection laws, including Section 5 of the Federal Trade Commission Act, which govern the collection, use, disclosure and protection of health-related and other personal information, may apply to our operations and the operations of current and future collaborators. We may obtain health information from third parties, such as research institutions with which we collaborate, that are subject to privacy and security requirements under HIPAA. Although we are not directly subject to HIPAA, other than potentially with respect to providing certain employee benefits, we could be subject to criminal penalties if we knowingly obtain or disclose individually identifiable health information maintained by a HIPAA covered entity in a manner that is not authorized or permitted by HIPAA. In addition, state laws govern the privacy and security of health, research and genetic information in specified circumstances, many of which differ from each other in significant ways and may not have the same effect, thus complicating compliance efforts. Further, we may also be subject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to other state laws governing the privacy, processing and protection of personal information. For example, the California Consumer Privacy Act of 2018, or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and risks associated with data breach litigation. Further, the California Privacy Rights Act, or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Utah, Connecticut and Colorado, and have been proposed in other states and at the federal level, reflecting a trend toward more stringent privacy legislation in the United States. The enactment of such laws could have potentially conflicting requirements that would make compliance challenging. In addition, some of our research activities involve minors, which may be subject to additional laws and can require specialized consent processes, privacy protections, and compliance procedures.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in Europe, the collection and use of personal data, including health and genetic data, is governed by the provisions of the GDPR. The GDPR became effective on May 25, 2018, and imposes strict requirements for the processing of the personal data of individuals within the European Economic Area, or EEA, or in the context of our activities in the EEA, including health data from clinical trials and AE reporting. In particular, these requirements include certain obligations concerning the consent of the individuals to whom the personal data relates, the information provided to the individuals, the transfer of personal data out of the EEA, security breach notifications, and security and confidentiality of the personal data, and violations of these requirements could result in substantial fines, up to the greater of 20 million Euros or 4% of total global annual turnover. In addition to the foregoing, a breach of the GDPR could result in regulatory investigations, reputational damage, orders to cease/change our processing of our data, enforcement notices, and/or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Data protection authorities from the different EU and EEA member states may also interpret the GDPR and national laws differently and impose additional requirements, which adds to the complexity of processing personal data in the EU and the EEA.</w:t>
      </w:r>
    </w:p>
    <w:p>
      <w:pPr>
        <w:spacing w:after="0" w:line="19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from January 1, 2021, we have had to comply with the GDPR and also the United Kingdom GDPR, or UK GDPR, which, together with the amended United Kingdom Data Protection Act 2018, retains the GDPR in United Kingdom national law following Brexit. The UK GDPR mirrors the fines under the GDPR, e.g., fines up to the greater of €20 million (£17.5 million) or 4% of global turnover.</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Among other requirements, the GDPR and UK GDPR also regulate transfers of personal data subject to the GDPR or UK GDPR to third countries that have not been found to provide adequate protection to such personal data, including the United States. Case law from the Court of Justice of the European Union, or the CJEU, states that reliance on the standard contractual clauses - a standard form of contract approved by the EC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by the CJEU in relation to data transfers from the EEA to the United States and which formed the basis of the new EU-US Data Privacy Framework (“DPF”), as released on December 13, 2022. The DPF also introduced a new redress mechanism for EU and UK citizens which addresses a key concern in the previous CJEU judgments and may mean transfers under standard contractual clauses are less likely to be challenged in the future. The EC adopted its Adequacy Decision in relation to the DPF on July 10, 2023, rendering the DPF effective as a GDPR transfer mechanism to U.S. entities self-certified under the DPF. On October 12, 2023, the UK Extension to the DPF came into effect (as approved by the UK Government), as a UK GDPR data transfer mechanism to U.S. entities self-certified under the UK Extension to the DPF. We currently rely on the EU standard contractual clauses and the UK Addendum to the EU standard contractual clauses as relevant to transfer personal data outside the EEA and the UK, including to the United States, with respect to both intragroup and third-party transfers. Following a period of legal complexity and uncertainty regarding international personal data transfers, particularly to the United States, we expect the regulatory guidance and enforcement landscape to continue to develop, in relation to transfers to the United States and elsewhere.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implement revised standard contractual clauses and other relevant documentation for existing data transfers arrangements within required time frames.</w:t>
      </w:r>
    </w:p>
    <w:p>
      <w:pPr>
        <w:spacing w:after="0" w:line="19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Our failure to comply with our obligations under the GDPR or UK GDPR, including any failure to adopt measures to ensure that we can continue to conduct the data processing activities that we initiated in the EU before the GDPR entered into application, the UK GDPR, and other countries’ privacy or data security-related laws could adversely impact our ability to use the data generated in our studies. And any actual or perceived failure to comply with these data protection laws or adequately address privacy and security concerns could lead to government enforcement actions and significant penalties against us, and adversely impact our operating results.</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continue to penetrate foreign markets, where we will be subject to additional regulatory burdens and other risks and uncertainties.</w:t>
      </w:r>
    </w:p>
    <w:p>
      <w:pPr>
        <w:spacing w:after="0" w:line="15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Our future profitability will depend, in part, on our ability to continue to commercialize setmelanotide and our other product candidates in foreign markets for which we intend to rely on collaborations with third parties. As we continue to commercialize setmelanotide in foreign markets, we will be subject to additional risks and uncertainties, including:</w:t>
      </w:r>
    </w:p>
    <w:p>
      <w:pPr>
        <w:spacing w:after="0" w:line="158" w:lineRule="exact"/>
        <w:rPr>
          <w:sz w:val="20"/>
          <w:szCs w:val="20"/>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setmelanotide in foreign markets;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Foreign sales of setmelanotide could also be adversely affected by the imposition of governmental controls, political and economic instability, trade restrictions and changes in tariffs.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setmelanotide or our other product candidates outside of the United States and require us to develop and implement costly compliance programs.</w:t>
      </w:r>
    </w:p>
    <w:p>
      <w:pPr>
        <w:spacing w:after="0" w:line="17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continue to expand our operations outside of the United States, we must dedicate additional resources to comply with numerous laws and regulations in each jurisdiction in which we plan to operate. The Foreign Corrupt Practices Act of 1977, or the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the United Kingdom’s departure from the EU may have a negative effect on global economic conditions, financial markets and our business.</w:t>
      </w:r>
    </w:p>
    <w:p>
      <w:pPr>
        <w:spacing w:after="0" w:line="15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UK, the UK formally withdrew from the EU on January 31, 2020.</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 and has operated under a separate regulatory regime to the EU. It is currently unclear to what extent the UK Government will seek to align its regulations with the EU. EU law which has been transposed into UK law through secondary legislation still remains applicable in Great Britain, however, new EU legislation such as the CTR is not applicable in Great Britain post-Brexit. While the UK has indicated a general intention that new laws regarding the development, manufacture and commercialization of medicinal products in the UK will align closely with EU law, there remain limited detailed proposals for the future regulation of medicinal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Ireland/Northern Ireland Protocol, EU law still generally applies to Northern Ireland. However, on February 27, 2023 the UK Government and the EC reached a political agreement in the “Windsor Framework” to address discrepancies in the Protocol’s operation.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Whilst the EU-UK Trade and Cooperation Agreement (TCA) includes the mutual recognition of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Similarly, clinical trial submissions in the UK will not be able to be bundled with those of EU Member States within the EMA Clinical Trial Information System, or CTIS. Any divergences may increase the cost and complexity of running our business, including with respect to the conduct of clinical trials.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candidates is derived from EU directives and regulations, the withdrawal could continue to impact the regulatory regime with respect to the development, manufacture, importation, approval and commercialization of our product candidates in the UK. Great Britain is no longer covered by the EU’s procedures for the grant of MA (Northern Ireland is for now covered by the centralized authorization procedure and can be covered under the decentralized or mutual recognition procedures). A separate MA is required to market medicinal products in Great Britain. Such changes could increase our costs and otherwise adversely affect our business. Any delay in obtaining, or an inability to obtain regulatory approvals, as a result of Brexit or otherwise, may prevent us from commercializing our product candidates in Great Britain and restrict our ability to generate revenue and achieve or sustain profitability. If any of these outcomes occur, we may be forced to restrict or delay efforts to seek regulatory approval in Great Britain for our product candidates, which could significantly and materially harm our business.</w:t>
      </w:r>
    </w:p>
    <w:p>
      <w:pPr>
        <w:spacing w:after="0" w:line="19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further changes in relation to international trade, tariff and import/export regulations as a result of Brexit or otherwise may impose unexpected duty costs or other non-tariff barriers on us. These developments, or the perception that any of them could occur, may reduce global trade and, in particular, trade between the impacted nations and the UK.</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It is unclear what financial, regulatory and legal implications the withdrawal of the UK from the EU will have in the long-term and how such withdrawal will affect us, and the full extent to which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Acquisition of Xinvento B.V.</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the anticipated benefits of our acquisition of Xinvento B.V., those benefits may take longer to realize than expected, and we may encounter significant integration difficulties.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February 2023, in order to expand our pipeline and build on our focus on rare endocrinology diseases, we acquired Xinvento B.V., a Netherlands-based biotech company focused on developing therapies for congenital hyperinsulinism (CHI). We expect that the integration process will be complex, costly and time-consuming. As a result, we are devoting, and will continue to be required to devote, significant management attention and resources to integrating Xinvento B.V. into our business. The integration process may be disruptive to our business and the expected benefits may not be achieved within the anticipated time frame, or at all. The Xinvento B.V. intellectual property may not have the scientific value and commercial potential which we envision. We may not be able to integrate the two businesses successfully, and we could assume unknown or contingent liabilities. It is possible that the integration process could result in the diversion of our management’s attention, the disruption or interruption of, or the loss of momentum in, our ongoing business or inconsistencies in standards, controls, procedures and policies, any of which could adversely affect our ability to maintain relationships with third parties or the ability to achieve the anticipated benefits of the acquisition of Xinvento B.V., or could otherwise adversely affect our business and financial results.</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generating revenue from any Xinvento B.V. therapeutic candidate or technology sales for many years.</w:t>
      </w:r>
    </w:p>
    <w:p>
      <w:pPr>
        <w:spacing w:after="0" w:line="15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do not expect to derive revenue from the sale of any Xinvento B.V. therapeutic candidate or technology for many years, if at all, and there can be no assurance that regulatory approvals will be received or if received that they will be received when anticipated.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key employees and consultants, and to attract, retain and motivate qualified personnel.</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highly dependent on our executive leadership team. We have employment agreements with these individuals but any individual may terminate his or her employment with us at any time. The loss of their services might impede the achievement of our research, development and commercialization objectives. We also do not have any key-person life insurance on any of these key employees.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non-compete agreements. Recruiting and retaining qualified scientific personnel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expect to increase our number of employees and the scope of our operations. In particular, we will need to continue our transition from a research and development focused company to a commercial-stage company.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and give rise to operational mistakes, loss of business and commercial opportunities,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loss of employees and reduced productivity among remaining employees. If our management is unable to effectively manage our expected development and expansion, our expenses may increase more than expected, our ability to generate or increase our revenue could be reduced and we may not be able to implement our business strategy.</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physical expansion of our operations may lead to significant costs and may divert financial resources from other projects, such as the development of setmelanotide and our other product candidates. Many of our suppliers and collaborative and clinical trial relationships are located outside the United States, and we have and may continue to hire employees located outside of the United States. Accordingly, our business has and may continue to be subject to economic, political, regulatory and other risks associated with international operations, such as compliance with tax, employment, immigration and labor laws for employees living or traveling abroad, workforce uncertainty in countries where labor unrest is more common than in the United States, as well as difficulties associated with staffing and managing international operations, including differing labor relations. Any of these factors could materially affect our business, financial condition and results of operations. Our future financial performance and our ability to commercialize our approved products and compete effectively will depend, in part, on our ability to effectively manage the future development and expansion of our Company.</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third-party CROs, CMOs or other contractors or consultants, may fail or suffer security breaches, which could result in a material disruption of setmelanotide and other product candidate development programs, regulatory investigations, enforcement actions and lawsuits.</w:t>
      </w:r>
    </w:p>
    <w:p>
      <w:pPr>
        <w:spacing w:after="0" w:line="175"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information technology systems and those of our third-party CROs, CMOs and other contractors and consultants are vulnerable to attack, damage, or interruption by hacking, cyberattacks, computer viruses and malware (e.g. ransomware), malicious code, phishing attacks and other social engineering schemes, unauthorized access, natural disasters, terrorism, telecommunication and electrical failures, employee theft or misuse, human error, fraud, denial or degradation of service attacks, sophisticated nation-state and nation-state-supported actors or unauthorized access or use by persons inside our organization, or persons with access to systems inside our organization. Any such attack, incident or breach could compromise our information technology systems and the information stored there could be accessed, publicly disclosed, lost, corrupted or stolen. Further, attacks upon information technology systems are increasing in their frequency, levels of persistence, sophistication and intensity, and are being conducted by sophisticated and organized groups and individuals with a wide range of motives and expertise. As a result of the continued hybrid work environment, we may also face increased cybersecurity risks due to our reliance on internet technology and the number of our employees who are working remotely, which may create additional opportunities for cybercriminals to exploit vulnerabilities.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20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some also require implementation of reasonable security measures and provide a private right of action in the event of a breach. Costs of breach response, mitigation, investigation, remediation, notice and ongoing assessments can be considerable. Thus, any access, disclosure, damage or other loss of information, including our data being breached at our partners or third-party providers, could result in legal claims or proceedings and liability under state, federal and international privacy laws, disruption of our operations, and damage to our reputation, which could adversely affect our business.</w:t>
      </w:r>
    </w:p>
    <w:p>
      <w:pPr>
        <w:spacing w:after="0" w:line="19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and certain of our service providers have been and from time to time will continue to be subject to cyberattacks and security incidents. While we do not believe that we have experienced any significant system failure, accident or security breach to date, if such an event were to occur and cause interruptions in our operations, it could result in a material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disruption of our programs. For example, the loss of clinical trial data for setmelanotide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setmelanotide and our product candidates could be delayed.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product and services. We maintain cyber liability insurance; however, this insurance may not be sufficient to cover the financial, legal, business or reputational losses that may result from an interruption or breach of our systems. There can be no assurance that our cybersecurity risk management program and processes, including our policies, controls or procedures, will be fully implemented, complied with or effective in protecting our systems and information.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and executive officers and their affiliated entities own a significant percentage of our stock and, if they choose to act together, will be able to exert significant influence over matters subject to stockholder approval.</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executive officers and directors and their respective affiliates, in the aggregate, hold shares representing approximately 5.9% of our outstanding voting stock as of September 30, 2024. As a result, if these stockholders were to choose to act together, they would be able to significantly influence all matters submitted to our stockholders for approval, as well as our management and affairs. For example, these stockholders could significantly influence elections of directors, any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even one that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a Delaware corporation. Provisions in our amended and restated certificate of incorporation and amended and restated bylaws may delay or prevent an acquisition of us or a change in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will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 Any provision in our amended and restated certificate of incorporation and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market price for our common stock has been volatile and may continue to fluctuate significantly in response to a number of factors, most of which we cannot control, including, among others:</w:t>
      </w:r>
    </w:p>
    <w:p>
      <w:pPr>
        <w:spacing w:after="0" w:line="162" w:lineRule="exact"/>
        <w:rPr>
          <w:sz w:val="20"/>
          <w:szCs w:val="20"/>
          <w:color w:val="auto"/>
        </w:rPr>
      </w:pPr>
    </w:p>
    <w:p>
      <w:pPr>
        <w:ind w:left="1380" w:right="79" w:hanging="331"/>
        <w:spacing w:after="0" w:line="297" w:lineRule="auto"/>
        <w:tabs>
          <w:tab w:leader="none" w:pos="13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preclinical studies and clinical trials of setmelanotide and our other product candidates;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EMA to approve IMCIVREE for additional indications;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weight loss therapies and companies targeting rare diseases and orphan drug treatment;</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setmelanotide or our other product candidates, if approved, to achieve commercial success;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38"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macroeconomic conditions, including with respect to inflation rates or interest rates, labor shortages, supply chain shortages, disruptions and instability in the banking industry and other parts of the financial services sector, or other economic, political or legal uncertainties or adverse developments;</w:t>
      </w:r>
    </w:p>
    <w:p>
      <w:pPr>
        <w:spacing w:after="0" w:line="177" w:lineRule="exact"/>
        <w:rPr>
          <w:rFonts w:ascii="Times New Roman" w:cs="Times New Roman" w:eastAsia="Times New Roman" w:hAnsi="Times New Roman"/>
          <w:sz w:val="18"/>
          <w:szCs w:val="18"/>
          <w:color w:val="auto"/>
        </w:rPr>
      </w:pPr>
    </w:p>
    <w:p>
      <w:pPr>
        <w:jc w:val="both"/>
        <w:ind w:left="1380" w:right="79" w:hanging="331"/>
        <w:spacing w:after="0" w:line="276"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and/or political instability, unrest and wars, such as the conflicts involving Ukraine and Russia or Israel and Hamas, which could delay or disrupt our business, and if such political unrest escalates or spills over to or otherwise impacts additional regions it could heighten many of the other risk factors included in this sections;</w:t>
      </w:r>
    </w:p>
    <w:p>
      <w:pPr>
        <w:spacing w:after="0" w:line="181" w:lineRule="exact"/>
        <w:rPr>
          <w:rFonts w:ascii="Times New Roman" w:cs="Times New Roman" w:eastAsia="Times New Roman" w:hAnsi="Times New Roman"/>
          <w:sz w:val="18"/>
          <w:szCs w:val="18"/>
          <w:color w:val="auto"/>
        </w:rPr>
      </w:pPr>
    </w:p>
    <w:p>
      <w:pPr>
        <w:jc w:val="both"/>
        <w:ind w:left="1380" w:right="79" w:hanging="331"/>
        <w:spacing w:after="0" w:line="281"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as a result of climate change), which could cause significant damage to the infrastructure upon which our business operations rely, and the timing, nature or severity of which we may be unable to prepare for;</w:t>
      </w:r>
    </w:p>
    <w:p>
      <w:pPr>
        <w:spacing w:after="0" w:line="177"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outbreak of disease or epidemics, boycotts, curtailment of trade and other business restrictions;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termination of clinical trials;</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setmelanotide and our other product candidates;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or receive under these arrangements;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and timing of milestone payments under our existing collaboration and license agreements;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setmelanotide and customers’ buying patterns.</w:t>
      </w:r>
    </w:p>
    <w:p>
      <w:pPr>
        <w:spacing w:after="0" w:line="2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certain net operating loss carryovers and other tax attributes may be limited.</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Under the Code, a corporation is generally allowed a deduction for net operating losses, or NOLs, carried over from a prior taxable year, and can use such NOLs to offset future taxable income, if any, until such losses are used or, for NOLs arising in taxable years ending on or before December 31, 2017, until such NOLs expire. Other unused tax attributes, such as research tax credits may also be carried forward to offset future taxable income, if any, until such attributes are used or expire. As of December 31, 2023, we had approximately $555.6 million and $598.0 million of unused federal and state NOL carryforwards, respectively, and approximately $13.1 million and $3.8 million of unused federal and state carryforwards of research tax credits, respectively. Of the federal NOL carryforwards at December 31, 2023, $482.4 million can be carried forward indefinitely, while $73.2 million will begin to expire in 2033. Additionally, as of December 31, 2023, we had federal orphan drug credits related to qualifying research of $25.5 million.</w:t>
      </w:r>
    </w:p>
    <w:p>
      <w:pPr>
        <w:spacing w:after="0" w:line="188"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a corporation undergoes an “ownership change,” very generally defined as a greater than 50% change by value in its equity ownership by certain shareholders or groups of shareholders over a rolling three-year period, Sections 382 and 383 of the Code limit the corporation’s ability to use carryovers of its pre-change NOLs, credits and certain other tax attributes to reduce its tax liability for periods after the ownership change. Our issuance of common stock pursuant to prior public offerings may have resulted in a limitation under Code Sections 382 and 383, either separately or in combination with certain prior or subsequent shifts in the ownership of our common stock. Future changes in our stock ownership, some of which are outside of our control, could also result in an ownership change under Sections 382 and 383 of the Code. In addition, for taxable years beginning after December 31, 2020, utilization of federal NOLs generated in tax years beginning after December 31, 2017 are limited to a maximum of 80% of the taxable income for such year, after taking into account utilization of NOLs generated in years beginning before January 1, 2018 and determined without regard to such NOL deduction. Further regulatory changes could also limit our ability to utilize our NOLs. As a result, our ability to use carryovers of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Any such limitation could have a material adverse effect on our results of operations in future years. We have not completed a study to assess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whether an ownership change for purposes of Section 382 or 383 has occurred, or whether there have been multiple ownership changes since our inception, due to the significant costs and complexities associated with such study.</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use of our tax attributes will also be limited to the extent that we do not generate positive taxable income in future tax periods. We do not expect to generate positive taxable income in the near future and we may never achieve tax profitability.</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common stock in the public market could cause the price of our common stock to decline significantly.</w:t>
      </w:r>
    </w:p>
    <w:p>
      <w:pPr>
        <w:spacing w:after="0" w:line="15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Sales of our common stock in the public market, or the perception that these sales could occur, could cause the market price of our common stock to decline significantly. As of September 30, 2024, we had 61,436,251 shares of common stock outstanding. In addition, on July 10, 2023, we filed with the SEC a prospectus supplement to the prospectus included in the Company’s registration statement on Form S-3ASR filed with the SEC on March 2, 2023, covering the resale from time to time by the holders of the Convertible Preferred Stock of up to an aggregate of 3,124,995 shares of common stock, to satisfy registration rights that the Company granted to such holders in connection with the issuance of the Convertible Preferred Stock. To the extent the holders of the Convertible Preferred Stock convert their shares to common stock and sell such shares, the price of our common stock could be significantly impacted.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Additionally, Convertible Preferred Stock will rank senior to the shares of the Company’s common stock, with respect to the payment of dividends and the distribution of assets upon a liquidation, dissolution or winding up of the Company. Holders of the Convertible Preferred Stock will be entitled to a regular dividend at a rate as specified in the Amended and Restated Certificate of Designations filed by the Company with the Secretary of State of the State of Delaware.</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subordinated to our Convertible Preferred Stock.</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our Investment Agreement, the Company issued 150,000 shares of a new series of the Company’s Convertible Preferred Stock for an aggregate purchase price of $150.0 million, or $1,000 per share. The Convertible Preferred Stock will rank senior to the shares of the Company’s common stock, with respect to the payment of dividends and the distribution of assets upon a liquidation, dissolution or winding up of the Company. The Convertible Preferred Stock will initially have a liquidation preference of $1,000 per share; provided that the liquidation preference in dissolution or upon a change of control shall be increased to be 175% of the then applicable liquidation preference, as described in the Amended and Restated Certificate of Designations. The Convertible Preferred Stock is convertible into shares of our common stock at the option of the holders thereof subject to the terms of the Amended and Restated Certificate of Designations.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Additionally, holders of the Convertible Preferred Stock generally will be entitled to vote with the holders of the shares of our common stock, subject to certain restrictions pursuant to the terms of the Amended and Restated Certificate of Designations, on all matters submitted for a vote of holders of shares of our common stock (voting together with the holders of shares of our common stock as one class) on an as-converted basis, subject to certain ownership limitations. On May 7, 2024, the Company filed an Amended and Restated Certificate of Designations in respect of the Convertible Preferred Stock containing certain technical amendments to the terms of the Convertible Preferred Stock. The amendments contained in the Amended and Restated Certificate of Designations (x) limited the voting rights of the Convertible Preferred Stock to 24.9438 shares of the Company’s common stock per $1,000 liquidation preference of Convertible Preferred Stock and (y) eliminated a 1% step up in the interest rate that otherwise would have applied in the unlikely event that the Company was required to obtain and failed to obtain stockholder approval for certain conversion shares underlying the Convertible Preferred Stock. Additionally, certain matters will require the approval of the holders of two-thirds of the outstanding Convertible Preferred Stock, voting as a separate class, including (1) the authorization, creation, increase in the authorized amount of, or issuance of any class or series of senior or pari passu equity securities or any security convertible into, or exchangeable or exercisable for, shares of senior or pari passu equity securities, (2) amendments, modifications or repeal of any provision of the Company’s charter or of the Amended and Restated Certificate of Designations that would adversely affect the rights, preferences or voting powers of the Convertible Preferred Stock, and (3) certain business combinations and binding or statutory share exchanges or involving the Convertible Preferred Stock unless such events do not adversely affect the rights, preferences or voting powers of the Convertible Preferred Stock.</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future, we may make additional offerings of debt or preferred equity securities, including convertible or non-convertible senior or subordinated notes, convertible or non-convertible preferred stock, medium-term notes and trust preferred securities, to raise cash or bolster our liquidity, to refinance indebtedness, for working capital, to finance strategic initiatives and future acquisitions or for other purposes. Upon liquidation, holders of our debt securities and shares of preferred stock and lenders with respect to other borrowings may receive distributions of our available assets prior to the holders of our common stock. In addition, any preferred stock we may issue could have a preference on liquidating distributions or a preference on distribution payments that could limit our ability to make a distribution to the holders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our common stock.</w:t>
      </w:r>
    </w:p>
    <w:p>
      <w:pPr>
        <w:spacing w:after="0" w:line="19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common stock.</w:t>
      </w:r>
    </w:p>
    <w:p>
      <w:pPr>
        <w:spacing w:after="0" w:line="17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380" w:hanging="331"/>
        <w:spacing w:after="0"/>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238" w:lineRule="exact"/>
        <w:rPr>
          <w:rFonts w:ascii="Times New Roman" w:cs="Times New Roman" w:eastAsia="Times New Roman" w:hAnsi="Times New Roman"/>
          <w:sz w:val="18"/>
          <w:szCs w:val="18"/>
          <w:color w:val="auto"/>
        </w:rPr>
      </w:pPr>
    </w:p>
    <w:p>
      <w:pPr>
        <w:ind w:left="1380" w:right="79" w:hanging="331"/>
        <w:spacing w:after="0" w:line="297"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substantially all disputes between us and our stockholders and our bylaws designate the federal district courts of the United States as the exclusive forum for actions arising under the Securities Act, which could limit our stockholders’ ability to obtain an alternate preferred judicial forum for disputes with us or our directors, officers or employees.</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is the exclusive forum for: (i) any derivative action or proceeding brought on our behalf; (ii) any action asserting a claim of breach of fiduciary duty; (iii) any action asserting a claim against us arising under the DGCL, our certificate of incorporation or our bylaws; and (iv) any action asserting a claim against us that is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any of our securities shall be deemed to have notice of and consented to the provisions of our certificate of incorporation and bylaws described above.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these provisions of our certificate of incorporation or bylaws to be inapplicable or unenforceable in an action, we may incur additional costs associated with resolving the dispute in other jurisdictions, which could seriously harm our business.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form strategic alliances or create joint ventures in the future, and we may not realize their benefits.</w:t>
      </w:r>
    </w:p>
    <w:p>
      <w:pPr>
        <w:spacing w:after="0" w:line="15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joint venture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stock began trading on the Nasdaq Global Market in October 2017 and we can provide no assurance that we will be able to continue to maintain an active trading market on the Nasdaq Global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reports or publish unfavorable research or reports about our business, our stock price and trading volume could decline.</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business, our market or our competitors. We do not control these analysts. If we lose securities or industry analysts coverage of our Company, the trading price for our stock would be negatively impacted. If one or more of the analysts who covers us downgrades our stock, our stock price would likely decline. If one or more of these analysts issues unfavorable commentary or ceases to cover us or fails to regularly publish reports on us, interest in our stock could decrease, which could cause our stock price or trading volume to decline.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w:t>
      </w:r>
    </w:p>
    <w:p>
      <w:pPr>
        <w:spacing w:after="0" w:line="15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collaborations and strategic and licensing arrangements. From time to time we may raise additional capital through the sale of common stock or securities convertible or exchangeable into common stock, such as our sale of Convertible Preferred Stock under the Investment Agreement, which did cause in the case of the Investment Agreement and may cause in the future a stockholder’s ownership interest in our Company to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setmelanotide, our intellectual property or future revenue streams, or grant licenses on terms that are not favorable to us. See “</w:t>
      </w:r>
      <w:r>
        <w:rPr>
          <w:rFonts w:ascii="Times New Roman" w:cs="Times New Roman" w:eastAsia="Times New Roman" w:hAnsi="Times New Roman"/>
          <w:sz w:val="18"/>
          <w:szCs w:val="18"/>
          <w:i w:val="1"/>
          <w:iCs w:val="1"/>
          <w:color w:val="auto"/>
        </w:rPr>
        <w:t>Our common stock is subordinated to our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conditions could adversely affect our business, financial condition or results of operations.</w:t>
      </w:r>
    </w:p>
    <w:p>
      <w:pPr>
        <w:spacing w:after="0" w:line="15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including weakened demand for setmelanotide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geopolitical conflicts and war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anticipate all of the ways in which the current economic climate and financial market conditions could adversely impact our business.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operations are vulnerable to interruption by fire, severe weather conditions, power loss, telecommunications failure, terrorist activity, public health crises and pandemic diseases,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7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substantial costs as a result of operating as a public company, our management will continue to devote substantial time to new compliance initiatives and corporation governance policies, and we will need to hire additional qualified accounting and financial personnel with appropriate public company experience.</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The Sarbanes 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devote a substantial amount of time to these compliance initiatives and we will need to continue to hire additional accounting and financial personnel with appropriate public company experience and technical accounting knowledge. Even if we are able to hire appropriate personnel, our existing operating expenses and operations will be impacted by the direct costs of their employment and the indirect consequences related to the diversion of management resources from product development efforts. Moreover, these rules and regulations will continue to increase our legal and financial compliance costs and make some activities more time consuming and costly.</w:t>
      </w:r>
    </w:p>
    <w:p>
      <w:pPr>
        <w:spacing w:after="0" w:line="17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16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As described further below, we have identified a material weakness in our internal control over financial reporting.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w:t>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Pursuant to Section 404, we are required to furnish a report by our management on our internal control over financial reporting. To continue to achieve and maintain compliance with Section 404, we engage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appropriate, validate through testing that controls are functioning as documented and implement a continuous reporting and improvement process for internal control over financial reporting. Despite our efforts, from time to time we may not be able to conclude that our internal control over financial reporting is effective as required by Section 404, as is the case of our Annual Report on Form 10-K for the year ended December 31, 2023, due to the material weakness identified and described below. Additionally, the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pacing w:after="0" w:line="17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as we no longer qualify as a non-accelerated filer,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our independent registered public accounting firm may issue a report that is adverse, as it did in our Annual Report on Form 10-K for the year ended December 31, 2023. A material weakness could result in a restatement of our financial statements, failure to meet our reporting obligations in a timely manner,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Ineffective internal control over financial reporting could also reduce our ability to obtain financing or could increase the cost of any financing we obtain. Any of these could, in turn, result in an adverse reaction in the financial markets due to a loss of confidence in the reliability of our financial statements.</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controls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identified a material weakness in internal control related to ineffective information technology general controls (“ITGCs”) in the areas of user access and program change management over our key accounting and reporting information technology ( “IT”) system. As a result, the related business process controls (specifically, the IT application controls and IT-dependent manual controls) that are dependent on the ineffective ITGCs, or that use data produced from the system impacted by the ineffective ITGCs, were also ineffective. Although the material weakness identified above did not result in any material misstatements in our consolidated financial statements for the periods presented and there were no changes to previously released financial results, our management concluded that these control deficiencies constitute a material weakness and that our internal control over financial reporting was not effective as of December 31, 2023.</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Our management, under the oversight of the Audit Committee of our Board of Directors and in consultation with outside advisors, has begun evaluating and implementing measures designed to remediate the material weakness. In particular, we are taking steps to remediate this material weakness by (i) developing and implementing additional training and awareness programs addressing ITGCs and policies, including educating control owners concerning the principles and requirements of each control, with a focus on user access; (ii) increasing the extent of oversight and verification checks included in the operation of user access and program change management controls and processes; (iii) deploying additional tools to support administration of user access and program change management; and (iv) enhancing quarterly management reporting on the remediation measures to the Audit Committee of the Board of Directors. The above controls need to operate for a sufficient period of time so that management can conclude that our controls are operating effectively. As such, the material weakness will not be considered remediated until management has concluded through the implementation of these remediation measures and additional testing that these controls are effective. Additionally, a material weakness in our internal control over financial reporting has resulted in our management being unable to conclude, and any additional material weakness in our internal control over financial reporting may in the future result in our management being unable to conclude, that our disclosure controls and procedures were effective for the applicable period.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designing and implementing new controls and measures to remediate this material weakness as noted above. However, we cannot assure you that the measures we are taking will be sufficient to remediate the material weakness or avoid the identification of additional material weaknesses in the future. Our failure to implement and maintain effective internal control over financial reporting could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w:t>
      </w:r>
    </w:p>
    <w:p>
      <w:pPr>
        <w:spacing w:after="0" w:line="17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4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the future, we may engage in sustainability-related initiatives and voluntary disclosures or commitments, which may be costly and may not have the desired effect. We may experience increased costs in order to execute upon our sustainability goals and measure achievement of those goals, which could have a materially adverse impact on our business and financial condition.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 Moreover, our actions may subsequently be determined to be insufficient by various stakeholders, and we may be subject to investor or regulator engagement or activism. Additionally, many of our business partners and suppliers may be subject to similar reporting and stakeholder expectations, which may augment or create additional risks, including risks that may not be known to us.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 sellers of our stock may be manipulative and may drive down the market price of our common stock.</w:t>
      </w:r>
    </w:p>
    <w:p>
      <w:pPr>
        <w:spacing w:after="0" w:line="21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7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public entity, we may be the subject of concerted efforts by short sellers to spread negative information in order to gain a market advantage. In addition, the publication of misinformation may also result in further lawsuits, the uncertainty and expense of which could adversely impact our business, financial condition, and reputation. There are no assurances that we will not face further short sellers’ efforts or similar tactics in the future, and the market price of our common stock may decline as a result of their actions.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6559"/>
        <w:spacing w:after="0"/>
        <w:rPr>
          <w:sz w:val="20"/>
          <w:szCs w:val="20"/>
          <w:color w:val="auto"/>
        </w:rPr>
      </w:pPr>
      <w:r>
        <w:rPr>
          <w:rFonts w:ascii="Times New Roman" w:cs="Times New Roman" w:eastAsia="Times New Roman" w:hAnsi="Times New Roman"/>
          <w:sz w:val="17"/>
          <w:szCs w:val="17"/>
          <w:b w:val="1"/>
          <w:bCs w:val="1"/>
          <w:color w:val="auto"/>
        </w:rPr>
        <w:t>Item 4. Mine Safety Disclosure</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1340" w:right="3299" w:hanging="615"/>
        <w:spacing w:after="0" w:line="500" w:lineRule="auto"/>
        <w:tabs>
          <w:tab w:leader="none" w:pos="10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  Insider Trading Arrangements and Policies.</w:t>
      </w:r>
    </w:p>
    <w:p>
      <w:pPr>
        <w:spacing w:after="0" w:line="225" w:lineRule="exact"/>
        <w:rPr>
          <w:sz w:val="20"/>
          <w:szCs w:val="20"/>
          <w:color w:val="auto"/>
        </w:rPr>
      </w:pPr>
    </w:p>
    <w:p>
      <w:pPr>
        <w:ind w:left="1020" w:right="219" w:firstLine="324"/>
        <w:spacing w:after="0" w:line="266" w:lineRule="auto"/>
        <w:rPr>
          <w:sz w:val="20"/>
          <w:szCs w:val="20"/>
          <w:color w:val="auto"/>
        </w:rPr>
      </w:pPr>
      <w:r>
        <w:rPr>
          <w:rFonts w:ascii="Times New Roman" w:cs="Times New Roman" w:eastAsia="Times New Roman" w:hAnsi="Times New Roman"/>
          <w:sz w:val="18"/>
          <w:szCs w:val="18"/>
          <w:color w:val="auto"/>
        </w:rPr>
        <w:t>On August 8, 2024, Jospeh Shulman, the Company’s Chief Technical Officer, adopted a trading plan intended to satisfy the affirmative defense conditions of Rule 10b5-1(c) under the Exchange Act for the sale of up to 73,203 shares of the Company’s common stock until November 5, 2025.</w:t>
      </w:r>
    </w:p>
    <w:p>
      <w:pPr>
        <w:spacing w:after="0" w:line="176" w:lineRule="exact"/>
        <w:rPr>
          <w:sz w:val="20"/>
          <w:szCs w:val="20"/>
          <w:color w:val="auto"/>
        </w:rPr>
      </w:pPr>
    </w:p>
    <w:p>
      <w:pPr>
        <w:ind w:left="1020" w:right="159" w:firstLine="324"/>
        <w:spacing w:after="0" w:line="266" w:lineRule="auto"/>
        <w:rPr>
          <w:sz w:val="20"/>
          <w:szCs w:val="20"/>
          <w:color w:val="auto"/>
        </w:rPr>
      </w:pPr>
      <w:r>
        <w:rPr>
          <w:rFonts w:ascii="Times New Roman" w:cs="Times New Roman" w:eastAsia="Times New Roman" w:hAnsi="Times New Roman"/>
          <w:sz w:val="18"/>
          <w:szCs w:val="18"/>
          <w:color w:val="auto"/>
        </w:rPr>
        <w:t>On August 8, 2024, Jennifer Kayden Lee, the Company’s EVP, Head of North America, adopted a trading plan intended to satisfy the affirmative defense conditions of Rule 10b5-1(c) under the Exchange Act for the sale of up to 71,050 shares of the Company’s common stock until September 1, 2025.</w:t>
      </w:r>
    </w:p>
    <w:p>
      <w:pPr>
        <w:spacing w:after="0" w:line="176" w:lineRule="exact"/>
        <w:rPr>
          <w:sz w:val="20"/>
          <w:szCs w:val="20"/>
          <w:color w:val="auto"/>
        </w:rPr>
      </w:pPr>
    </w:p>
    <w:p>
      <w:pPr>
        <w:ind w:left="1020" w:right="159" w:firstLine="324"/>
        <w:spacing w:after="0" w:line="266"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September 30, 2024, no director or 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78"/>
        </w:trPr>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0" w:type="dxa"/>
            <w:vAlign w:val="bottom"/>
            <w:gridSpan w:val="9"/>
          </w:tcPr>
          <w:p>
            <w:pPr>
              <w:ind w:left="1320"/>
              <w:spacing w:after="0"/>
              <w:rPr>
                <w:sz w:val="20"/>
                <w:szCs w:val="20"/>
                <w:color w:val="auto"/>
              </w:rPr>
            </w:pPr>
            <w:r>
              <w:rPr>
                <w:rFonts w:ascii="Times New Roman" w:cs="Times New Roman" w:eastAsia="Times New Roman" w:hAnsi="Times New Roman"/>
                <w:sz w:val="18"/>
                <w:szCs w:val="18"/>
                <w:color w:val="auto"/>
              </w:rPr>
              <w:t>Exhibit Description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2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20" w:type="dxa"/>
            <w:vAlign w:val="bottom"/>
            <w:tcBorders>
              <w:top w:val="single" w:sz="8" w:color="auto"/>
              <w:bottom w:val="single" w:sz="8" w:color="0000EE"/>
            </w:tcBorders>
            <w:gridSpan w:val="6"/>
          </w:tcPr>
          <w:p>
            <w:pPr>
              <w:spacing w:after="0" w:line="169" w:lineRule="exact"/>
              <w:rPr>
                <w:rFonts w:ascii="Times New Roman" w:cs="Times New Roman" w:eastAsia="Times New Roman" w:hAnsi="Times New Roman"/>
                <w:sz w:val="18"/>
                <w:szCs w:val="18"/>
                <w:color w:val="0000EE"/>
                <w:w w:val="98"/>
              </w:rPr>
            </w:pPr>
            <w:hyperlink r:id="rId122">
              <w:r>
                <w:rPr>
                  <w:rFonts w:ascii="Times New Roman" w:cs="Times New Roman" w:eastAsia="Times New Roman" w:hAnsi="Times New Roman"/>
                  <w:sz w:val="18"/>
                  <w:szCs w:val="18"/>
                  <w:color w:val="0000EE"/>
                  <w:w w:val="98"/>
                </w:rPr>
                <w:t>Amended and Restated Certificate of Incorporation.</w:t>
              </w:r>
            </w:hyperlink>
          </w:p>
        </w:tc>
        <w:tc>
          <w:tcPr>
            <w:tcW w:w="380" w:type="dxa"/>
            <w:vAlign w:val="bottom"/>
            <w:tcBorders>
              <w:top w:val="single" w:sz="8" w:color="auto"/>
            </w:tcBorders>
            <w:gridSpan w:val="2"/>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240" w:type="dxa"/>
            <w:vAlign w:val="bottom"/>
          </w:tcPr>
          <w:p>
            <w:pPr>
              <w:spacing w:after="0"/>
              <w:rPr>
                <w:sz w:val="14"/>
                <w:szCs w:val="14"/>
                <w:color w:val="auto"/>
              </w:rPr>
            </w:pPr>
          </w:p>
        </w:tc>
        <w:tc>
          <w:tcPr>
            <w:tcW w:w="1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05/04/2020</w:t>
            </w:r>
          </w:p>
        </w:tc>
        <w:tc>
          <w:tcPr>
            <w:tcW w:w="22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23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Amended and Restated Bylaws.</w:t>
              </w:r>
            </w:hyperlink>
          </w:p>
        </w:tc>
        <w:tc>
          <w:tcPr>
            <w:tcW w:w="2120" w:type="dxa"/>
            <w:vAlign w:val="bottom"/>
            <w:gridSpan w:val="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12/18/2023</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9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Certificate of Designations</w:t>
              </w:r>
            </w:hyperlink>
          </w:p>
        </w:tc>
        <w:tc>
          <w:tcPr>
            <w:tcW w:w="248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04/16/2024</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24"/>
                <w:szCs w:val="24"/>
                <w:color w:val="auto"/>
              </w:rPr>
            </w:pPr>
          </w:p>
        </w:tc>
        <w:tc>
          <w:tcPr>
            <w:tcW w:w="4420" w:type="dxa"/>
            <w:vAlign w:val="bottom"/>
            <w:gridSpan w:val="10"/>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Amended and Restated Certificate of Designations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05/07/2024</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304"/>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36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as</w:t>
            </w:r>
          </w:p>
        </w:tc>
        <w:tc>
          <w:tcPr>
            <w:tcW w:w="20" w:type="dxa"/>
            <w:vAlign w:val="bottom"/>
            <w:tcBorders>
              <w:top w:val="single" w:sz="8" w:color="0000EE"/>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302 of the Sarbanes-Oxley Act of</w:t>
            </w:r>
          </w:p>
        </w:tc>
        <w:tc>
          <w:tcPr>
            <w:tcW w:w="5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2002 (18 U.S.C. 1350).</w:t>
            </w:r>
          </w:p>
        </w:tc>
        <w:tc>
          <w:tcPr>
            <w:tcW w:w="274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as</w:t>
            </w:r>
          </w:p>
        </w:tc>
        <w:tc>
          <w:tcPr>
            <w:tcW w:w="4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302 of the Sarbanes-Oxley Act of</w:t>
            </w:r>
          </w:p>
        </w:tc>
        <w:tc>
          <w:tcPr>
            <w:tcW w:w="1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(18 U.S.C. 1350).</w:t>
            </w: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as</w:t>
            </w:r>
          </w:p>
        </w:tc>
      </w:tr>
      <w:tr>
        <w:trPr>
          <w:trHeight w:val="20"/>
        </w:trPr>
        <w:tc>
          <w:tcPr>
            <w:tcW w:w="1020" w:type="dxa"/>
            <w:vAlign w:val="bottom"/>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906 of the Sarbanes-Oxley Act of</w:t>
            </w:r>
          </w:p>
        </w:tc>
        <w:tc>
          <w:tcPr>
            <w:tcW w:w="1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(18 U.S.C. 1350).</w:t>
            </w: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5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as</w:t>
            </w:r>
          </w:p>
        </w:tc>
        <w:tc>
          <w:tcPr>
            <w:tcW w:w="44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8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required by Section 906 of the Sarbanes-Oxley Act of</w:t>
            </w:r>
          </w:p>
        </w:tc>
        <w:tc>
          <w:tcPr>
            <w:tcW w:w="1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0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(18 U.S.C. 1350).</w:t>
            </w:r>
          </w:p>
        </w:tc>
      </w:tr>
      <w:tr>
        <w:trPr>
          <w:trHeight w:val="20"/>
        </w:trPr>
        <w:tc>
          <w:tcPr>
            <w:tcW w:w="10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r>
      <w:tr>
        <w:trPr>
          <w:trHeight w:val="32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r>
      <w:tr>
        <w:trPr>
          <w:trHeight w:val="216"/>
        </w:trPr>
        <w:tc>
          <w:tcPr>
            <w:tcW w:w="10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r>
      <w:tr>
        <w:trPr>
          <w:trHeight w:val="216"/>
        </w:trPr>
        <w:tc>
          <w:tcPr>
            <w:tcW w:w="1020" w:type="dxa"/>
            <w:vAlign w:val="bottom"/>
          </w:tcPr>
          <w:p>
            <w:pPr>
              <w:spacing w:after="0"/>
              <w:rPr>
                <w:sz w:val="18"/>
                <w:szCs w:val="18"/>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30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r>
      <w:tr>
        <w:trPr>
          <w:trHeight w:val="234"/>
        </w:trPr>
        <w:tc>
          <w:tcPr>
            <w:tcW w:w="1020" w:type="dxa"/>
            <w:vAlign w:val="bottom"/>
          </w:tcPr>
          <w:p>
            <w:pPr>
              <w:spacing w:after="0"/>
              <w:rPr>
                <w:sz w:val="20"/>
                <w:szCs w:val="20"/>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r>
    </w:tbl>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RHYTHM PHARMACEUTICALS, INC.</w:t>
      </w:r>
    </w:p>
    <w:p>
      <w:pPr>
        <w:spacing w:after="0" w:line="229" w:lineRule="exact"/>
        <w:rPr>
          <w:sz w:val="20"/>
          <w:szCs w:val="20"/>
          <w:color w:val="auto"/>
        </w:rPr>
      </w:pPr>
    </w:p>
    <w:p>
      <w:pPr>
        <w:ind w:left="60"/>
        <w:spacing w:after="0"/>
        <w:tabs>
          <w:tab w:leader="none" w:pos="4500" w:val="left"/>
          <w:tab w:leader="none" w:pos="490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17145</wp:posOffset>
            </wp:positionV>
            <wp:extent cx="25546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60"/>
        <w:spacing w:after="0"/>
        <w:tabs>
          <w:tab w:leader="none" w:pos="4500" w:val="left"/>
          <w:tab w:leader="none" w:pos="490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Hunter C. Smith</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-130810</wp:posOffset>
            </wp:positionV>
            <wp:extent cx="25546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David P. Meeker, certify that:</w:t>
      </w:r>
    </w:p>
    <w:p>
      <w:pPr>
        <w:spacing w:after="0" w:line="212" w:lineRule="exact"/>
        <w:rPr>
          <w:sz w:val="20"/>
          <w:szCs w:val="20"/>
          <w:color w:val="auto"/>
        </w:rPr>
      </w:pPr>
    </w:p>
    <w:p>
      <w:pPr>
        <w:ind w:left="920" w:hanging="222"/>
        <w:spacing w:after="0"/>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Rhythm Pharmaceuticals, Inc.;</w:t>
      </w:r>
    </w:p>
    <w:p>
      <w:pPr>
        <w:spacing w:after="0" w:line="225" w:lineRule="exact"/>
        <w:rPr>
          <w:rFonts w:ascii="Times New Roman" w:cs="Times New Roman" w:eastAsia="Times New Roman" w:hAnsi="Times New Roman"/>
          <w:sz w:val="18"/>
          <w:szCs w:val="18"/>
          <w:color w:val="auto"/>
        </w:rPr>
      </w:pPr>
    </w:p>
    <w:p>
      <w:pPr>
        <w:ind w:left="60" w:right="79" w:firstLine="638"/>
        <w:spacing w:after="0" w:line="266" w:lineRule="auto"/>
        <w:tabs>
          <w:tab w:leader="none" w:pos="9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99" w:firstLine="638"/>
        <w:spacing w:after="0" w:line="258" w:lineRule="auto"/>
        <w:tabs>
          <w:tab w:leader="none" w:pos="9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359" w:firstLine="638"/>
        <w:spacing w:after="0" w:line="266" w:lineRule="auto"/>
        <w:tabs>
          <w:tab w:leader="none" w:pos="9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380" w:right="199" w:firstLine="642"/>
        <w:spacing w:after="0" w:line="261" w:lineRule="auto"/>
        <w:tabs>
          <w:tab w:leader="none" w:pos="131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380" w:right="299" w:firstLine="642"/>
        <w:spacing w:after="0" w:line="255" w:lineRule="auto"/>
        <w:tabs>
          <w:tab w:leader="none" w:pos="13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379" w:firstLine="642"/>
        <w:spacing w:after="0" w:line="266" w:lineRule="auto"/>
        <w:tabs>
          <w:tab w:leader="none" w:pos="127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139" w:firstLine="642"/>
        <w:spacing w:after="0" w:line="255" w:lineRule="auto"/>
        <w:tabs>
          <w:tab w:leader="none" w:pos="13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60" w:right="99" w:firstLine="638"/>
        <w:spacing w:after="0" w:line="266" w:lineRule="auto"/>
        <w:tabs>
          <w:tab w:leader="none" w:pos="93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380" w:right="99" w:firstLine="642"/>
        <w:spacing w:after="0" w:line="266" w:lineRule="auto"/>
        <w:tabs>
          <w:tab w:leader="none" w:pos="131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80" w:right="119" w:firstLine="642"/>
        <w:spacing w:after="0" w:line="282" w:lineRule="auto"/>
        <w:tabs>
          <w:tab w:leader="none" w:pos="131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8" w:name="page109"/>
    <w:bookmarkEnd w:id="10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Hunter C. Smith, certify that:</w:t>
      </w:r>
    </w:p>
    <w:p>
      <w:pPr>
        <w:spacing w:after="0" w:line="212" w:lineRule="exact"/>
        <w:rPr>
          <w:sz w:val="20"/>
          <w:szCs w:val="20"/>
          <w:color w:val="auto"/>
        </w:rPr>
      </w:pPr>
    </w:p>
    <w:p>
      <w:pPr>
        <w:ind w:left="1080" w:hanging="223"/>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Rhythm Pharmaceuticals, Inc.;</w:t>
      </w:r>
    </w:p>
    <w:p>
      <w:pPr>
        <w:spacing w:after="0" w:line="225" w:lineRule="exact"/>
        <w:rPr>
          <w:rFonts w:ascii="Times New Roman" w:cs="Times New Roman" w:eastAsia="Times New Roman" w:hAnsi="Times New Roman"/>
          <w:sz w:val="18"/>
          <w:szCs w:val="18"/>
          <w:color w:val="auto"/>
        </w:rPr>
      </w:pPr>
    </w:p>
    <w:p>
      <w:pPr>
        <w:ind w:left="200" w:right="299" w:firstLine="657"/>
        <w:spacing w:after="0" w:line="266" w:lineRule="auto"/>
        <w:tabs>
          <w:tab w:leader="none" w:pos="10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200" w:right="239" w:firstLine="657"/>
        <w:spacing w:after="0" w:line="266" w:lineRule="auto"/>
        <w:tabs>
          <w:tab w:leader="none" w:pos="10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259" w:firstLine="657"/>
        <w:spacing w:after="0" w:line="266" w:lineRule="auto"/>
        <w:tabs>
          <w:tab w:leader="none" w:pos="10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8"/>
          <w:szCs w:val="18"/>
          <w:color w:val="auto"/>
        </w:rPr>
      </w:pPr>
    </w:p>
    <w:p>
      <w:pPr>
        <w:ind w:left="540" w:right="259" w:firstLine="641"/>
        <w:spacing w:after="0" w:line="261" w:lineRule="auto"/>
        <w:tabs>
          <w:tab w:leader="none" w:pos="14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540" w:right="259" w:firstLine="641"/>
        <w:spacing w:after="0" w:line="255" w:lineRule="auto"/>
        <w:tabs>
          <w:tab w:leader="none" w:pos="14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419" w:firstLine="641"/>
        <w:spacing w:after="0" w:line="266" w:lineRule="auto"/>
        <w:tabs>
          <w:tab w:leader="none" w:pos="14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540" w:right="499" w:firstLine="641"/>
        <w:spacing w:after="0" w:line="261" w:lineRule="auto"/>
        <w:tabs>
          <w:tab w:leader="none" w:pos="14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200" w:right="259" w:firstLine="657"/>
        <w:spacing w:after="0" w:line="258" w:lineRule="auto"/>
        <w:tabs>
          <w:tab w:leader="none" w:pos="107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540" w:right="419" w:firstLine="641"/>
        <w:spacing w:after="0" w:line="266" w:lineRule="auto"/>
        <w:tabs>
          <w:tab w:leader="none" w:pos="147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540" w:right="759" w:firstLine="641"/>
        <w:spacing w:after="0" w:line="266" w:lineRule="auto"/>
        <w:tabs>
          <w:tab w:leader="none" w:pos="148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9" w:name="page110"/>
    <w:bookmarkEnd w:id="10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 David P. Meeker, M.D., certify pursuant to 18 U.S.C. Section 1350, as adopted pursuant to Section 906 of the Sarbanes-Oxley Act of 2002, that, to the best of my knowledge, the Quarterly Report on Form 10-Q of Rhythm Pharmaceuticals, Inc. for the fiscal quarter ended September 30, 2024 (the “Report”) fully complies with the requirements of Section 13(a) or 15(d) of the Securities Exchange Act of 1934, as amended, and the information contained in the Report fairly presents, in all material respects, the financial condition and results of operations of Rhythm Pharmaceuticals, Inc.</w:t>
      </w: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David P. Meeker,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28289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Name: David P. Meeker, M.D.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523240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0" w:name="page111"/>
    <w:bookmarkEnd w:id="11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left="200" w:right="499" w:firstLine="648"/>
        <w:spacing w:after="0" w:line="253" w:lineRule="auto"/>
        <w:rPr>
          <w:sz w:val="20"/>
          <w:szCs w:val="20"/>
          <w:color w:val="auto"/>
        </w:rPr>
      </w:pPr>
      <w:r>
        <w:rPr>
          <w:rFonts w:ascii="Times New Roman" w:cs="Times New Roman" w:eastAsia="Times New Roman" w:hAnsi="Times New Roman"/>
          <w:sz w:val="18"/>
          <w:szCs w:val="18"/>
          <w:color w:val="auto"/>
        </w:rPr>
        <w:t>I, Hunter C. Smith, certify pursuant to 18 U.S.C. Section 1350, as adopted pursuant to Section 906 of the Sarbanes-Oxley Act of 2002, that, to the best of my knowledge, the Quarterly Report on Form 10-Q of Rhythm Pharmaceuticals, Inc. for the fiscal quarter ended September 30, 2024 (the “Report”) fully complies with the requirements of Section 13(a) or 15(d) of the Securities Exchange Act of 1934 and the information contained in the Report fairly presents, in all material respects, the financial condition and results of operations of Rhythm Pharmaceuticals Inc.</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Hunter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wp:posOffset>
            </wp:positionV>
            <wp:extent cx="27260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Name: Hunter C. Smith</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1)"/>
      <w:numFmt w:val="lowerLetter"/>
      <w:start w:val="4"/>
    </w:lvl>
  </w:abstractNum>
  <w:abstractNum w:abstractNumId="3">
    <w:nsid w:val="5577F8E1"/>
    <w:multiLevelType w:val="hybridMultilevel"/>
    <w:lvl w:ilvl="0">
      <w:lvlJc w:val="left"/>
      <w:lvlText w:val="(%1)"/>
      <w:numFmt w:val="lowerLetter"/>
      <w:start w:val="24"/>
    </w:lvl>
  </w:abstractNum>
  <w:abstractNum w:abstractNumId="4">
    <w:nsid w:val="440BADFC"/>
    <w:multiLevelType w:val="hybridMultilevel"/>
    <w:lvl w:ilvl="0">
      <w:lvlJc w:val="left"/>
      <w:lvlText w:val="(%1)"/>
      <w:numFmt w:val="lowerRoman"/>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lvl w:ilvl="1">
      <w:lvlJc w:val="left"/>
      <w:lvlText w:val="●"/>
      <w:numFmt w:val="bullet"/>
      <w:start w:val="1"/>
    </w:lvl>
  </w:abstractNum>
  <w:abstractNum w:abstractNumId="28">
    <w:nsid w:val="38437FDB"/>
    <w:multiLevelType w:val="hybridMultilevel"/>
    <w:lvl w:ilvl="0">
      <w:lvlJc w:val="left"/>
      <w:lvlText w:val="●"/>
      <w:numFmt w:val="bullet"/>
      <w:start w:val="1"/>
    </w:lvl>
    <w:lvl w:ilvl="1">
      <w:lvlJc w:val="left"/>
      <w:lvlText w:val="●"/>
      <w:numFmt w:val="bullet"/>
      <w:start w:val="1"/>
    </w:lvl>
  </w:abstractNum>
  <w:abstractNum w:abstractNumId="29">
    <w:nsid w:val="7644A45C"/>
    <w:multiLevelType w:val="hybridMultilevel"/>
    <w:lvl w:ilvl="0">
      <w:lvlJc w:val="left"/>
      <w:lvlText w:val="●"/>
      <w:numFmt w:val="bullet"/>
      <w:start w:val="1"/>
    </w:lvl>
    <w:lvl w:ilvl="1">
      <w:lvlJc w:val="left"/>
      <w:lvlText w:val="●"/>
      <w:numFmt w:val="bullet"/>
      <w:start w:val="1"/>
    </w:lvl>
  </w:abstractNum>
  <w:abstractNum w:abstractNumId="30">
    <w:nsid w:val="32FFF902"/>
    <w:multiLevelType w:val="hybridMultilevel"/>
    <w:lvl w:ilvl="0">
      <w:lvlJc w:val="left"/>
      <w:lvlText w:val="●"/>
      <w:numFmt w:val="bullet"/>
      <w:start w:val="1"/>
    </w:lvl>
    <w:lvl w:ilvl="1">
      <w:lvlJc w:val="left"/>
      <w:lvlText w:val="●"/>
      <w:numFmt w:val="bullet"/>
      <w:start w:val="1"/>
    </w:lvl>
  </w:abstractNum>
  <w:abstractNum w:abstractNumId="31">
    <w:nsid w:val="684A481A"/>
    <w:multiLevelType w:val="hybridMultilevel"/>
    <w:lvl w:ilvl="0">
      <w:lvlJc w:val="left"/>
      <w:lvlText w:val="●"/>
      <w:numFmt w:val="bullet"/>
      <w:start w:val="1"/>
    </w:lvl>
    <w:lvl w:ilvl="1">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22" Type="http://schemas.openxmlformats.org/officeDocument/2006/relationships/hyperlink" Target="https://www.sec.gov/Archives/edgar/data/1649904/000155837020004983/rytm-20200331ex3160e0802.htm" TargetMode="External"/><Relationship Id="rId123" Type="http://schemas.openxmlformats.org/officeDocument/2006/relationships/hyperlink" Target="https://www.sec.gov/Archives/edgar/data/1649904/000110465923126873/tm2332524d2_ex3-1.htm" TargetMode="External"/><Relationship Id="rId124" Type="http://schemas.openxmlformats.org/officeDocument/2006/relationships/hyperlink" Target="https://www.sec.gov/Archives/edgar/data/1649904/000110465924047492/tm2411919d1_ex3-1.htm" TargetMode="External"/><Relationship Id="rId125" Type="http://schemas.openxmlformats.org/officeDocument/2006/relationships/hyperlink" Target="https://www.sec.gov/Archives/edgar/data/1649904/000155837024007076/rytm-20240331xex3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2024-11-06T07:35:32Z</dcterms:created>
  <dcterms:modified xsi:type="dcterms:W3CDTF">2024-11-06T07:35:32Z</dcterms:modified>
</cp:coreProperties>
</file>