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139065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158750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780"/>
        <w:spacing w:after="0"/>
        <w:tabs>
          <w:tab w:leader="none" w:pos="57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001-38223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RHYTHM PHARMACEUTICALS,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6" w:lineRule="exact"/>
        <w:rPr>
          <w:sz w:val="24"/>
          <w:szCs w:val="24"/>
          <w:color w:val="auto"/>
        </w:rPr>
      </w:pPr>
    </w:p>
    <w:tbl>
      <w:tblPr>
        <w:tblLayout w:type="fixed"/>
        <w:tblInd w:w="1720" w:type="dxa"/>
        <w:tblCellMar>
          <w:top w:w="0" w:type="dxa"/>
          <w:left w:w="0" w:type="dxa"/>
          <w:bottom w:w="0" w:type="dxa"/>
          <w:right w:w="0" w:type="dxa"/>
        </w:tblCellMar>
      </w:tblPr>
      <w:tr>
        <w:trPr>
          <w:trHeight w:val="149"/>
        </w:trPr>
        <w:tc>
          <w:tcPr>
            <w:tcW w:w="17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500" w:type="dxa"/>
            <w:vAlign w:val="bottom"/>
          </w:tcPr>
          <w:p>
            <w:pPr>
              <w:jc w:val="center"/>
              <w:ind w:left="3478"/>
              <w:spacing w:after="0"/>
              <w:rPr>
                <w:sz w:val="20"/>
                <w:szCs w:val="20"/>
                <w:color w:val="auto"/>
              </w:rPr>
            </w:pPr>
            <w:r>
              <w:rPr>
                <w:rFonts w:ascii="Times New Roman" w:cs="Times New Roman" w:eastAsia="Times New Roman" w:hAnsi="Times New Roman"/>
                <w:sz w:val="13"/>
                <w:szCs w:val="13"/>
                <w:b w:val="1"/>
                <w:bCs w:val="1"/>
                <w:color w:val="auto"/>
                <w:w w:val="95"/>
              </w:rPr>
              <w:t>46-2159271</w:t>
            </w:r>
          </w:p>
        </w:tc>
      </w:tr>
      <w:tr>
        <w:trPr>
          <w:trHeight w:val="135"/>
        </w:trPr>
        <w:tc>
          <w:tcPr>
            <w:tcW w:w="1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4500" w:type="dxa"/>
            <w:vAlign w:val="bottom"/>
          </w:tcPr>
          <w:p>
            <w:pPr>
              <w:jc w:val="center"/>
              <w:ind w:left="349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17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500" w:type="dxa"/>
            <w:vAlign w:val="bottom"/>
          </w:tcPr>
          <w:p>
            <w:pPr>
              <w:jc w:val="center"/>
              <w:ind w:left="3498"/>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32"/>
        </w:trPr>
        <w:tc>
          <w:tcPr>
            <w:tcW w:w="1700" w:type="dxa"/>
            <w:vAlign w:val="bottom"/>
          </w:tcPr>
          <w:p>
            <w:pPr>
              <w:spacing w:after="0"/>
              <w:rPr>
                <w:sz w:val="20"/>
                <w:szCs w:val="20"/>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b w:val="1"/>
                <w:bCs w:val="1"/>
                <w:color w:val="auto"/>
                <w:w w:val="95"/>
              </w:rPr>
              <w:t>222 Berkeley Street</w:t>
            </w:r>
          </w:p>
        </w:tc>
      </w:tr>
      <w:tr>
        <w:trPr>
          <w:trHeight w:val="142"/>
        </w:trPr>
        <w:tc>
          <w:tcPr>
            <w:tcW w:w="1700" w:type="dxa"/>
            <w:vAlign w:val="bottom"/>
          </w:tcPr>
          <w:p>
            <w:pPr>
              <w:spacing w:after="0"/>
              <w:rPr>
                <w:sz w:val="12"/>
                <w:szCs w:val="12"/>
                <w:color w:val="auto"/>
              </w:rPr>
            </w:pPr>
          </w:p>
        </w:tc>
        <w:tc>
          <w:tcPr>
            <w:tcW w:w="4500" w:type="dxa"/>
            <w:vAlign w:val="bottom"/>
          </w:tcPr>
          <w:p>
            <w:pPr>
              <w:jc w:val="center"/>
              <w:ind w:right="1338"/>
              <w:spacing w:after="0" w:line="142" w:lineRule="exact"/>
              <w:rPr>
                <w:sz w:val="20"/>
                <w:szCs w:val="20"/>
                <w:color w:val="auto"/>
              </w:rPr>
            </w:pPr>
            <w:r>
              <w:rPr>
                <w:rFonts w:ascii="Times New Roman" w:cs="Times New Roman" w:eastAsia="Times New Roman" w:hAnsi="Times New Roman"/>
                <w:sz w:val="11"/>
                <w:szCs w:val="11"/>
                <w:b w:val="1"/>
                <w:bCs w:val="1"/>
                <w:color w:val="auto"/>
              </w:rPr>
              <w:t>12</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tc>
      </w:tr>
      <w:tr>
        <w:trPr>
          <w:trHeight w:val="137"/>
        </w:trPr>
        <w:tc>
          <w:tcPr>
            <w:tcW w:w="1700" w:type="dxa"/>
            <w:vAlign w:val="bottom"/>
          </w:tcPr>
          <w:p>
            <w:pPr>
              <w:spacing w:after="0"/>
              <w:rPr>
                <w:sz w:val="11"/>
                <w:szCs w:val="11"/>
                <w:color w:val="auto"/>
              </w:rPr>
            </w:pPr>
          </w:p>
        </w:tc>
        <w:tc>
          <w:tcPr>
            <w:tcW w:w="4500" w:type="dxa"/>
            <w:vAlign w:val="bottom"/>
          </w:tcPr>
          <w:p>
            <w:pPr>
              <w:jc w:val="center"/>
              <w:ind w:right="1338"/>
              <w:spacing w:after="0" w:line="137" w:lineRule="exact"/>
              <w:rPr>
                <w:sz w:val="20"/>
                <w:szCs w:val="20"/>
                <w:color w:val="auto"/>
              </w:rPr>
            </w:pPr>
            <w:r>
              <w:rPr>
                <w:rFonts w:ascii="Times New Roman" w:cs="Times New Roman" w:eastAsia="Times New Roman" w:hAnsi="Times New Roman"/>
                <w:sz w:val="13"/>
                <w:szCs w:val="13"/>
                <w:b w:val="1"/>
                <w:bCs w:val="1"/>
                <w:color w:val="auto"/>
                <w:w w:val="95"/>
              </w:rPr>
              <w:t>Boston, MA 02116</w:t>
            </w:r>
          </w:p>
        </w:tc>
      </w:tr>
      <w:tr>
        <w:trPr>
          <w:trHeight w:val="135"/>
        </w:trPr>
        <w:tc>
          <w:tcPr>
            <w:tcW w:w="1700" w:type="dxa"/>
            <w:vAlign w:val="bottom"/>
          </w:tcPr>
          <w:p>
            <w:pPr>
              <w:spacing w:after="0"/>
              <w:rPr>
                <w:sz w:val="11"/>
                <w:szCs w:val="11"/>
                <w:color w:val="auto"/>
              </w:rPr>
            </w:pPr>
          </w:p>
        </w:tc>
        <w:tc>
          <w:tcPr>
            <w:tcW w:w="4500" w:type="dxa"/>
            <w:vAlign w:val="bottom"/>
          </w:tcPr>
          <w:p>
            <w:pPr>
              <w:jc w:val="center"/>
              <w:ind w:right="1338"/>
              <w:spacing w:after="0" w:line="135"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r>
      <w:tr>
        <w:trPr>
          <w:trHeight w:val="164"/>
        </w:trPr>
        <w:tc>
          <w:tcPr>
            <w:tcW w:w="1700" w:type="dxa"/>
            <w:vAlign w:val="bottom"/>
          </w:tcPr>
          <w:p>
            <w:pPr>
              <w:spacing w:after="0"/>
              <w:rPr>
                <w:sz w:val="14"/>
                <w:szCs w:val="14"/>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27"/>
        </w:trPr>
        <w:tc>
          <w:tcPr>
            <w:tcW w:w="1700" w:type="dxa"/>
            <w:vAlign w:val="bottom"/>
          </w:tcPr>
          <w:p>
            <w:pPr>
              <w:spacing w:after="0"/>
              <w:rPr>
                <w:sz w:val="19"/>
                <w:szCs w:val="19"/>
                <w:color w:val="auto"/>
              </w:rPr>
            </w:pPr>
          </w:p>
        </w:tc>
        <w:tc>
          <w:tcPr>
            <w:tcW w:w="4500" w:type="dxa"/>
            <w:vAlign w:val="bottom"/>
          </w:tcPr>
          <w:p>
            <w:pPr>
              <w:jc w:val="center"/>
              <w:ind w:right="1338"/>
              <w:spacing w:after="0"/>
              <w:rPr>
                <w:sz w:val="20"/>
                <w:szCs w:val="20"/>
                <w:color w:val="auto"/>
              </w:rPr>
            </w:pPr>
            <w:r>
              <w:rPr>
                <w:rFonts w:ascii="Times New Roman" w:cs="Times New Roman" w:eastAsia="Times New Roman" w:hAnsi="Times New Roman"/>
                <w:sz w:val="13"/>
                <w:szCs w:val="13"/>
                <w:b w:val="1"/>
                <w:bCs w:val="1"/>
                <w:color w:val="auto"/>
                <w:w w:val="95"/>
              </w:rPr>
              <w:t>(857) 264-4280</w:t>
            </w:r>
          </w:p>
        </w:tc>
      </w:tr>
      <w:tr>
        <w:trPr>
          <w:trHeight w:val="164"/>
        </w:trPr>
        <w:tc>
          <w:tcPr>
            <w:tcW w:w="1700" w:type="dxa"/>
            <w:vAlign w:val="bottom"/>
          </w:tcPr>
          <w:p>
            <w:pPr>
              <w:spacing w:after="0"/>
              <w:rPr>
                <w:sz w:val="14"/>
                <w:szCs w:val="1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r>
    </w:tbl>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top w:val="single" w:sz="8" w:color="auto"/>
              <w:bottom w:val="single" w:sz="8" w:color="auto"/>
            </w:tcBorders>
          </w:tcPr>
          <w:p>
            <w:pPr>
              <w:spacing w:after="0"/>
              <w:rPr>
                <w:sz w:val="15"/>
                <w:szCs w:val="15"/>
                <w:color w:val="auto"/>
              </w:rPr>
            </w:pPr>
          </w:p>
        </w:tc>
        <w:tc>
          <w:tcPr>
            <w:tcW w:w="2760" w:type="dxa"/>
            <w:vAlign w:val="bottom"/>
            <w:tcBorders>
              <w:top w:val="single" w:sz="8" w:color="auto"/>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248"/>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460" w:type="dxa"/>
            <w:vAlign w:val="bottom"/>
          </w:tcPr>
          <w:p>
            <w:pPr>
              <w:spacing w:after="0"/>
              <w:rPr>
                <w:sz w:val="21"/>
                <w:szCs w:val="21"/>
                <w:color w:val="auto"/>
              </w:rPr>
            </w:pPr>
          </w:p>
        </w:tc>
        <w:tc>
          <w:tcPr>
            <w:tcW w:w="27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5"/>
              </w:rPr>
              <w:t>RYTM</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 (Nasdaq Global Market)</w:t>
            </w:r>
          </w:p>
        </w:tc>
      </w:tr>
      <w:tr>
        <w:trPr>
          <w:trHeight w:val="97"/>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88"/>
        </w:trPr>
        <w:tc>
          <w:tcPr>
            <w:tcW w:w="3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460" w:type="dxa"/>
            <w:vAlign w:val="bottom"/>
          </w:tcPr>
          <w:p>
            <w:pPr>
              <w:spacing w:after="0"/>
              <w:rPr>
                <w:sz w:val="7"/>
                <w:szCs w:val="7"/>
                <w:color w:val="auto"/>
              </w:rPr>
            </w:pP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 (d) of the Securities Exchange Act of 1934 during the preceding 12 months (or for</w:t>
      </w:r>
    </w:p>
    <w:p>
      <w:pPr>
        <w:spacing w:after="0" w:line="1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14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8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05" w:lineRule="exact"/>
        <w:rPr>
          <w:sz w:val="24"/>
          <w:szCs w:val="24"/>
          <w:color w:val="auto"/>
        </w:rPr>
      </w:pPr>
    </w:p>
    <w:p>
      <w:pPr>
        <w:ind w:left="18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2">
            <w:col w:w="6240" w:space="720"/>
            <w:col w:w="2980"/>
          </w:cols>
          <w:pgMar w:left="980" w:top="661" w:right="979" w:bottom="1440" w:gutter="0" w:footer="0" w:header="0"/>
          <w:type w:val="continuous"/>
        </w:sectPr>
      </w:pPr>
    </w:p>
    <w:p>
      <w:pPr>
        <w:ind w:left="188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2">
            <w:col w:w="5960" w:space="720"/>
            <w:col w:w="3260"/>
          </w:cols>
          <w:pgMar w:left="980" w:top="661" w:right="979" w:bottom="1440" w:gutter="0" w:footer="0" w:header="0"/>
          <w:type w:val="continuous"/>
        </w:sect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May 1, 2024 was 60,972,909.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122555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000" w:type="dxa"/>
            <w:vAlign w:val="bottom"/>
            <w:gridSpan w:val="21"/>
            <w:vMerge w:val="continue"/>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 Condensed Consolidated Financial Statements (Unaudited)</w:t>
            </w:r>
          </w:p>
        </w:tc>
        <w:tc>
          <w:tcPr>
            <w:tcW w:w="2500" w:type="dxa"/>
            <w:vAlign w:val="bottom"/>
            <w:gridSpan w:val="7"/>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w:t>
            </w:r>
          </w:p>
        </w:tc>
        <w:tc>
          <w:tcPr>
            <w:tcW w:w="1120" w:type="dxa"/>
            <w:vAlign w:val="bottom"/>
            <w:tcBorders>
              <w:top w:val="single" w:sz="8" w:color="0000EE"/>
            </w:tcBorders>
            <w:gridSpan w:val="2"/>
          </w:tcPr>
          <w:p>
            <w:pPr>
              <w:spacing w:after="0"/>
              <w:rPr>
                <w:sz w:val="24"/>
                <w:szCs w:val="24"/>
                <w:color w:val="auto"/>
              </w:rPr>
            </w:pPr>
          </w:p>
        </w:tc>
        <w:tc>
          <w:tcPr>
            <w:tcW w:w="1220" w:type="dxa"/>
            <w:vAlign w:val="bottom"/>
            <w:gridSpan w:val="2"/>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1940" w:type="dxa"/>
            <w:vAlign w:val="bottom"/>
            <w:gridSpan w:val="3"/>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400" w:type="dxa"/>
            <w:vAlign w:val="bottom"/>
            <w:gridSpan w:val="5"/>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420" w:type="dxa"/>
            <w:vAlign w:val="bottom"/>
            <w:gridSpan w:val="12"/>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720" w:type="dxa"/>
            <w:vAlign w:val="bottom"/>
            <w:gridSpan w:val="14"/>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420" w:type="dxa"/>
            <w:vAlign w:val="bottom"/>
            <w:gridSpan w:val="6"/>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w:t>
            </w:r>
          </w:p>
        </w:tc>
        <w:tc>
          <w:tcPr>
            <w:tcW w:w="600" w:type="dxa"/>
            <w:vAlign w:val="bottom"/>
            <w:tcBorders>
              <w:top w:val="single" w:sz="8" w:color="0000EE"/>
            </w:tcBorders>
          </w:tcPr>
          <w:p>
            <w:pPr>
              <w:spacing w:after="0"/>
              <w:rPr>
                <w:sz w:val="24"/>
                <w:szCs w:val="24"/>
                <w:color w:val="auto"/>
              </w:rPr>
            </w:pPr>
          </w:p>
        </w:tc>
        <w:tc>
          <w:tcPr>
            <w:tcW w:w="4440" w:type="dxa"/>
            <w:vAlign w:val="bottom"/>
            <w:gridSpan w:val="10"/>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440" w:type="dxa"/>
            <w:vAlign w:val="bottom"/>
            <w:gridSpan w:val="13"/>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6160" w:type="dxa"/>
            <w:vAlign w:val="bottom"/>
            <w:gridSpan w:val="15"/>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04"/>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6900" w:type="dxa"/>
            <w:vAlign w:val="bottom"/>
            <w:gridSpan w:val="17"/>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53,428</w:t>
            </w: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235,753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13,804</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258,651</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royalty obligation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107,368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34,598</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197,070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 and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outstanding at March 31, 2024 and December 31, 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Common stock, $0.001 par value: 120,000,000 shares authorized; 60,964,468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59,426,559 shares issued and outstanding at March 31, 2024 and December 31, 2023,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1,097,810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(1,036,108)</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61,581</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258,651</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8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60,143,558</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56,708,975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Unrealized gain (loss), net on marketable securities</w:t>
            </w:r>
          </w:p>
        </w:tc>
        <w:tc>
          <w:tcPr>
            <w:tcW w:w="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2100"/>
        <w:spacing w:after="0" w:line="429" w:lineRule="auto"/>
        <w:rPr>
          <w:sz w:val="20"/>
          <w:szCs w:val="20"/>
          <w:color w:val="auto"/>
        </w:rPr>
      </w:pPr>
      <w:r>
        <w:rPr>
          <w:rFonts w:ascii="Times New Roman" w:cs="Times New Roman" w:eastAsia="Times New Roman" w:hAnsi="Times New Roman"/>
          <w:sz w:val="18"/>
          <w:szCs w:val="18"/>
          <w:b w:val="1"/>
          <w:bCs w:val="1"/>
          <w:color w:val="auto"/>
        </w:rPr>
        <w:t>Rhythm Pharmaceuticals, Inc. Condensed Consolidated Statements of Stockholders’ Equity (in thousands, except share data) (Unaudited)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8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59,426,559</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1,064,302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(894,736)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169,759</w:t>
            </w:r>
          </w:p>
        </w:tc>
        <w:tc>
          <w:tcPr>
            <w:tcW w:w="0" w:type="dxa"/>
            <w:vAlign w:val="bottom"/>
          </w:tcPr>
          <w:p>
            <w:pPr>
              <w:spacing w:after="0"/>
              <w:rPr>
                <w:sz w:val="1"/>
                <w:szCs w:val="1"/>
                <w:color w:val="auto"/>
              </w:rPr>
            </w:pPr>
          </w:p>
        </w:tc>
      </w:tr>
      <w:tr>
        <w:trPr>
          <w:trHeight w:val="148"/>
        </w:trPr>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ESPP</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28,495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26"/>
        </w:trPr>
        <w:tc>
          <w:tcPr>
            <w:tcW w:w="35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1,077,271</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and vesting of restricted stock units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4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as consideration for LGC</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432,143</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license</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49"/>
        </w:trPr>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(141,372)</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(141,372)</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60,964,468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1,097,810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(1,036,108)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61,581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56,612,429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974,356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(710,058)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264,262</w:t>
            </w:r>
          </w:p>
        </w:tc>
        <w:tc>
          <w:tcPr>
            <w:tcW w:w="0" w:type="dxa"/>
            <w:vAlign w:val="bottom"/>
          </w:tcPr>
          <w:p>
            <w:pPr>
              <w:spacing w:after="0"/>
              <w:rPr>
                <w:sz w:val="1"/>
                <w:szCs w:val="1"/>
                <w:color w:val="auto"/>
              </w:rPr>
            </w:pPr>
          </w:p>
        </w:tc>
      </w:tr>
      <w:tr>
        <w:trPr>
          <w:trHeight w:val="148"/>
        </w:trPr>
        <w:tc>
          <w:tcPr>
            <w:tcW w:w="3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6,376</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 ESPP</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26"/>
        </w:trPr>
        <w:tc>
          <w:tcPr>
            <w:tcW w:w="35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207,806</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71"/>
        </w:trPr>
        <w:tc>
          <w:tcPr>
            <w:tcW w:w="3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stock options and vesting of restricted stock units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5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unrealized gains on short-term investments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(52,179)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(52,179)</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56,852,404</w:t>
            </w: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56</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981,950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(762,237)</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219,763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(141,372)</w:t>
            </w:r>
          </w:p>
        </w:tc>
        <w:tc>
          <w:tcPr>
            <w:tcW w:w="4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(52,179)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 and amortization of debt issuance costs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accretion &amp; amortization of short-term investments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loss on short-term investments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accretion of non-current liability</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rent expense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embedded derivative liability</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Acquired IPR&amp;D assets classified as investing activities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92,385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(40,743)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(36,433)</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92,675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IPR&amp;D assets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18,464</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deferred royalty obligation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Proceeds from issuance of common stock from ESPP</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128,005</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53,888</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109,989</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 issued in exchange for the acquisition of IPR&amp;D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33,669</w:t>
            </w:r>
          </w:p>
        </w:tc>
        <w:tc>
          <w:tcPr>
            <w:tcW w:w="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exchange for IPR&amp;D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18,716</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(setmelanotide), as a precision medicine designed to treat hyperphagia and severe obesity caused by MC4R pathway diseases. While obesity affects hundreds of millions of people worldwide, we are developing therapies for a subset of individuals who have hyperphagia, a pathological hunger that leads to abnormal food-seeking behaviors,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and Great Britain, Canada, and other countries and regions.</w:t>
      </w:r>
    </w:p>
    <w:p>
      <w:pPr>
        <w:spacing w:after="0" w:line="20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is a Delaware corporation organized in February 2013 under the name Rhythm Metabolic, Inc., and as of October 2015, under the name Rhythm Pharmaceuticals, Inc. The Company has wholly owned subsidiaries in the US, Ireland, the United Kingdom, the Netherlands, France, Germany, Italy, Spain and Canada.</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inception. As of March 31, 2024, the Company had an accumulated deficit of $1,036,108. The Company has primarily funded these losses through the proceeds from the sales of common and preferred stock,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comprising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spacing w:after="0" w:line="19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 Company had $201,199 of cash and cash equivalents and short-term investments on hand. On April 1, 2024, the Company entered into an Investment Agreement (the “Investment Agreement”) with certain affiliates of Perceptive Advisors LLC (“Perceptive”) and certain other investors (each, an “Investor” and collectively,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“Investors”), relating to the issuance and sale of 150,000 shares of a new series of the Company’s Series A Convertible Preferred Stock, par value $0.001 per share, titled the “Series A Convertible Preferred Stock” (the “Convertible Preferred Stock”), for an aggregate purchase price of $150,000, or $1,000 per share (the “Issuance”). The Issuance closed on April 15, 2024.</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that additional equity or other financings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together with the proceeds received from the sale of preferred stock in April 2024, will be sufficient to fund the Company’s operations through at least the next twelve months from the filing of this Quarterly Report on Form 10-Q with the SEC.</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2024, the condensed consolidated statements of operations and comprehensive loss for the three months ended March 31, 2024 and 2023, the condensed consolidated statements of stockholders’ equity for the three months ended March 31, 2024 and 2023 and the condensed consolidated statements of cash flows for the three months ended March 31, 2024 and 2023 and the related footnote disclosures are unaudited. In management's opinion, the unaudited condensed consolidated financial statements have been prepared on the same basis as the audited consolidated financial statements as of and for the year ended December 31, 2023 and include all adjustments, which are all normal recurring adjustments, necessary for the fair presentation of the interim financial statements. The results for the three months ended March 31, 2024 are not necessarily indicative of the results expected for the full fiscal year, any other interim periods, or any future year or period.</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March 31, 2024, there have been no material changes in the Company's significant accounting policies from those that were disclosed in the Company’s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license revenue, accruals related to research and development expenses, assumptions used to record stock-based compensation expense, interest expense on our deferred royalty obligation, and the valuation allowance on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tax assets. Estimates are periodically reviewed in light of changes in circumstances, facts and experience. Changes in estimates are recorded in the period in which they become known. Actual results could differ materially from those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Rhythm Pharmaceuticals, Inc. and its wholly-owned subsidiaries. All significant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Balances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effect on the reported results of operations or cash flows. In the condensed consolidated statements of cash flows, the Company reclassified $2,341 to non-cash accretion and amortization of short-term investments from prepaid expenses and other current assets for the three months ended March 31, 2023. The reason for the reclassification was to conform with the current year’s presentation.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one business segment, which is the development and commercialization of therapies for patients with rare diseases. A single management team that reports to the Chief Executive Officer comprehensively manages the entire business. The Company does not operate separate lines of business with respect to its product or product candidates. Accordingly, the Company has one reportable segment.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risks associated with extending credit to customers related to the sale of products. The Company does not require collateral to secure amounts due from its customers. For the three months ended March 31, 2024 and 2023, approximately 74% and 83%, respectively, of all of the Company’s revenue was generated from a single customer in the United States. As of March 31, 2024 and December 31, 2023, approximately 72% and 67%, respectively, of the Company’s accounts receivable was outstanding from a single customer in the United States.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separate third parties to perform genetic testing in the United States and Europe, respectively. The inability of the vendor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March 31, 2024 and December 31, 2023, the Company determined an allowance for doubtful accounts was not required based upon our review of contractual payments and our customers’ circumstances.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“U.S.”), which accounts for the largest portion of our total revenues, the Company sells its product to a limited number of specialty pharmacies. The product is distributed through third-party logistics,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The Company estimates obligations resulting from contractual commitments with the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entities to sell products to qualified healthcare providers and patients at prices lower than the list prices charged to our customers. The government and other entities charge us for the difference between what they pay for the product and the selling price to our customers.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government programs,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programs, Medicare and Tricare in the United States as well as certain government rebates and pricing adjustments in certain international markets that we operate. We estimate Medicaid, Medicare and Tricare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spacing w:after="0" w:line="183"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customary invoice discounts on IMCIVREE sales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our customers for prompt payment that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Our customers have limited return rights related to the product’s damage or defect.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 amount of product sales that may be returned and records the estimate as a reduction of revenue and a refund liability in the period the related product revenue is recognized. Based on the distribution model for IMCIVREE, the Company believes there will be minimal returns.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Provisions for cash discounts are recorded as reductions of accounts receivable, and fees, rebates, and other incentives are recorded as a component of accrued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F2F2F"/>
        </w:rPr>
        <w:t>LG Chem</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In January 2024, we entered into a license agreement and share issuance agreement with LG Chem, Ltd. (“LGC”). Under the terms of the license agreement, we obtained worldwide rights to develop LGC’s proprietary compound LB54640 and will assume sponsorship of two ongoing LGC Phase 2 studies designed to evaluate safety, tolerability, pharmacokinetics and weight loss efficacy of LB54640. The SIGNAL trial is a randomized, placebo-controlled, double-blind study designed to enroll and evaluate approximately 28 patients with acquired hypothalamic obesity. Participants will receive one of three doses of LB54640 by oral administration once daily for up to 52 weeks, and the primary endpoint of the study is the change from baseline in body mass index after 14 weeks of treatment. The open-label, single-arm, 16-week ROUTE trial is designed to enroll five patients with POMC or LEPR deficiency obesity.</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2F2F2F"/>
        </w:rPr>
        <w:t>We paid LGC $40.0 million in cash and issued shares of our common stock with an aggregate fair value of $18.7 million. The shares were issued at a per share price equal to the ten-day volume weighted-average closing price for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F2F2F"/>
        </w:rPr>
        <w:t>common stock, calculated as of the trading day immediately prior to January 4, 2024. We also agreed to make a $40.0 million payment in cash 18 months after the effective date of the license agreement. This payment has been recorded at its present value and reflected in other long-term liabilities on our unaudited condensed consolidated balance sheet.</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In addition, and subject to the completion of Phase 2 development of LB54640, the Company has agreed to pay LGC royalties of between low-to-mid single digit percent of net revenues from its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RareStone Group Ltd.</w:t>
      </w:r>
    </w:p>
    <w:p>
      <w:pPr>
        <w:spacing w:after="0" w:line="25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an Exclusive License Agreement with RareStone Group Ltd.,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 The arrangement includes a license and an additional performance obligation to supply product upon the request of RareStone.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 xml:space="preserve">According to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xml:space="preserve">, RareStone has agreed to seek local approvals to commercialize IMCIVREE for the treatment of obesity and hyperphagia due to biallelic POMC, PCSK1 or LEPR deficiency, as well as Bardet-Biedl and Alström syndromes. Additionally, RareStone has agreed to fund efforts to identify and enroll patients from China in the Company’s global EMANATE trial, a Phase 3, randomized, double-blind, placebo-controlled trial to evaluate setmelanotide in four independent sub-studies in patients with obesity due to a heterozygous variant of POMC/PCSK1 or LEPR; certain variants of the SRCI gene, and certain variants of the SH2B1 gene. In accordance with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RareStone made an upfront payment to Rhythm of $7,000 and issued Rhythm 1,077,586 ordinary shares. The Company is eligible to receive development and commercialization milestones of up to $62,500, as well as tiered royalty payments on annual net sales of IMCIVREE.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The Company initially estimated the fair value of the RareStone equity to be $2,440 based on a preliminary valuation during the first quarter of 2022. Upon completion of the valuation procedures during the second quarter of 2022, the Company concluded the initial fair value of the RareStone equity to be $1,040. During the third quarter of 2022, the Company estimated the fair value of the RareStone equity to be de minimis based upon the results of an updated valuation and recorded an other-than-temporary impairment of $1,040 related to the decline in fair value as a component of other expense in our consolidated statements of operations and other comprehensive loss for the year ended December 31, 2022. The other-than-temporary impairment of $1,040 included the reclassification of a $300 unrealized loss previously recorded as a component of accumulated other comprehensive income (loss) in our condensed consolidated statement of stockholders’ equity during the second quarter of 2022.</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F2F2F"/>
        </w:rPr>
        <w:t>The Company received total upfront consideration of $8,040 comprised of an upfront payment of $7,000, and the estimated fair value of the RareStone equity of $1,040. The Company determined that the RareStone License contains two performance obligations, the delivery of the license and the supply of clinical and commercial product. The Company further determined the supply of commercial product to RareStone contains a significant future discount and estimates the discount to be $1,286, which is recorded as a component of deferred revenue on the consolidated balance sheet at December 31, 2023.</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F2F2F"/>
        </w:rPr>
        <w:t xml:space="preserve">Based on a relative fair-value allocation between the license and the manufacture of clinical and commercial product, the </w:t>
      </w:r>
      <w:r>
        <w:rPr>
          <w:rFonts w:ascii="Times New Roman" w:cs="Times New Roman" w:eastAsia="Times New Roman" w:hAnsi="Times New Roman"/>
          <w:sz w:val="18"/>
          <w:szCs w:val="18"/>
          <w:color w:val="000000"/>
        </w:rPr>
        <w:t>Company recognized $6,754 of license revenue in the consolidated statements of operations and</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 xml:space="preserve">comprehensive loss during the year ended December 31, 2022. </w:t>
      </w:r>
      <w:r>
        <w:rPr>
          <w:rFonts w:ascii="Times New Roman" w:cs="Times New Roman" w:eastAsia="Times New Roman" w:hAnsi="Times New Roman"/>
          <w:sz w:val="18"/>
          <w:szCs w:val="18"/>
          <w:color w:val="2F2F2F"/>
        </w:rPr>
        <w:t>The discount related to commercial manufacturing supply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2F2F2F"/>
        </w:rPr>
        <w:t xml:space="preserve">will be deferred and recognized over the commercial supply period or upon termination of the agreement. </w:t>
      </w:r>
      <w:r>
        <w:rPr>
          <w:rFonts w:ascii="Times New Roman" w:cs="Times New Roman" w:eastAsia="Times New Roman" w:hAnsi="Times New Roman"/>
          <w:sz w:val="18"/>
          <w:szCs w:val="18"/>
          <w:color w:val="000000"/>
        </w:rPr>
        <w:t>No license</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revenue was recognized during the years ended December 31, 2023 or 2021.</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October 28, 2022, we delivered written notice, or the October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written notice to us that it objects to the claims in the Notice, including our termination of the RareStone License for cause. On March 16, 2023, we provided written notice, or the March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May 10, 2023, RareStone provided written notice to the Company reaffirming its objections to the claims in our October Notice and March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Royalty Obligation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treats the debt obligation to HealthCare Royalty Management, LLC as discussed further in Note 12, “Long-Term Obligations”,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the Company to make estimates that could impact the classification of such costs, as well as the period over which such costs will be amortized.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adjustment charges. Finally, cost of sales may also include costs related to excess or obsolete inventory adjustment charges, abnormal costs, unabsorbed manufacturing and overhead costs, and manufacturing variances.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months ended March 31, 2024 and 2023,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 Expenses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operations occurs in subsidiaries that have the U.S. dollar denominated as its functional currency. 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three months ended March 31, 2024 and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500" w:right="59" w:hanging="80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1500" w:right="59" w:hanging="80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and derivative liability at March 31, 2024 and December 31, 2023 were carried at fair value, determined according to the fair value hierarchy. See Note 6 for further discussion.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accounts payable and accrued expenses and other current liabilities approximate their fair values due to their short-term maturities at March 31, 2024 and December 31,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potential common shares that were excluded from the computation of diluted net loss per share as their effect would have been anti-dilutive for the periods indicated:</w:t>
      </w:r>
    </w:p>
    <w:p>
      <w:pPr>
        <w:spacing w:after="0" w:line="16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7,029,546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6,973,369</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1,775,146</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1,046,232</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613,191</w:t>
            </w:r>
          </w:p>
        </w:tc>
      </w:tr>
      <w:tr>
        <w:trPr>
          <w:trHeight w:val="21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Potential common shares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8,804,692</w:t>
            </w:r>
          </w:p>
        </w:tc>
        <w:tc>
          <w:tcPr>
            <w:tcW w:w="2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8,632,792</w:t>
            </w:r>
          </w:p>
        </w:tc>
      </w:tr>
      <w:tr>
        <w:trPr>
          <w:trHeight w:val="20"/>
        </w:trPr>
        <w:tc>
          <w:tcPr>
            <w:tcW w:w="6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standard requires disclosure of incremental segment information on an annual and interim basis and allows for multiple measures of a segment’s profit or loss provided that one of those measures is consistent with GAAP. The amendments in this update do not change how a public company identifies its operating segments, aggregates those operating segments, or applies the quantitative thresholds to determine its reportable segments,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but rather requires public entities to provide in interim periods all disclosures about a reporting segment’s profit or loss and assets that are currently required annually. ASU 2023-07 becomes effective for the annual period starting on January 1, 2024, and for interim periods starting on January 1, 2025. Early adoption is permitted. The Company is currently evaluating the disclosure requirements related to the new standard but does not anticipate a material impact to its net financial position.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Asset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LG Chem, Ltd.</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January 4, 2024, the Company entered into a license agreement and share issuance agreement with LG Chem, Ltd. (“LGC”). Under the terms of the license agreement, the Company obtained worldwide rights to LGC’s proprietary compound LB54640 and will assume sponsorship of two ongoing LGC Phase 2 studies designed to evaluate safety, tolerability, pharmacokinetics and weight loss efficacy of LB54640.</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includes a $40.0 million license fee payable in 18 months, whose present value at closing was $33.7 million, and $0.8 million of transaction costs which are recorded as selling, general and administrative expenses.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terms of the license agreement, we agreed to pay LGC up to $205 million in cash upon achieving various regulatory and sales milestones based on net sales of LB54640. In addition and subject to the completion of Phase 2 development of LB54640, the Company has agreed to pay LGC royalties of between low-to-mid single digit percent of net revenues from its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$92.4 million of purchase consideration as research and development expense in the three months ended March 31, 2024.</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 Chem transaction in the period in which the achievement of the underlying milestones becomes probable.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Xinvento B.V.</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27, 2023, the Company, through its wholly-owned Dutch subsidiary, Rhythm Pharmaceuticals Netherlands B.V., a Dutch private limited liability company (“Rhythm BV”), entered into a Share Purchase Agreement (the “Purchase Agreement”) with Xinvento B.V., a Dutch private limited liability company based in the Netherlands (“Xinvento”), and the other parties named therein, pursuant to which, and concurrently with the execution thereof, Rhythm BV acquired all of the issued and outstanding shares of Xinvento. The aggregate consideration at closing was approximately $5,667, inclusive of transaction costs, as adjusted pursuant to the terms of the Purchase Agreement and subject to the distribution and payment terms set forth therein (the “Closing Purchase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Closing Purchase Price, the Purchase Agreement provides for the payment of additional contingent consideration totaling up to $206,000 upon achievement of certain development, regulatory and commercial milestones by Xinvento, as follows: (i) up to an aggregate of $6,000 in clinical development milestones; (ii) up to an aggregate of $125,000 in regulatory approval and commercial milestones; and (iii) up to an aggregate of $75,000 in sales milestones in the event a second molecule is selected, developed and approved.</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total purchase consideration of $5,667 was composed of $4,520 of cash paid at closing, a $500 holdback, paid in the three months ended March 31, 2024, and $647 of acquisition-related costs. The Company determined that substantially all of the value as of acquisition date related to Xinvento’s In-Process Research and Development. As a result, the Company determined this transaction should be accounted for as an asset acquisition.</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$5,667 of purchase consideration as research and development expense in the year ended December 31, 2023.</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Xinvento transaction in the period in which the achievement of the underlying milestones becomes probable.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Xinvento's results of operations are included in the condensed consolidated financial statements from the date of acquisition. For the three months ended March 31, 2024, the net loss associated with the operations of Xinvento was de minimis in the Company’s condensed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WIP</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7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carrying amount of cash and cash equivalents and short-term investments was $201,199 and $275,846 respectively, which approximates fair value. Cash and cash equivalents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level of the fair value hierarchy utilized to determine such fair value: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2024 using:</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147,771</w:t>
            </w:r>
          </w:p>
        </w:tc>
        <w:tc>
          <w:tcPr>
            <w:tcW w:w="0" w:type="dxa"/>
            <w:vAlign w:val="bottom"/>
          </w:tcPr>
          <w:p>
            <w:pPr>
              <w:spacing w:after="0"/>
              <w:rPr>
                <w:sz w:val="1"/>
                <w:szCs w:val="1"/>
                <w:color w:val="auto"/>
              </w:rPr>
            </w:pPr>
          </w:p>
        </w:tc>
      </w:tr>
      <w:tr>
        <w:trPr>
          <w:trHeight w:val="24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147,771</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190,799</w:t>
            </w: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 2023 using:</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261,612</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derivative liability related to our Royalty Interest Financing Agreement (RIFA) with HealthCare Royalty Partners was determined using Level 3 inputs. The fair value measurement of the derivative liability is sensitive to changes in the unobservable inputs used to value the financial instrument. Changes in the inputs could result in changes to the fair value of each financial instrument.</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embedded derivative liability associated with our deferred royalty obligation, as discussed further in Note 12, “Long-Term Obligations”, is measured at fair value using an option pricing Monte Carlo simulation model and is included as a component of the deferred royalty obligation on the condensed consolidated balance sheets. The embedded derivative liability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aggregate estimated fair value of Level 3 liabilities</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recording of embedded derivative</w:t>
            </w:r>
          </w:p>
        </w:tc>
        <w:tc>
          <w:tcPr>
            <w:tcW w:w="7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aggregate estimated fair value of Level 3 liabilities</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0"/>
        </w:trPr>
        <w:tc>
          <w:tcPr>
            <w:tcW w:w="6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 within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year)</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147,742</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147,771</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147,771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 within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year)</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215,490</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Right of Use Asset and Lease Liability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a material operating lease for its head office facility and other immaterial operating leases for certain equipment. The Company’s office lease has a remaining lease term of 1.3 years. The Company measured the lease liability associated with the office lease using a discount rate of 10% at inception. The Company estimated the incremental borrowing rate for the leased asset based on a range of comparable interest rates the Company would incur to borrow an amount equal to the lease payments on a collateralized basis over a similar term in a similar economic environment. As of March 31, 2024, the Company has not entered into any lease arrangements classified as a finance lease.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corporate headquarters is located in Boston, Massachusetts. This facility houses the Company’s research, clinical, regulatory, commercial and administrative personnel. The Company’s lease agreement commenced May 2019 and has a term of six years with a five-year renewal option to extend the lease. The Company has not included the five-year renewal option to extend the lease in its measurement of the right-of-use asset or lease liability.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maturities of the Company’s operating lease liability related to office space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all of which is under a non-cancellable operating lease:</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 imputed interest</w:t>
            </w:r>
          </w:p>
        </w:tc>
        <w:tc>
          <w:tcPr>
            <w:tcW w:w="27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0"/>
        </w:trPr>
        <w:tc>
          <w:tcPr>
            <w:tcW w:w="4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Borders>
              <w:bottom w:val="single" w:sz="8" w:color="auto"/>
            </w:tcBorders>
            <w:gridSpan w:val="5"/>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Borders>
              <w:bottom w:val="single" w:sz="8" w:color="auto"/>
            </w:tcBorders>
            <w:gridSpan w:val="5"/>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 (years)</w:t>
            </w:r>
          </w:p>
        </w:tc>
        <w:tc>
          <w:tcPr>
            <w:tcW w:w="140" w:type="dxa"/>
            <w:vAlign w:val="bottom"/>
          </w:tcPr>
          <w:p>
            <w:pPr>
              <w:spacing w:after="0"/>
              <w:rPr>
                <w:sz w:val="11"/>
                <w:szCs w:val="11"/>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7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Milestones</w:t>
            </w:r>
          </w:p>
        </w:tc>
        <w:tc>
          <w:tcPr>
            <w:tcW w:w="13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   (2,185)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6,815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10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   (1,972)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finite-lived net intangible assets, which totaled $6,815 resulted from the capitalization of certain milestone payments made to Ipsen Pharma, S.A.S., or Ipsen, in accordance with the terms of the Company’s license agreement with Ipsen, in connection with the Company’s first commercial sale of IMCIVREE in the U.S. in March 2021 and in France in March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2024, amortization expense for the next five years and beyond is summarized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0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totaled $214 and $214 for the three months ended March 31, 2024 and 2023, respectively. Amortization expense is included in cost of sales in the condensed consolidated statements of operations and comprehensive loss.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provision of approximately $300 for the three months ended March 31, 2024. The income tax provision is a result of taxable income from the Company’s foreign jurisdictions. The Company did not record an income tax provision for the three months ended March 31, 2023, as it generated sufficient tax losses during the period. The Company expects to maintain a full valuation allowance against its net deferred tax assets for the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an aggregate of 15,285,096 shares of common stock was reserved for future issuance under the Company’s stock plans, including outstanding stock options, restricted stock units, and performance stock units that have been issued totaling 8,804,692 and 1,294,531 shares available for future grants under the Company’s 2017 Equity Employee Stock Purchase Plan.</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November 2, 2021, the Company entered into a Sales Agreement with Cowen and Company, LLC (“Cowen”), pursuant to which the Company may issue and sell shares of its common stock, having an aggregate offering price of up to $100.0 million, from time to time through an “at the market” equity offering program under which Cowen acts as sales agent (the “ATM Program”). Between August 10, 2023 and August 21, 2023, the Company sold approximately two million shares of its common stock in the ATM Program for net proceeds of approximately $48.9 million. The Company intends to use the net proceeds from the ATM Program to support its global commercialization efforts for IMCIVREE® (setmelanotide) and clinical development programs in hypothalamic obesity and other rare MC4R pathway diseases.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9, 2022, the Company’s board of directors adopted the Rhythm Pharmaceuticals, Inc. 2022 Employment Inducement Plan or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will continue to grant awards under the 2017 Plan pursuant to the terms thereof.</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stock options granted under the Inducement Plan will not be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the three months ended March 31, 2024, 553,889 stock option awards have been issued under the Inducement Plan. As of March 31, 2024, 281,196 restricted stock unit awards have been granted under the Inducement Plan. As of March 31, 2024, 164,915 shares of common stock are available for future grant under the Inducement Plan.</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January 4, 2024, the Company issued 432,143 shares of common stock as partial consideration for its acquisition of the worldwide rights to LGC’s proprietary compound LB54640.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Expenses paid directly to related parties for the three months ended March 31, 2024 and 2023, were $135 and $322, respectively. Outstanding payments due to related parties as of March 31, 2024 and December 31, 2023 were $5 and $1, respectively. See also Note 13, “Subsequent Events” for disclosure regarding transactions after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Long-Term Obligations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$100,000, or the Investment Amount. Under the terms of the RIFA, we received $37,500 on June 29, 2022 upon FDA approval of IMCIVREE in BBS, referred to as the Initial Investment Amount, and we received an additional $37,500 on September 29, 2022 of the Investment Amount upon EMA approval for BBS. On September 12, 2023, we received the remaining $24,370 of the Investment Amount, net of debt issuance costs, following the achievement of a specified amount of cumulative net sales of IMCIVREE between July 1, 2022 and September 30, 2023.</w:t>
      </w:r>
    </w:p>
    <w:p>
      <w:pPr>
        <w:spacing w:after="0" w:line="12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$125,000, 7.5% on annual net revenues of between $125,000 and $300,000 and 2.5% on annual net revenues exceeding $300,000.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worldwide net product sales and upfront payments, milestones, and royalties. We made repayments of $2,783 in the three months ended March 31, 2024. As of March 31, 2024 we have made cumulative payments of $10,313.</w:t>
      </w:r>
    </w:p>
    <w:p>
      <w:pPr>
        <w:spacing w:after="0" w:line="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of occurs, the Investors may accelerate payments due under the RIFA up to the Hard Cap plus any other obligations payable under the RIFA.</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repayment period commenced on July 8, 2022 for the Initial Investment Amount, and expires on the earlier of</w:t>
      </w:r>
    </w:p>
    <w:p>
      <w:pPr>
        <w:spacing w:after="0" w:line="27" w:lineRule="exact"/>
        <w:rPr>
          <w:sz w:val="20"/>
          <w:szCs w:val="20"/>
          <w:color w:val="auto"/>
        </w:rPr>
      </w:pPr>
    </w:p>
    <w:p>
      <w:pPr>
        <w:jc w:val="both"/>
        <w:ind w:left="60" w:right="59" w:hanging="10"/>
        <w:spacing w:after="0" w:line="251"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spacing w:after="0" w:line="11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“Summary of Significant Accounting Policies” to our condensed consolidated financial statements. The aggregate fair value of the embedded derivative liability was $660 and $1,150 as of March 31, 2024 and December 31, 2023, respectively. We will remeasure the embedded derivative to fair value each reporting period until the time the features lapse and/or termination of the deferred royalty obligation. For the three months ended March 31, 2024 and 2023, we recognized other income of $490 and $50, respectively, due to the remeasurement of the embedded derivative liability.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carrying value of the deferred royalty obligation as of March 31, 2024 was $107,368 based on $100,000 of proceeds, net of the fair value of the bifurcated embedded derivative liability upon execution of the RIFA, and debt issuance costs incurred. The carrying value of the deferred royalty obligation approximated fair value as of March 31, 2024 and December 31, 2023. The effective interest rate as of March 31, 2024 was 15.15%. In connection with the deferred royalty obligation, we incurred debt issuance costs totaling $3,287.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April 1, 2024, the Company entered into an Investment Agreement (the “Investment Agreement”) with certain affiliates of Perceptive Advisors LLC (“Perceptive”) and certain other investors (each, an “Investor” and collectively,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“Investors”), relating to the issuance and sale of 150,000 shares of a new series of the Company’s Series A Convertible Preferred Stock, par value $0.001 per share, titled the “Series A Convertible Preferred Stock” (the “Convertible Preferred Stock”), for an aggregate purchase price of $150,000, or $1,000 per share (the “Issuance”). The Issuance closed on April 15, 2024. Prior to the closing of the Issuance, certain of the investors and certain of their affiliated entities held over 5% of the Company’s common stock, par value $0.001 per share (the “Common Stock”).</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May 2, 2024, the Company entered into an agreement to amend the current material operating lease agreement for its head office facility located at 222 Berkeley Street in Boston, Massachusetts. Under the amendment, the current lease has been extended for five years through July 31, 2030, with $5,694 committed to future lease payments.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is party to various agreements, principally relating to licensed technology, that require future payments relating to milestones whose achievement may become probable in subsequent periods, or royalties on future sales of specified products. Additionally, the Company is party to various contracts with CROs and CMOs that generally provide for termination on notice, with the exact amounts in the event of termination to be based on the timing of the termination and the terms of the agreement.</w:t>
      </w:r>
    </w:p>
    <w:p>
      <w:pPr>
        <w:spacing w:after="0" w:line="183" w:lineRule="exact"/>
        <w:rPr>
          <w:sz w:val="20"/>
          <w:szCs w:val="20"/>
          <w:color w:val="auto"/>
        </w:rPr>
      </w:pPr>
    </w:p>
    <w:p>
      <w:pPr>
        <w:jc w:val="both"/>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Based on the Company’s current development plans as of March 31, 2024, the Company does not expect to make milestone payments due to third parties during the next 12 months from the filing of this Annual Report on Form 10-K,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 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 the promise or potential of any of our products or product candidates; the marketing and commercialization of IMCIVREE (setmelanotide), and the timing of commercialization; the design, success, cost and timing of our product development activities and clinical trials for setmelanotide and our other product candidates; our ability to obtain regulatory approval for setmelanotide in further indications, as well as for our other product candidates; our financial performance,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our expectations regarding our existing cash, operating losses, expenses and sources of future financing; 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and revenue generation; expectations surrounding our manufacturing arrangements; the potential financial impact, the ongoing integration process of Xinvento B.V.; the impact of the current economic slowdown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dedicated to transforming the lives of patients and their families living with rare neuroendocrine diseases. We are focused on advancing our melanocortin-4 recptor (MC4R) agonists, including our lead asset, IMCIVREE® (setmelanotide), as a precision medicine designed to treat hyperphagia and severe obesity caused by rare MC4R pathway diseases. While obesity affects hundreds of millions of people worldwide, we are advancing developing therapies for a subset of individuals who have hyperphagia, a pathological hunger that leads to abnormal food-seeking behaviors,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 IMCIVREE is approved by the U.S. Food and Drug Administration (FDA) for chronic weight management in adult and pediatric patients 6 years of age and older with monogenic or syndromic obesity due to: (i)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or (ii) Bardet-Biedl syndrome (BBS). The European Commission (EC) and Great Britain’s Medicines &amp; Healthcare Products Regulatory Agency (MHRA) have authorized IMCIVREE for the treatment of obesity and the control of hunger associated with genetically confirmed BBS or genetically confirmed loss-of-function biallelic POMC, including PCSK1, deficiency or biallelic LEPR deficiency in adults and children 6 years of age and above. In addition to the United States and Canada, we have achieved market access for IMCIVREE for BBS or POMC and LEPR deficiencies, or both, in 14 countries outside the United States, and we continue to collaborate with authorities to achieve access in additional markets.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to initial commercial efforts, we are advancing what we believe is the most comprehensive clinical research program ever initiated in MC4R pathway diseases, with multiple ongoing and planned clinical trials. Our MC4R pathway program is designed to expand the total number of patients who would benefit from setmelanotide therapy or our one of our new drug candidates, RM-718, which is designed to be a more selective MC4R agonist with weekly administration, or LB54640, an investigational oral small molecule MC4R agonist in Phase 2 clinical trials. With setmelanotide, we have completed enrollment in our Phase 3 trial in patients with hypothalamic obesity. Our Phase 3 EMANATE trial, comprised of four independent substudies evaluating setmelanotide in genetically caused MC4R pathway diseases, and our Phase 2 DAYBREAK trial evaluating setmelanotide in additional genetic indications, are ongoing. With RM-718, in March 2024 we initiated a Phase 1 in-human trials, including a multiple-ascending dose study in patients with hypothalamic obesity. In our recently completed Phase 3 pediatrics trial in 12 patients between the ages of 2 and younger than 6 with BBS or POMC or LEPR deficiency obesities, setmelanotide achieved the primary endpoint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a 3.04 mean reduction in BMI-Z score (a measure of body mass index deviations from what is considered normal) and 18.4 percent mean reduction in BMI. We are seeking regulatory approval in the United States and Europe to expand the label for IMCIVREE to treat patients as young as 2 years of age with these diseases based on these data.</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leveraging what we believe is the largest known DNA database focused on obesity - with almost 80,000 sequencing samples as of December 31, 2023 - to improve the understanding, diagnosis and care of people living 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biallelic POMC, PCSK1 or LEPR deficiencies, and BBS. We estimate the epidemiology for patients with hypothalamic obesity to be between 5,000 and 10,000 in the United States, based on our analysis of published literature. Our epidemiology estimates for the indications being studied in our Phase 3 EMANATE trial suggest that approximately 53,000 U.S. patients with one of these genetically driven obesities have the potential to respond well to setmelanotide. Similarly, our epidemiology estimates for patients with genetic indications who demonstrated an initial response in our Phase 2 DAYBREAK trial is approximately 65,300. We believe that all these patients face similar challenges as other patients with rare diseases, namely lack of awareness, resources, tests, tools and, especially, therapeutic options.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setmelanotide to address additional patients with acquired hypothalamic obesity. In our Phase 2 trial evaluating setmelanotide as a treatment for hypothalamic obesity, as announced in November 2022, 16 of 18 patients achieved the primary endpoint with a body mass index (BMI) decrease greater than 5 percent on setmelanotide therapy, and we observed a 14.5 mean percent reduction in BMI across all patients. Fourteen of these patients transitioned from this Phase 2 trial into our open-label, long-term extension trial and they remain on therapy, as of April 2024. Twelve of these 14 patients had achieved a 25.5% reduction in mean BMI from baseline at one year on setmelanotide therapy. We completed enrollment in the pivotal 120-patient cohort in our Phase 3 clinical trial. Patients with acquired hypothalamic obesity aged 4 years or older were randomized 2:1 to setmelanotide therapy or placebo for a total of 60 weeks, including up to eight weeks for dose titration. The primary endpoint is the percent change in BMI after approximately 52 weeks on a therapeutic regimen of setmelanotide versus placebo. Key secondary endpoints include the proportion of patients who achieve ≥5% reduction in BMI from baseline in adults (≥18) or BMI Z-score reduction of ≥0.2 from baseline in pediatrics after approximately 52 weeks on a therapeutic regimen of compared with placebo, and mean change in the weekly average of the daily most hunger score in patients ≥12 years from baseline after approximately 52 weeks on a therapeutic regimen of setmelanotide versus placebo.</w:t>
      </w:r>
    </w:p>
    <w:p>
      <w:pPr>
        <w:spacing w:after="0" w:line="19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collaboration with Camurus AB, or Camurus, we had been developing a once-weekly, long-acting formulation of setmelanotide using Camurus' FluidCrystal® technology. As announced in December 2023, we have paused development in favor of advancing RM-718. In March 2024, we communicated results from a Phase 3 switch study of weekly setmelanotide and daily setmelanotide formulations to Camurus. The results showed that pharmacokinetic data were supportive of the feasibility of a weekly formulation of setmelanotide, and data showed that the weekly setmelanotide formulation had similar efficacy and safety profile as the approved formulation for daily injection.</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recent clinical, regulatory, corporate and commercial updates include:</w:t>
      </w:r>
    </w:p>
    <w:p>
      <w:pPr>
        <w:spacing w:after="0" w:line="225"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On May 7, 2024 we announced that approximately 100 new prescriptions for IMCIVREE for Bardet-Biedl syndrome (BBS) were written by U.S. prescribers and we have received payor approval for reimbursement for approximately 70 prescriptions during the first quarter of 2024.</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May 3, 2024 we delivered one oral presentation and two posters at The Pediatric Endocrine Society’s (PES) Annual Meeting May 2-5, 2024 in Chicago, IL, which highlighted previously disclosed data that showed setmelanotide achieved clinically meaningful weight reduction in pediatric patients with hypothalamic obesity, BBS or POMC and LEPR deficiency obesities.</w:t>
      </w:r>
    </w:p>
    <w:p>
      <w:pPr>
        <w:spacing w:after="0" w:line="180"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 xml:space="preserve">On April 29, 2024 we announced the publication of results from our Phase 2 study of setmelanotide for the treatment of hypothalamic obesity in the peer-reviewed journal </w:t>
      </w:r>
      <w:r>
        <w:rPr>
          <w:rFonts w:ascii="Times New Roman" w:cs="Times New Roman" w:eastAsia="Times New Roman" w:hAnsi="Times New Roman"/>
          <w:sz w:val="17"/>
          <w:szCs w:val="17"/>
          <w:i w:val="1"/>
          <w:iCs w:val="1"/>
          <w:color w:val="auto"/>
        </w:rPr>
        <w:t>The Lancet Diabetes &amp; Endocrinology</w:t>
      </w:r>
      <w:r>
        <w:rPr>
          <w:rFonts w:ascii="Times New Roman" w:cs="Times New Roman" w:eastAsia="Times New Roman" w:hAnsi="Times New Roman"/>
          <w:sz w:val="17"/>
          <w:szCs w:val="17"/>
          <w:color w:val="auto"/>
        </w:rPr>
        <w:t>. The publication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highlighted that setmelanotide achieved a mean percent reduction in BMI of 15% from baseline (N=18) at 16 weeks of therapy, and preliminary data from Rhythm’s long-term extension study showing patients with hypothalamic obesity (n=12) achieved mean BMI reduction of approximately 26% at one year on setmelanotide treatment.</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March 25, 2024 we announced that the first patients had been dosed in our Phase 1 clinical trial of RM-718, an investigational, weekly melanocortin-4 receptor (MC4R)-specific agonist designed to be MC1R-sparing and to potentially avoid hyperpigmentation.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also expect to achieve the following near-term milestones:</w:t>
      </w:r>
    </w:p>
    <w:p>
      <w:pPr>
        <w:spacing w:after="0" w:line="27" w:lineRule="exact"/>
        <w:rPr>
          <w:sz w:val="20"/>
          <w:szCs w:val="20"/>
          <w:color w:val="auto"/>
        </w:rPr>
      </w:pPr>
    </w:p>
    <w:p>
      <w:pPr>
        <w:jc w:val="both"/>
        <w:ind w:left="1380" w:right="79" w:hanging="331"/>
        <w:spacing w:after="0" w:line="25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submission of a supplementary New Drug Application (sNDA) to the FDA seeking a label expansion to treat pediatric patients between 2 and younger than 6 years old in approved indications in the second quarter of 2024, and potentially receive EMEA approval in the fourth quarter of 2024;</w:t>
      </w:r>
    </w:p>
    <w:p>
      <w:pPr>
        <w:spacing w:after="0" w:line="18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dosing patients in the Japanese, 12-patient supplemental cohort of the Phase 3 trial evaluating setmelanotide in hypothalamic obesity in the second quarter of 2024;</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data from stage 2 of the exploratory Phase 2 DAYBREAK study evaluating setmelanotide in certain genetically-caused MC4R pathway diseases in the third quarter of 2024;</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dosing the first patients in the Phase 2 SIGNAL trial evaluating LB54640, an investigational oral small molecule MC4R agonist, in patients with hypothalamic obesity, in the third quarter of 2024. The 28-patient SIGNAL trial is a randomized, placebo-controlled, double-blind study designed to evaluate three dose levels of LB54640. The primary endpoint of the study is the change from baseline in body mass index after 14 weeks of treatment, and patients may continue on therapy for up to 52 weeks;</w:t>
      </w:r>
    </w:p>
    <w:p>
      <w:pPr>
        <w:spacing w:after="0" w:line="183"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two or more substudies in the Phase 3 EMANATE trial evaluating setmelanotide in genetically caused MC4R pathway diseases in the second half of 2024;</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Company’s Phase 1 clinical trial of RM-718, an investigational, weekly melanocortin-4 receptor (MC4R)-specific agonist, and announce data from this trial – including data from a planned cohort of patients with hypothalamic obesity - in the first half of 2024; and</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data in the Phase 3 trial evaluating setmelanotide in hypothalamic obesity in the first half of 2025.</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Up until recently, our operations have been limited primarily to conducting research and development activities for setmelanotide. To date, we have not generated sufficient cash flow from product sales and have financed our operations primarily through the proceeds received from the sales of common and preferred stock, royalty interest financing, asset sales, as well as capital contributions from the former parent company, Rhythm Holdings LLC. From August 2015 through August 2017, we raised aggregate net proceeds of $80.8 million through our issuance of series A preferred stock. Since our initial public offering, or IPO, on October 10, 2017 and our underwritten follow-on offerings through October 2022, we have raised aggregate net proceeds of approximately $791.5 million through the issuance of our common stock after deducting underwriting discounts, commissions and offering related transaction costs. We also received $100.0 million from the sale of our Rare Pediatric Disease Priority Review Voucher, or PRV, to Alexion Pharmaceuticals, Inc. in February 2021. In June 2022, we entered into the Revenue Interest Financing Agreement (“RIFA”), with entities managed by HealthCare Royalty Partners, collectively referred to as the Investors, and through December 31, 2023 have received cumulative proceeds of $96.7 million, net of certain transaction costs.</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IMCIVREE became commercially available to patients 6 years of age and older with obesity due to POMC, PCSK1 or LEPR deficiency in the U.S. in the first quarter of 2021 and patients 6 years of age and older with obesity due to BBS during June 2022. Following marketing authorizations in the EU and Great Britain, we are pursuing a country-by-country strategy to establish market access and reimbursement for IMCIVREE in several countries. During March 2022, we treated the first patients with IMCIVREE in France under the paid early access program and we treated the first patients with IMCIVREE in Germany during June 2022. We expect to continue to fund our operations through the sale of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had an accumulated deficit of $1,036.1 million. Our net loss was $141.4 million and $52.2 million for the three months ended March 31, 2024 and 2023, respectively. We expect to continue to incur significant expenses and operating losses for the foreseeable future. Our expenses may increase in connection with our ongoing activities, as we:</w:t>
      </w:r>
    </w:p>
    <w:p>
      <w:pPr>
        <w:spacing w:after="0" w:line="153"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clinical trials for setmelanotide and our other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contract manufacturing organizations, or CMOs, for the manufacture of clinical and commercial-grade setmelanotide;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setmelanotide for future indications, and for our other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and financial operations and build a marketing and commercialization infrastructure;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sales and marketing efforts necessary to support the continued commercial efforts of IMCIVREE globally;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into account the levels, timing and collection of revenue earned from sales of IMCIVREE and other products approved in the future, if any;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our existing cash and cash equivalents and short-term investments were approximately $201.2 million. On April 1, 2024, we entered into an Investment Agreement with certain investors resulting in the issuance of convertible preferred stock to the investors and proceeds to the Company of $150.0 million, as disclosed in Note 13, “Subsequent Events”, to the unaudited condensed consolidated financial statements included under Part I, Item 1 of this Quarterly Report on Form 10-Q.</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and short-term investments as of March 31, 2024, combined with the proceeds received from the April 2024 issuance of convertible preferred stock, will be sufficient to fund our operations into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Background</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a Delaware corporation organized in February 2013 under the name Rhythm Metabolic, Inc., and as of October 2015, under the name Rhythm Pharmaceuticals, Inc.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date, we have generated approximately $123.4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during March 2022 under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paid early access program. IMCIVREE was approval by the FDA and the EC in adult and pediatric patients six years of age and older with obesity due to BBS in June and September 2022, respectively. Following these approvals for BBS, we expect our sales of IMCIVREE will continue to grow as we identify and treat more patients with this disease and obtain reimbursement throughout the international markets in which we operate.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All of our inventory of IMCIVREE produced prior to FDA approval is available for commercial or clinical use. Most of the manufacturing costs have been recorded as research and development expenses in prior periods. Accordingly, the product cost component related to IMCIVREE included in cost of sales for the three months ended March 31, 2024 and 2023 was insignificant. We expect cost of sales to increase in 2024 as we continue to sell inventory that is produced after we began capitalizing manufacturing costs for IMCIVREE commercial inventory. We expect cost of sales to increase in 2023 as we continue to sell inventory that is produced after we began capitalizing manufacturing costs for IMCIVREE commercial inventory.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and genetic sequencing efforts, and the clinical development of setmelanotide, which include:</w:t>
      </w:r>
    </w:p>
    <w:p>
      <w:pPr>
        <w:spacing w:after="0" w:line="162" w:lineRule="exact"/>
        <w:rPr>
          <w:sz w:val="20"/>
          <w:szCs w:val="20"/>
          <w:color w:val="auto"/>
        </w:rPr>
      </w:pPr>
    </w:p>
    <w:p>
      <w:pPr>
        <w:jc w:val="both"/>
        <w:ind w:left="1040" w:right="79" w:hanging="315"/>
        <w:spacing w:after="0" w:line="26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and clinical study materials;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genetic sequencing of potential patients in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rent and maintenance of facilities, insurance and other operating costs;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Xinvento B.V., or Xinvento in the three months ended March 31, 2023;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LG Chem’s proprietary compound LB54640 in the three months ended March 31, 2024.</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research and development expenses:</w:t>
      </w:r>
    </w:p>
    <w:p>
      <w:pPr>
        <w:spacing w:after="0" w:line="39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Research and development summary</w:t>
            </w:r>
          </w:p>
        </w:tc>
        <w:tc>
          <w:tcPr>
            <w:tcW w:w="1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128,665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unable to predict the duration and costs of the current or future clinical trials of our product candidates. The duration, costs, and timing of clinical trials and development of setmelanotide, RM-718, LB54640, and a potential therapeutic product candidate for CHI will depend on a variety of factors, including:</w:t>
      </w:r>
    </w:p>
    <w:p>
      <w:pPr>
        <w:spacing w:after="0" w:line="176" w:lineRule="exact"/>
        <w:rPr>
          <w:sz w:val="20"/>
          <w:szCs w:val="20"/>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demonstrated by setmelanotide in future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trial design;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would significantly change the costs and timing associated with its development and potential commercialization.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selling, general and administrative expenses:</w:t>
      </w:r>
    </w:p>
    <w:p>
      <w:pPr>
        <w:spacing w:after="0" w:line="3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7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Selling, general and administrative summary</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$ 24,634</w:t>
            </w:r>
          </w:p>
        </w:tc>
      </w:tr>
      <w:tr>
        <w:trPr>
          <w:trHeight w:val="20"/>
        </w:trPr>
        <w:tc>
          <w:tcPr>
            <w:tcW w:w="7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our critical accounting policies as reported in our Annual Report on Form 10-K for the fiscal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together with the changes in those items in dollars and as a percentage: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9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14,498</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101,854</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(87,356)</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3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(437)%</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(52,179)</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(88,893)</w:t>
            </w: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(141,372)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(89,193)</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Product revenue, net increased by $14.5 million to $26.0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from $11.5 million for the three months ended March 31, 2023, an increase of 126%. We expect our sales of IMCIVREE to continue to increase following the FDA approval for the treatment of patients with BBS in the United States in June 2022 and ten other countries since then. For the three months ended March 31, 2024 and 2023, a substantial amount of our product revenue, or 74% and 83%, respectively, was generated from sales of our product to patients in the United States.</w:t>
      </w:r>
    </w:p>
    <w:p>
      <w:pPr>
        <w:spacing w:after="0" w:line="18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$1.4 million to $2.8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$1.4 million for the three months ended March 31, 2023, an increase of 98%, which was driven by a corresponding increase in revenue in the three months ended March 31, 2024. Cost of sales is composed of royalty expense due to Ipsen Pharma S.A.S., or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$1.4 million increase in cost of sales in the three months ended March 31, 2024 from the same period in 2023 was due to $0.7 million of additional royalties due to our growth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sales and $0.7 million attributed to increased product cost associated with higher sales volume. We expect cost of sales as a percentage of product revenue, net to continue to be in a range of 10% to 12% in the foreseeable future.</w:t>
      </w:r>
    </w:p>
    <w:p>
      <w:pPr>
        <w:spacing w:after="0" w:line="16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increased by $90.7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$128.7 million for the three months ended March 31, 2024 from $37.9 million for the three months ended March 31, 2023, an increase of 239%. The net increase was primarily due to the following:</w:t>
      </w:r>
    </w:p>
    <w:p>
      <w:pPr>
        <w:spacing w:after="0" w:line="175" w:lineRule="exact"/>
        <w:rPr>
          <w:sz w:val="20"/>
          <w:szCs w:val="20"/>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LG Chem’s proprietary compound LB54640 of $92.4 million in the three months ended March 31, 2024;</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$2.3 million in our clinical trial costs associated with increased activity in our Phase 3 hypothalamic obesity trial and our Phase 3 EMANATE trial, as well as clinical trial costs for the two clinical trials inherited from LGC in the three months ended March 31, 2024;</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due to increased preclinical research costs related to RM-718;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salaries, benefits and stock-based compensation related to the hiring of additional full-time employees in order to support the growth of our research and development program.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increases were partially offset by:</w:t>
      </w:r>
    </w:p>
    <w:p>
      <w:pPr>
        <w:spacing w:after="0" w:line="225" w:lineRule="exact"/>
        <w:rPr>
          <w:sz w:val="20"/>
          <w:szCs w:val="20"/>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in-process research and development assets of $5.7 million from Xinvento, BV in the three months ended March 31, 2023, which did not recur in the three months ended March 31, 2024.</w:t>
      </w:r>
    </w:p>
    <w:p>
      <w:pPr>
        <w:spacing w:after="0" w:line="16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$9.7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$34.4 million for the three months ended March 31, 2024 from $24.6 million for the three months ended March 31, 2023, an increase of 40%. The increase was primarily due to the following:</w:t>
      </w:r>
    </w:p>
    <w:p>
      <w:pPr>
        <w:spacing w:after="0" w:line="175" w:lineRule="exact"/>
        <w:rPr>
          <w:sz w:val="20"/>
          <w:szCs w:val="20"/>
          <w:color w:val="auto"/>
        </w:rPr>
      </w:pPr>
    </w:p>
    <w:p>
      <w:pPr>
        <w:jc w:val="both"/>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$5.2 million due to increased compensation and benefits related costs associated with additional headcount to support our expanding business operations as well as to establish commercial operations in international regions;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 million related to professional services costs, including legal, consulting and tax services;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related to costs associated with ongoing sales and marketing activities for IMCIVREE’s expansion in the US and international markets.</w:t>
      </w:r>
    </w:p>
    <w:p>
      <w:pPr>
        <w:spacing w:after="0" w:line="160"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decreased by $1.6 million to ($1.2)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from $0.4 million for the three months ended March 31, 2023. The decrease was primarily due to the following:</w:t>
      </w:r>
    </w:p>
    <w:p>
      <w:pPr>
        <w:spacing w:after="0" w:line="175" w:lineRule="exact"/>
        <w:rPr>
          <w:sz w:val="20"/>
          <w:szCs w:val="20"/>
          <w:color w:val="auto"/>
        </w:rPr>
      </w:pPr>
    </w:p>
    <w:p>
      <w:pPr>
        <w:ind w:left="1380" w:right="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interest income of $0.4 million earned on our short-term investments, based on lower average investment balances;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non-cash interest expense of $0.8 million related to amortization of debt discount and deferred financing fees associated with our higher deferred royalty obligation balance;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$0.9 million of non-cash interest expense in the three months ended March 31, 2024 associated with accretion of the non-current liability payable to LGC in July, 2025.</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above amounts were partially offset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82"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income from the change in fair value of our RIFA embedded derivative of $0.5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our cash and cash equivalents and short-term investments were approximately $201.2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2024 and 2023:</w:t>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5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left="43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(18,016)</w:t>
            </w:r>
          </w:p>
        </w:tc>
      </w:tr>
      <w:tr>
        <w:trPr>
          <w:trHeight w:val="20"/>
        </w:trPr>
        <w:tc>
          <w:tcPr>
            <w:tcW w:w="5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 adjusted for non-cash charges and changes in components of operating assets and liabilities.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$40.7 million for the three months ended March 31, 2024 and consisted primarily of a net loss of $141.4 million adjusted for non-cash items of $102.8 million, which consisted of non-cash stock-based compensation, depreciation and amortization, rent expense and the change in the fair value of our embedded derivative liability, totaling $10.4 million. Our net loss adjusted for non-cash items also includes $92.4 million of acquired IPR&amp;D assets, which are classified as investing activities. The change in operating assets and liabilities used net cash of approximately $2.2 million, primarily driven by net increases in prepaid expenses and other assets of $2.4 million and net decreases in accounts payable and accrued expenses of $1.3 million, offset by a net increase in long-term assets of $1.2 million and decreases in accounts receivable and inventory of $0.3 million.</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$36.4 million for the three months ended March 31, 2023 and consisted primarily of a net loss of $52.2 million adjusted for non-cash items of $15.3 million, which consisted of non-cash stock-based compensation, depreciation and amortization and rent expense, totaling $9.9 million. Our net loss also included $5.4 million of acquired IPR&amp;D assets, which are classified as investing activities. The change in operating assets and liabilities reflected a total net source of cash of approximately $0.4 million from an increase in accounts payable and accrued expenses of $5.2 million, offset by increases to accounts receivable and inventory of $4.8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$30.1 million for the three months ended March 31, 2024 and relates to gross maturities of short-term investments of $70.1 million, offset by cash used for the purchase of LGC’s proprietary compound LB54640 for $40.0 million in January 2024.</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$18.5 million for the three months ended March 31, 2023 and relates to $92.7 million of maturities of short-term investments, partially offset by $69.6 million of purchases of short-term investments, and cash used in the acquisition of Xinvento, BV of $4.5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$4.2 million for the three months ended March 31, 2024, and consisted of proceeds of $7.0 million from the exercise of stock options and the issuance of common stock from Employee Stock Purchase Plan. These proceeds were offset by $2.8 million of repayments on our deferred royalty obligation.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$0.1 million for the three months ended March 31, 2023, and consisted of $1.4 million of repayments on our deferred royalty obligation, offset by proceeds of $1.3 million from the exercise of stock options and the issuance of common stock under the Employee Stock Purchase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April 1, 2024, we entered into an Investment Agreement with certain investors resulting in the issuance of convertible preferred stock to the investors and proceeds to the Company of $150.0 million, as disclosed in Note 13, “Subsequent Events”, to the unaudited condensed consolidated financial statements included under Part I, Item 1 of this Quarterly Report on Form 10-Q. We expect that our existing cash and cash equivalents and short-term investments as of the end of March 31, 2024, combined with the proceeds received from the April 2024 issuance of convertible preferred stock, will be sufficient to fund our operations into 2026.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continue to commercialize setmelanotide, by building an internal sales force or entering into collaborations with third parties and providing support services for patients;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for our setmelanotide program as well as for RM-718 and LB54640,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setmelanotide program as well as for RM-718 and LB54640,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acquisition, integration, research and development and commercialization efforts related to the acquisition of Xinvento B.V. and any related therapeutic product candidates;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owed to Ipsen, Camurus and Takeda Pharmaceutical Company Limited, or Takeda, and LG Chem pursuant to our license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 2021, we entered into a Sales Agreement with Cowen and Company, LLC (“Cowen”), pursuant to which we may issue and sell shares of its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September 19, 2022, we completed a public offering of 4,800,000 shares of common stock at a price to the public of $26.00 per share. We received $116.9 million in net proceeds after deducting underwriting discounts, commissions and offering expenses. In addition, we granted the underwriters a 30-day option to purchase up to an additional 720,000 shares of its common stock at the price to the public, less underwriting discounts and commissions. On October 18, 2022, we completed the sale of an additional 580,000 shares of common stock at a price to the public of $26.00 per share pursuant to the partial exercise of the underwriters’ option to purchase additional shares, for aggregate net proceeds of approximately $14.2 million after deducting underwriting discounts, commissions and offering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apart from additional contractual obligations under our acquisition of Xinvento and LG Chem’s LB54640 as disclosed in Note 3, “Asset Acquisitions”, to the unaudited condensed consolidated financial statements included under Part I, Item 1 of this Quarterly Report on Form 10-Q, there were no other material changes to our principal contractual obligations and commitments as reported in our Annual Report on Form 10-K for the fiscal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there were no material changes to our quantitative and qualitative disclosures about market risks as reported in Part II, Item 7A “Quantitative and Qualitative Disclosures About Market Risks” in our Annual Report on Form 10-K for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Quarterly Report on Form 10-Q. Based on such evaluation, our principal executive officer and principal financial officer have concluded that, as of March 31, 2024, our disclosure controls and procedures were not effective at the reasonable assurance level due to the material weakness described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we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(IT application controls and IT-dependent manual controls) that are dependent on the ineffective ITGCs, or that use data produced from the system impacted by the ineffective ITGCs, were also ineffective.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material respects, our financial position, results of operations, and cash flows for the periods presented in accordance with accounting principles generally accepted in the United States of America, or U.S. GAAP.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In response to the identified material weakness above, management has taken and intends to continue to take comprehensive actions to remediate the material weakness in internal control over financial reporting.</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remediation actions include: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The weakness will not be considered remediated, however, until the applicable controls operate for a sufficient period of time and management has concluded, through testing, that these controls are operating effectively. 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known material weakness expeditiously.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March 31, 2024 (the “Quarterly Report”), including our unaudited condensed consolidated financial statements and the related notes thereto, and “Management’s Discussion and Analysis of Financial Condition and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$123.0 million of revenue from product sales. In the United States, IMCIVREE is approved for chronic weight management in adult and pediatric patients 6 years of age and older with monogenic or syndromic obesity due to POMC, PCSK1 or LEPR deficiency as determined by an FDA approved test demonstrating variants in POMC, PCSK1 or LEPR genes that are interpreted as pathogenic, likely pathogenic, or of uncertain significance, or BBS. The EC has authorized IMCIVREE for the treatment of obesity and the control of hunger associated with genetically confirmed BBS or genetically confirmed loss-of-function biallelic POMC, including PCSK1, deficiency or biallelic LEPR deficiency in adults and children 6 years of age and above. The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of uncertain significance. In total, to date we have achieved market access for IMCIVREE for BBS or POMC and LEPR deficiencies, or both, in 14 countries, and we continue to collaborate with authorities to achieve access in additional markets.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obtained any other regulatory approvals for setmelanotide. We first commercialized IMCIVREE in the U.S.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and development of setmelanotide, which is approved by the FDA and Health Canada and authorized by the EC and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net losses were $141.4 million and $52.2 million for the years ended March 31, 2024 and 2023, respectively. As of March 31, 2024, we had an accumulated deficit of $1,036 million. Substantially all of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and LB54640, an investigational oral small molecule MC4R agonist now in Phase 2 clinical trials), and with the development of any other product candidates we may choose to pursue, including a product candidate for CHI. In addition, since we have market access for IMCIVREE for BBS or POMC and LEPR deficiencies, or both, in 14 countries,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generated approximately $123.0 million of revenue from product sales. Our ability to generate revenue depends on a number of factors, including, but not limited to, our ability to:</w:t>
      </w:r>
    </w:p>
    <w:p>
      <w:pPr>
        <w:spacing w:after="0" w:line="176" w:lineRule="exact"/>
        <w:rPr>
          <w:sz w:val="20"/>
          <w:szCs w:val="20"/>
          <w:color w:val="auto"/>
        </w:rPr>
      </w:pPr>
    </w:p>
    <w:p>
      <w:pPr>
        <w:ind w:left="1040" w:right="79" w:hanging="315"/>
        <w:spacing w:after="0" w:line="29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setmelanotide by building a commercial organization and/or entering into collaborations with third parties;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IMCIVREE is available to patients;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achieve market acceptance of setmelanotide in the medical community and with third-party payors;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later-stage clinical trials for setmelanotide, RM-718, LB54640, or other product candidates that meet their clinical endpoints;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all studies required to obtain U.S. and foreign marketing approvals for setmelanotide as a treatment to address patients with deficiencies affecting the MC4R pathway; and</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setmelanotide, or RM-718 and LB54640 if approved.</w:t>
      </w:r>
    </w:p>
    <w:p>
      <w:pPr>
        <w:spacing w:after="0" w:line="16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described above, absent our entering into collaboration or partnership agreements, we have and expect to continue to incur significant sales and marketing, commercialization, and research and development costs. Additionally, as a result of the acquisition of Xinvento B.V., we also expect to devote substantial financial resources to the research and development and potential commercialization of a product candidate for CHI. We may not achieve profitability soon after generating product sales, if ever. If we are unable to generate significant product revenue, we will not become profitable and will be unable to continue operations without continued funding.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currently in the early stages of commercializing IMCIVREE for chronic weight management in patients with obesity due to BBS, POMC, PCSK1 or LEPR deficiencies in the U.S., Canada, the EU and Great Britain and advancing setmelanotide through clinical development for additional indications in the United States and for potential approvals in other countries. Developing peptide therapeutic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LB54640, and in connection with a product candidate for CHI as a result of the acquisition of Xinvento B.V.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 as well as research and development activities for setmelanotide, RM-718, LB54640, and a product candidate for CHI. We may also need to raise additional funds if we choose to pursue additional indications and/or geographies for setmelanotide or otherwise expand more rapidly than we presently anticipate.</w:t>
      </w:r>
    </w:p>
    <w:p>
      <w:pPr>
        <w:spacing w:after="0" w:line="19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From August 2015 through August 2017, we raised aggregate net proceeds of $80.8 million through our issuance of series A preferred stock. In connection with our initial public offering, or IPO, in October 2017 and our underwritten follow-on offerings through December 2023, we raised aggregate net proceeds of approximately $791.5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 million, conditioned upon our achievement of certain clinical development and sales milestones. As of March 31, 2024, we have received $96.7 million of aggregate proceeds, net of debt issuance costs, under the RIFA. We also received $150.0 million in net proceeds under an investment agreement, or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March 31, 2024, our cash and cash equivalents and short-term investments were approximately $201.2 million. We expect that our existing cash and cash equivalents and short-term investments will be sufficient to fund our operations into 2026.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LB54640, and a product candidate for CHI.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commercialize IMCIVREE and develop setmelanotide RM-718, LB54640, and a product candidate for CHI. In addition, we cannot guarantee that future financing will be available in sufficient amounts or 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June 16, 2022, we entered into the RIFA, with entities managed by HealthCare Royalty Management, collectively referred to as the Investors. Pursuant to the RIFA and subject to customary closing conditions, the Investors agreed to pay us an aggregate investment amount of up to $100.0 million, or the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Investment Amount, net of debt issuance costs, following the achievement of a specified amount of cumulative net sales of IMCIVREE between July 1, 2022 and September 30, 2023.</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March 31, 2024 we have made $10,313 of payments, including $2,783 in the three months ended March 31, 2024.</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to us, dependent on the aggregate royalty paid between 2028 and 2032. If a change of control of occurs, the Investors may accelerate payments due under the RIFA up to the Hard Cap plus any other obligations payable under the RIFA.</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RIFA could have significant negative consequences for our security holders and our business, results of operations and financial condition by, among other things:</w:t>
      </w:r>
    </w:p>
    <w:p>
      <w:pPr>
        <w:spacing w:after="0" w:line="162" w:lineRule="exact"/>
        <w:rPr>
          <w:sz w:val="20"/>
          <w:szCs w:val="20"/>
          <w:color w:val="auto"/>
        </w:rPr>
      </w:pPr>
    </w:p>
    <w:p>
      <w:pPr>
        <w:ind w:left="1040" w:hanging="315"/>
        <w:spacing w:after="0"/>
        <w:tabs>
          <w:tab w:leader="none" w:pos="1040" w:val="left"/>
        </w:tabs>
        <w:numPr>
          <w:ilvl w:val="0"/>
          <w:numId w:val="16"/>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limiting our ability to obtain additional financing or enter into IMCIVREE partnership agreements;</w:t>
      </w:r>
    </w:p>
    <w:p>
      <w:pPr>
        <w:spacing w:after="0" w:line="225" w:lineRule="exact"/>
        <w:rPr>
          <w:rFonts w:ascii="Calibri" w:cs="Calibri" w:eastAsia="Calibri" w:hAnsi="Calibri"/>
          <w:sz w:val="18"/>
          <w:szCs w:val="18"/>
          <w:color w:val="auto"/>
        </w:rPr>
      </w:pPr>
    </w:p>
    <w:p>
      <w:pPr>
        <w:ind w:left="1040" w:right="79" w:hanging="315"/>
        <w:spacing w:after="0" w:line="283" w:lineRule="auto"/>
        <w:tabs>
          <w:tab w:leader="none" w:pos="1040"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171" w:lineRule="exact"/>
        <w:rPr>
          <w:rFonts w:ascii="Calibri" w:cs="Calibri" w:eastAsia="Calibri" w:hAnsi="Calibri"/>
          <w:sz w:val="18"/>
          <w:szCs w:val="18"/>
          <w:color w:val="auto"/>
        </w:rPr>
      </w:pPr>
    </w:p>
    <w:p>
      <w:pPr>
        <w:ind w:left="1040" w:hanging="315"/>
        <w:spacing w:after="0"/>
        <w:tabs>
          <w:tab w:leader="none" w:pos="1040"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25" w:lineRule="exact"/>
        <w:rPr>
          <w:rFonts w:ascii="Calibri" w:cs="Calibri" w:eastAsia="Calibri" w:hAnsi="Calibri"/>
          <w:sz w:val="18"/>
          <w:szCs w:val="18"/>
          <w:color w:val="auto"/>
        </w:rPr>
      </w:pPr>
    </w:p>
    <w:p>
      <w:pPr>
        <w:ind w:left="1040" w:right="79" w:hanging="315"/>
        <w:spacing w:after="0" w:line="283" w:lineRule="auto"/>
        <w:tabs>
          <w:tab w:leader="none" w:pos="1040"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 and</w:t>
      </w:r>
    </w:p>
    <w:p>
      <w:pPr>
        <w:spacing w:after="0" w:line="171" w:lineRule="exact"/>
        <w:rPr>
          <w:rFonts w:ascii="Calibri" w:cs="Calibri" w:eastAsia="Calibri" w:hAnsi="Calibri"/>
          <w:sz w:val="18"/>
          <w:szCs w:val="18"/>
          <w:color w:val="auto"/>
        </w:rPr>
      </w:pPr>
    </w:p>
    <w:p>
      <w:pPr>
        <w:jc w:val="both"/>
        <w:ind w:left="1040" w:right="79" w:hanging="315"/>
        <w:spacing w:after="0" w:line="273" w:lineRule="auto"/>
        <w:tabs>
          <w:tab w:leader="none" w:pos="1040" w:val="left"/>
        </w:tabs>
        <w:numPr>
          <w:ilvl w:val="0"/>
          <w:numId w:val="17"/>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spacing w:after="0" w:line="18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additional debt (including without limitation additional amounts under the RIFA), the risks described above could increase.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Setmelanotide and Other Product Candidates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and there can be no guarantee that future trials will do so.</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and BBS, and believe we have demonstrated proof of concept in Phase 2 clinical trials in impairments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LEPR </w:t>
      </w:r>
      <w:r>
        <w:rPr>
          <w:rFonts w:ascii="Times New Roman" w:cs="Times New Roman" w:eastAsia="Times New Roman" w:hAnsi="Times New Roman"/>
          <w:sz w:val="18"/>
          <w:szCs w:val="18"/>
          <w:color w:val="auto"/>
        </w:rPr>
        <w:t>genes (HET obesity), as well as the SRC1 and SH2B1 genes, all genetic diseases of extreme and unrelenting appetite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obesity. We hypothesize that patients with other upstream genetic variants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in such populations.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actively working to advance additional genetic variants related to the MC4R pathway through our clinical development programs. Our continued development efforts are focused on obesity related to several single gene related, or monogenic, MC4R pathway impairments: BBS; obesity due to a genetic variant in one of the two alleles of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gene, or HETs; obesity due to steroid receptor coactivator 1, or SRC1, variants; obesity due to SH2B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adapter protein 1, or SH2B1; hypothalamic obesity;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will be entirely independent of the others and, if successful, is designed to support separate regulatory submissions to the FDA and EMA in each studied population. However, the FDA and EMA may not view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8"/>
          <w:szCs w:val="18"/>
          <w:color w:val="auto"/>
        </w:rPr>
        <w:t>positive results in one sub-study, even if such results are statistically significant and clinically meaningful, as being sufficient for approval for any given indication</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setbacks may be caused by new safety or efficacy observations made in clinical trials,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license agreement with LGC is important to our business. If we or LGC fail to adequately perform under the agreement, the development of LB54640 could be delayed, or if we or LGC terminate the agreement, we would lose our rights to develop and commercialize LB54640.</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January 2024, we entered into a license agreement and share issuance agreement with LGC. Pursuant to the terms of the license agreement, we obtained exclusive worldwide rights to develop LGC’s proprietary compound LB54640 and assumed sponsorship of two ongoing LGC Phase 2 studies designed to evaluate safety, tolerability, pharmacokinetics and weight loss efficacy of LB54640. In addition and subject to the completion of Phase 2 development of LB54640, we have agreed to pay LGC royalties of between low-to-mid single digit percent of net revenues from our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LB54640, and, under some circumstances, we could be subject to certain ongoing payments, penalties and fees, all of which in turn would have a material adverse effect on our business.</w:t>
      </w:r>
    </w:p>
    <w:p>
      <w:pPr>
        <w:spacing w:after="0" w:line="19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suffering from each of the MC4R pathway variants we are targeting is small and has not been established with precision. If the actual number of patients is smaller than we estimate, our revenue and ability to achieve profitability may be materially adversely affected.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March 31, 2024, our database had approximately 80,000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on multiple epidemiological methods, we have estimated the potential addressable patient populations with these MC4R pathway deficiencies based on the following sources and assumptions:</w:t>
      </w:r>
    </w:p>
    <w:p>
      <w:pPr>
        <w:spacing w:after="0" w:line="160" w:lineRule="exact"/>
        <w:rPr>
          <w:sz w:val="20"/>
          <w:szCs w:val="20"/>
          <w:color w:val="auto"/>
        </w:rPr>
      </w:pPr>
    </w:p>
    <w:p>
      <w:pPr>
        <w:jc w:val="both"/>
        <w:ind w:left="1380" w:right="79" w:hanging="331"/>
        <w:spacing w:after="0" w:line="274"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Deficiency Obesity</w:t>
      </w:r>
      <w:r>
        <w:rPr>
          <w:rFonts w:ascii="Times New Roman" w:cs="Times New Roman" w:eastAsia="Times New Roman" w:hAnsi="Times New Roman"/>
          <w:sz w:val="18"/>
          <w:szCs w:val="18"/>
          <w:color w:val="auto"/>
        </w:rPr>
        <w:t>. POMC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spacing w:after="0" w:line="183" w:lineRule="exact"/>
        <w:rPr>
          <w:rFonts w:ascii="Times New Roman" w:cs="Times New Roman" w:eastAsia="Times New Roman" w:hAnsi="Times New Roman"/>
          <w:sz w:val="18"/>
          <w:szCs w:val="18"/>
          <w:color w:val="auto"/>
        </w:rPr>
      </w:pPr>
    </w:p>
    <w:p>
      <w:pPr>
        <w:jc w:val="both"/>
        <w:ind w:left="1700" w:right="79" w:hanging="327"/>
        <w:spacing w:after="0" w:line="272" w:lineRule="auto"/>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spacing w:after="0" w:line="185"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based on discussions with experts in rare diseases, that the number of diagnosed cases could increase several-fold with increased awareness of this deficiency and the availability of new treatments;</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700" w:right="79" w:hanging="327"/>
        <w:spacing w:after="0" w:line="276"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Centers for Disease Control and Prevention, or CDC, prevalence numbers for adults with severe obesity (body mass index, or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 and</w:t>
      </w:r>
    </w:p>
    <w:p>
      <w:pPr>
        <w:spacing w:after="0" w:line="179" w:lineRule="exact"/>
        <w:rPr>
          <w:rFonts w:ascii="Times New Roman" w:cs="Times New Roman" w:eastAsia="Times New Roman" w:hAnsi="Times New Roman"/>
          <w:sz w:val="18"/>
          <w:szCs w:val="18"/>
          <w:color w:val="auto"/>
        </w:rPr>
      </w:pPr>
    </w:p>
    <w:p>
      <w:pPr>
        <w:jc w:val="both"/>
        <w:ind w:left="1700" w:right="79" w:hanging="327"/>
        <w:spacing w:after="0" w:line="277"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POMC deficiency obesity patients (including both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gene diseases), defined as patients having biallelic variants in the</w:t>
      </w:r>
      <w:r>
        <w:rPr>
          <w:rFonts w:ascii="Times New Roman" w:cs="Times New Roman" w:eastAsia="Times New Roman" w:hAnsi="Times New Roman"/>
          <w:sz w:val="18"/>
          <w:szCs w:val="18"/>
          <w:i w:val="1"/>
          <w:iCs w:val="1"/>
          <w:color w:val="auto"/>
        </w:rPr>
        <w:t xml:space="preserve"> POMC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genes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interpreted as pathogenic, likely pathogenic, or of uncertain significance, of approximately 0.05%.</w:t>
      </w:r>
    </w:p>
    <w:p>
      <w:pPr>
        <w:spacing w:after="0" w:line="178"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LEPR Deficiency Obesity</w:t>
      </w:r>
      <w:r>
        <w:rPr>
          <w:rFonts w:ascii="Times New Roman" w:cs="Times New Roman" w:eastAsia="Times New Roman" w:hAnsi="Times New Roman"/>
          <w:sz w:val="18"/>
          <w:szCs w:val="18"/>
          <w:color w:val="auto"/>
        </w:rPr>
        <w:t>. LEPR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spacing w:after="0" w:line="18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epidemiology studies on LEPR deficiency obesity in small cohorts of patients comprised of children with severe obesity and adults with severe obesity who have a history of early onset obesity;</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CDC prevalence numbers for adults with severe obesity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wider availability of genetic testing expected for LEPR deficiency obesity and increased awareness of new treatments, our belief that up to 40% of patients with these diseases may eventually be diagnosed; and</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LEPR deficiency obesity patients, defined as patients having biallelic variants in 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of approximately 0.09%.</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Bardet-Biedl Syndrome</w:t>
      </w:r>
      <w:r>
        <w:rPr>
          <w:rFonts w:ascii="Times New Roman" w:cs="Times New Roman" w:eastAsia="Times New Roman" w:hAnsi="Times New Roman"/>
          <w:sz w:val="18"/>
          <w:szCs w:val="18"/>
          <w:color w:val="auto"/>
        </w:rPr>
        <w:t>. Our addressable patient population estimate for BBS is approximately 4,000 to</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patients in the United States based on:</w:t>
      </w:r>
    </w:p>
    <w:p>
      <w:pPr>
        <w:spacing w:after="0" w:line="23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prevalence estimates of one in 100,000 in North America, which projects to approximately 3,250 people in the United States. We believe the majority of these patients are addressable patients;</w:t>
      </w:r>
    </w:p>
    <w:p>
      <w:pPr>
        <w:spacing w:after="0" w:line="177"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our patient identification efforts in Europe where we believe there are approximately 1,500 patients diagnosed and being cared for at academic centers in Europe;</w:t>
      </w:r>
    </w:p>
    <w:p>
      <w:pPr>
        <w:spacing w:after="0" w:line="16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patient identification efforts to date in the United States;</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biallelic pathogenic or likely pathogenic variants in BBS genes of approximately 0.3%;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with wider availability of genetic testing expected for BBS and increased awareness of new treatments, the number of patients diagnosed with this disorder will increase.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380" w:right="79" w:hanging="331"/>
        <w:spacing w:after="0" w:line="274"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PCSK1, or LEPR Heterozygous Obesities; SRC1 and SH2B1 Obesities</w:t>
      </w:r>
      <w:r>
        <w:rPr>
          <w:rFonts w:ascii="Times New Roman" w:cs="Times New Roman" w:eastAsia="Times New Roman" w:hAnsi="Times New Roman"/>
          <w:sz w:val="18"/>
          <w:szCs w:val="18"/>
          <w:color w:val="auto"/>
        </w:rPr>
        <w:t>. Our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spacing w:after="0" w:line="18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of patients with POMC, PCSK1, or LEPR heterozygous, SRC1 or SH2B1 variants interpreted as pathogenic, likely pathogenic, or of uncertain significance of approximately 10-15%; and</w:t>
      </w:r>
    </w:p>
    <w:p>
      <w:pPr>
        <w:spacing w:after="0" w:line="177"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response rate of 40% for patients carrying pathogenic or likely pathogenic variants, and 20% for patients carrying a variant of uncertain significance.</w:t>
      </w:r>
    </w:p>
    <w:p>
      <w:pPr>
        <w:spacing w:after="0" w:line="163"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clinical response rate used in this calculation is based on the clinical data currently available to us from our trials and may change as more data become available.</w:t>
      </w:r>
    </w:p>
    <w:p>
      <w:pPr>
        <w:spacing w:after="0" w:line="160" w:lineRule="exact"/>
        <w:rPr>
          <w:sz w:val="20"/>
          <w:szCs w:val="20"/>
          <w:color w:val="auto"/>
        </w:rPr>
      </w:pPr>
    </w:p>
    <w:p>
      <w:pPr>
        <w:ind w:left="1380" w:right="79" w:hanging="331"/>
        <w:spacing w:after="0" w:line="300"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MC4R Deficiency Obesity</w:t>
      </w:r>
      <w:r>
        <w:rPr>
          <w:rFonts w:ascii="Times New Roman" w:cs="Times New Roman" w:eastAsia="Times New Roman" w:hAnsi="Times New Roman"/>
          <w:sz w:val="18"/>
          <w:szCs w:val="18"/>
          <w:color w:val="auto"/>
        </w:rPr>
        <w:t>. Our addressable patient population estimate for MC4R-rescuable deficiency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obesity is approximately 10,000 patients in the United States. This estimate is based on:</w:t>
      </w:r>
    </w:p>
    <w:p>
      <w:pPr>
        <w:spacing w:after="0" w:line="15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ongoing biochemical screening study indicating there may be a defined subset of individuals who carry MC4R variants that may be rescued by an MC4R agonist;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MC4R deficiency obesity patients of approximately 2.0% prior to application of functional filters.</w:t>
      </w:r>
    </w:p>
    <w:p>
      <w:pPr>
        <w:spacing w:after="0" w:line="16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Hypothalamic obesity</w:t>
      </w:r>
      <w:r>
        <w:rPr>
          <w:rFonts w:ascii="Times New Roman" w:cs="Times New Roman" w:eastAsia="Times New Roman" w:hAnsi="Times New Roman"/>
          <w:sz w:val="18"/>
          <w:szCs w:val="18"/>
          <w:color w:val="auto"/>
        </w:rPr>
        <w:t>. Our addressable patient population estimate for hypothalamic obesity (HO) is</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to 10,000 patients in the United States. This estimate is based on:</w:t>
      </w:r>
    </w:p>
    <w:p>
      <w:pPr>
        <w:spacing w:after="0" w:line="23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an underlying HO etiology such as craniopharyngioma (CP), astrocytoma, or other brain tumors with CP accounting for approximately 50% of HO etiologies;</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incidence of CP of approximately 1.3 to 2.2 per million per year in the United States, which projects to approximately 600 cases of CP per year based on a United States population of approximately 329 million;</w:t>
      </w:r>
    </w:p>
    <w:p>
      <w:pPr>
        <w:spacing w:after="0" w:line="177"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(based on a published range of 6% to 91%) of CP patients develop HO;</w:t>
      </w:r>
    </w:p>
    <w:p>
      <w:pPr>
        <w:spacing w:after="0" w:line="23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estimates of overall survival (OS) after CP diagnosis, with a 20-year OS of 84%;</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for patients that develop HO due to other factors besides CP, results in an estimated HO prevalence after CP diagnosis in the United States exceeding 2,500-7,500 patients;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Company estimate is based on reported incidence of hypothalamic obesity following CP and long-term survival rates.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380" w:right="79" w:hanging="331"/>
        <w:spacing w:after="0" w:line="283"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Obesity due to a deficiency in the MC4R pathway caused by variants in the SEMA3 family, PHIP, TBX3 or PLXNA family. Our addressable patient population estimate for obesity patient with variants in these genes is approximately 63,500 patients in the United States. This estimate is based on:</w:t>
      </w:r>
    </w:p>
    <w:p>
      <w:pPr>
        <w:spacing w:after="0" w:line="174" w:lineRule="exact"/>
        <w:rPr>
          <w:rFonts w:ascii="Times New Roman" w:cs="Times New Roman" w:eastAsia="Times New Roman" w:hAnsi="Times New Roman"/>
          <w:sz w:val="18"/>
          <w:szCs w:val="18"/>
          <w:color w:val="auto"/>
        </w:rPr>
      </w:pPr>
    </w:p>
    <w:p>
      <w:pPr>
        <w:jc w:val="both"/>
        <w:ind w:left="1700" w:right="79" w:hanging="327"/>
        <w:spacing w:after="0" w:line="276" w:lineRule="auto"/>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US with early-onset obesity.</w:t>
      </w:r>
    </w:p>
    <w:p>
      <w:pPr>
        <w:spacing w:after="0" w:line="182"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additional marketing approvals could be delayed or prevented.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spacing w:after="0" w:line="194"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9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genetic markers to indicate which patients may be eligible for enrollment in our clinical trials;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planned clinical trial due to public health emergencies;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spacing w:after="0" w:line="17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setmelanotide, RM-718, and LB54640,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of setmelanotide, RM-718, or LB54640 could result in increased costs to us and could delay, prevent or limit our ability to generate revenue and continue our business.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Successful completion of our ongoing and planned clinical trials is a prerequisite to submitting an NDA or NDA supplement to the FDA, an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LB54640.</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spacing w:after="0" w:line="174" w:lineRule="exact"/>
        <w:rPr>
          <w:sz w:val="20"/>
          <w:szCs w:val="20"/>
          <w:color w:val="auto"/>
        </w:rPr>
      </w:pPr>
    </w:p>
    <w:p>
      <w:pPr>
        <w:ind w:left="1040" w:right="79" w:hanging="315"/>
        <w:spacing w:after="0" w:line="30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5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preclinical laboratory tests, animal studies and formulation studies in accordance with FDA’s good laboratory practice requirements and other applicable regulations;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deny permission to proceed with our ongoing or planned trials or any other clinical trials we may initiate, or may place a clinical trial on hold or be suspended;</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authorization to proceed under an additional investigational new drug application, or IND, or similar foreign application if required;</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FDA and other regulatory agencies on study design and obtaining regulatory authorization to commence clinical trials;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Institutional Review Board, or IRB, and/or ethics committee approval or opinion to conduct a clinical trial at a prospective site or sites;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setmelanotide, RM-718, LB54640 or other materials necessary to conduct clinical trials, including delays in the manufacturing of sufficient supply of finished drug product;</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recruiting and training suitable clinical investigators;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suitable patients to participate in clinical trials;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 related side effects experienced by patients in a clinical trial, including side effects previously identified in our completed clinical trials;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perform in accordance with the FDA’s or any other regulatory authority’s good clinical practice requirements, or GCPs, or applicable regulatory guidelines in other countries;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setmelanotide, RM-718 or LB54640 that are viewed to outweigh their potential benefits, or occurrence of adverse events in trial of the same or similar class of agents conducted by other companies;</w:t>
      </w:r>
    </w:p>
    <w:p>
      <w:pPr>
        <w:spacing w:after="0" w:line="17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 and</w:t>
      </w:r>
    </w:p>
    <w:p>
      <w:pPr>
        <w:spacing w:after="0" w:line="17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antibodies to the drug or adjuvants may result in loss of efficacy or safety events.</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spacing w:after="0" w:line="180" w:lineRule="exact"/>
        <w:rPr>
          <w:sz w:val="20"/>
          <w:szCs w:val="20"/>
          <w:color w:val="auto"/>
        </w:rPr>
      </w:pPr>
    </w:p>
    <w:p>
      <w:pPr>
        <w:ind w:left="1380" w:right="79" w:hanging="331"/>
        <w:spacing w:after="0" w:line="297"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trial protocols;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equivalent competent authorities that reveals deficiencies or violations that require us to undertake corrective action, including the imposition of a clinical hold;</w:t>
      </w:r>
    </w:p>
    <w:p>
      <w:pPr>
        <w:spacing w:after="0" w:line="17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adverse side effects or lack of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trial supply materials;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Delays in the completion of any preclinical studies or clinical trials of setmelanotide, RM-718 or LB54640 will increase our costs, slow down our product candidate development and the regulatory approval processes and delay or potentially jeopardize our ability to commence product sales and generate product revenue. In addition, many of the factors that cause, or lead to, a delay in the commencement or completion of clinical trials may also ultimately lead to the denial of a regulatory approval for setmelanotide, RM-718 or LB54640. Any delays to our preclinical studies or clinical trials that occur as a result could shorten any period during which we may have the exclusive right to commercialize setmelanotide, RM-718 or LB54640,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ongoing) will become subject to the provisions of the CTR. Compliance with the CTR requirements by us and our third-party service providers, such as CROs, may impact our developments plans.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It is currently unclear to what extent the United Kingdom (UK) will seek to align its regulations with the EU.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are aligned with the CTR. A decision by the UK not to closely align its regulations with the new approach adopted in the EU may have an effect on the cost of conducting clinical trials in the UK as opposed to other countries.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Setmelanotide, RM-718 or LB54640 may cause undesirable side effects that could delay or prevent additional regulatory approvals, limit the commercial profile of approved labeling, or result in significant negative consequences following marketing approval.</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First generation MC4R agonists were predominantly small molecules that failed in clinical trials due to significant safety issues, particularly increases in blood pressure, and had limited efficacy. Undesirable side effects caused by setmelanotide, RM-718 or LB54640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Setmelanotide, RM-718 and LB54640 are MC4R agonists. Potential side effects of MC4R agonism, which have been noted either with setmelanotide or with other MC4R agonists in clinical trials and preclinical studies, may include:</w:t>
      </w:r>
    </w:p>
    <w:p>
      <w:pPr>
        <w:spacing w:after="0" w:line="162" w:lineRule="exact"/>
        <w:rPr>
          <w:sz w:val="20"/>
          <w:szCs w:val="20"/>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cardiovascular parameters, such as increases in heart rate and blood pressure;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erections in males and similar effects in women, such as sexual arousal, clitoral swelling and hypersensitivity;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nausea and vomiting;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appetite;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on mood, depression, anxiety and other psychiatric manifestations; and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for which most investigators reported as unrelated to setmelanotide and for which no increased incidence or pattern is currently evident.</w:t>
      </w:r>
    </w:p>
    <w:p>
      <w:pPr>
        <w:spacing w:after="0" w:line="163"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In addition, injection site reactions have been seen in subcutaneous, or SC, injections with setmelanotide. Also, setmelanotide has likely off target effects on the closely related MC1 receptor, which mediates tanning in response to sun exposure. Other MC1 receptor mediated effects include darkening of skin blemishes, such as freckles and moles, and hair color change. The cosmetic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LB54640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Further, if we or others identify undesirable side effects caused by the products, or any other similar product, before or after regulatory approvals, a number of potentially significant negative consequences could result, including:</w:t>
      </w:r>
    </w:p>
    <w:p>
      <w:pPr>
        <w:spacing w:after="0" w:line="162" w:lineRule="exact"/>
        <w:rPr>
          <w:sz w:val="20"/>
          <w:szCs w:val="20"/>
          <w:color w:val="auto"/>
        </w:rPr>
      </w:pPr>
    </w:p>
    <w:p>
      <w:pPr>
        <w:ind w:left="1380" w:right="79" w:hanging="331"/>
        <w:spacing w:after="0" w:line="297"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or vary their approval of the product through labeling or other means;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or change the labeling of the product;</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studies and clinical trials or comply with other post-market requirements to assess possible serious risks;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long term safety follow-up evaluations, including setting up disease and drug based registries;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marketplace;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the product;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setmelanotide, RM-718 or LB54640, and could substantially increase the costs of commercializing setmelanotide, RM-718 or LB54640 and significantly impact our ability to successfully commercialize setmelanotide, RM-718 or LB54640 and generate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setmelanotide, RM-718 or LB54640 or to obtain or maintain exclusivity in any use. Even with exclusivity, competitors may obtain approval for different drugs that treat the same indications as setmelanotide, RM-718 and LB54640.</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leptin receptor (LEPR) deficiency in adults and children 6 years of age and above.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also been granted orphan designation for setmelanotide for the treatment of Alström syndrome in both the United States and the EU. Setmelanotide has also been granted orphan designation for setmelanotide in treating Prader-Willi syndrome and acquired hypothalamic obesity in the EU. There can be no assurance that we will be able to maintain the benefits orphan drug exclusivity, or that the FDA or the EC will grant orphan designations for setmelanotide for other uses. In addition,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PRIME designation in the EU for setmelanotide for the treatment of obesity and the control of hunger associated with deficiency disorders of the MC4R receptor pathway and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the FDA may rescind the Breakthrough Therapy designation and we may be unable to obtain Breakthrough Therapy designation for other uses. In addition, Breakthrough Therapy designation by the FDA or PRIME designation by the EMA may not lead to a faster development, regulatory review or approval process, and it does not increase the likelihood that setmelanotide will receive additional marketing approvals in the United States or additional marketing authorizations in the EU.</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 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translate the once-daily formulations of setmelanotide for methods of delivery that would be acceptable to the FDA or other equivalent competent authorities in foreign jurisdictions or commercially successful.</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Setmelanotide is currently administered by once-daily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received FDA approval of the once-daily formulation in the initial NDA submission for setmelanotide, and plan to seek approval of the once-weekly formulation at a later time. While we plan to develop the once-weekly formulation, or to develop other new and useful formulations and delivery technology for setmelanotide, we cannot estimate the probability of success, nor the resources and time needed to succeed. If we are unable to gain approval and utilize the once-weekly formulation, or to develop new formulations, setmelanotide may not achieve significant market acceptance and our business, financial condition and results of operations may be materially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will require substantial financial resources, and could delay or prevent the receipt of additional regulatory approvals for setmelanotide, or adversely affect those we have already obtained.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focused our development of setmelanotide as a treatment for obesity caused by certain genetic deficiencies affecting the MC4R pathway. To date, we have employed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that is not otherwise commercially available, then the FDA may require approval or clearance of that diagnostic, known as a companion diagnostic, at the same time as, or in connection with, the FDA approval of such product candidates.</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However, on October 14, 2021, the EC proposed a “progressive” roll-out of the IVDR to prevent disruption in the supply of in vitro diagnostic medical devices. The European Parliament and Council adopted the proposed regulation on December 15, 2021. The IVDR became applicable on May 26, 2022 but there is a tiered system extending the grace period for many devices (depending on their risk classification) before they have to be fully compliant with the regulation. For instance, class C devices (including devices that are intended to be used as companion diagnostics) have until May 26, 2026 to comply with the new requirements. In January 2024, the EC proposed an extension of the grace period which would lead, if adopted, to a transition period until December 31, 2028 for class C devices for instance.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authorities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the FDA or a comparable regulatory authority requires clearance, approval or certification of a companion diagnostic for setmelanotide, RM-718 or LB54640,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Although the FDA did not require that we obtain approval of a companion 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to accurately and reliably detect patients with variants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may benefit from setmelanotide therapy. In September 2020, our collaboration partner, Prevention Genetics, submitted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seeking FDA authorization to market such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for IMCIVREE as a Class II medical device. In January 2022, the FDA granted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classification for the POMC/PCSK1/LEPR CDx Panel for market authorization as a Class II device. If the FDA or a comparable regulatory authority requires clearance, approval or certification of a companion diagnostic when we seek additional approvals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setmelanotide, RM-718 or LB54640,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clinical trials for setmelanotide, RM-718 and LB54640. If these third parties do not successfully carry out their contractual duties or meet expected deadlines, we may not be able to obtain additional regulatory approvals for or commercialize setmelanotide, RM-718 or LB54640, and our business could be substantially harmed.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agreements with third-party CROs to operationalize, provide monitors for and to manage data for our ongoing clinical trials. We rely heavily on these parties for the execution of clinical trials and control only certain aspects of their activities. As a result, we have less direct control over the start-up,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trials and are subject to enforcement which may include civil and criminal liabilities for any violations of FDA rules and regulations and the comparable foreign regulatory provisions during the conduct of our clinical trials. Outside parties may:</w:t>
      </w:r>
    </w:p>
    <w:p>
      <w:pPr>
        <w:spacing w:after="0" w:line="192" w:lineRule="exact"/>
        <w:rPr>
          <w:sz w:val="20"/>
          <w:szCs w:val="20"/>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inadequate resources to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favorable relationships with other entities, some of which may be our competitors.</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These factors, among others, may materially adversely affect the willingness or ability of third parties to conduct our clinical trials and may subject us to unexpected cost increases that are beyond our control. Nevertheless, we are responsible for ensuring that each of our studies is conducted in accordance with the applicable protocol, legal, regulatory and scientific standards, and our reliance on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current Good Manufacturing Practices, or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such clinical trials may be extended, delayed or terminated, and we may not be able to obtain regulatory approval for, or successfully commercialize,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setmelanotide, RM-718 or LB54640. As a result, our financial results and the commercial prospects for setmelanotide, RM-718 or LB54640, would be harmed, our costs could increase and our ability to generate revenue could be delayed.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IMCIVREE and, if Approved, our Products Candidates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IMCIVREE 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foreign countries, particularly in Canada, Great Britain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products. In addition, we may face competition for IMCIVREE from lower priced products in foreign countries that have placed price controls on pharmaceutical products.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Health Technology Assessment, or HTA, of medicinal products, however, is becoming an increasingly common part of the pricing and reimbursement procedures in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varies between EU member states. In addition,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IMCIVREE, we may not be able to generate any revenue.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IMCIVREE, we must continue to build our sales, marketing,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adequate sales, marketing and distribution capabilities, whether independently or with third parties, or if we are unable to do so on commercially reasonable terms, our business, results of operations, financial condition and prospects would be materially adversely affected.</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receive regulatory approval to market setmelanotide outside of the United States, Canada, the European Union and Great Britain.</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intend to seek marketing authorizations in various countries worldwide. In order to market any product outside of the United States, Canada, the EU or Great Britain,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market acceptance for IMCIVREE, which would limit the revenue that we generate from the sale of IMCIVREE.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commercial success of IMCIVREE will also depend upon the awareness and acceptance of IMCIVREE within the medical community, including physicians, patients and third-party payors. If IMCIVREE does not achieve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 acceptance of IMCIVREE will depend on a number of factors, including, among others:</w:t>
      </w:r>
    </w:p>
    <w:p>
      <w:pPr>
        <w:spacing w:after="0" w:line="225" w:lineRule="exact"/>
        <w:rPr>
          <w:sz w:val="20"/>
          <w:szCs w:val="20"/>
          <w:color w:val="auto"/>
        </w:rPr>
      </w:pPr>
    </w:p>
    <w:p>
      <w:pPr>
        <w:jc w:val="both"/>
        <w:ind w:left="1380" w:right="79" w:hanging="331"/>
        <w:spacing w:after="0" w:line="27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spacing w:after="0" w:line="18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genetic testing, including obtaining genetic results that support patient treatment with</w:t>
      </w:r>
    </w:p>
    <w:p>
      <w:pPr>
        <w:spacing w:after="0" w:line="2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IMCIVREE;</w:t>
      </w:r>
    </w:p>
    <w:p>
      <w:pPr>
        <w:spacing w:after="0" w:line="23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SC injections as the necessary method of administration of IMCIVREE, including as compared with other treatments for patients with obesity;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IMCIVREE;</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obesity therapies already approved or expected to be commercially launched in the near future;</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these diseases among our target populations through marketing and other cross-functional efforts;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treat the maximum range of pediatric patients, and any limitations on its indications for use;</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IMCIVREE or competing products and treatments;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IMCIVREE through marketing efforts;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and</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spacing w:after="0" w:line="17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that could make IMCIVREE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spacing w:after="0" w:line="192"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 xml:space="preserve">Currently, IMCIVREE is the only approved treatment for providing chronic weight management in patients with obesity due to BBS or POMC, PCSK1 or LEPR deficiencies, and there are no approved treatments for chronic weight management in patients with deficiencies with deficiencies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LEPR </w:t>
      </w:r>
      <w:r>
        <w:rPr>
          <w:rFonts w:ascii="Times New Roman" w:cs="Times New Roman" w:eastAsia="Times New Roman" w:hAnsi="Times New Roman"/>
          <w:sz w:val="18"/>
          <w:szCs w:val="18"/>
          <w:color w:val="auto"/>
        </w:rPr>
        <w:t>genes (HET obesity), SRC1 deficiency obesity, SH2B1 deficiency obesity, MC4R deficiency obesity,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hypothalamic obesity. Bariatric surgery is not a good treatment option for these genetic diseases of obesity because the severe obesity and hyperphagia associated with these diseases are considered to be risk factors for bariatric surgery. Also, existing therapies indicated for general obesity, including glucagon-like peptide-1 (GLP-1) receptor agonists, such as Wegovy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glucose-dependent insulinotropic polypeptide (GIP) and glucagon-like peptide-1 (GLP-1) agonists, such as tirzepatide which is being investigated as a treatment for obesity, do not specifically restore function impaired by genetic deficiencies in the MC4R pathway, which we believe is the root cause of hyperphagia and obesity in patients with MC4R genetic variants. Based on search results from ClinicalTrials.gov, we are unaware of any competitive products in therapeutic clinical studies for the obesity and hyperphagia caused by upstream MC4R pathway deficiencies. New competitors may emerge which could limit our business opportunity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use of setmelanotide, RM-718, and LB54640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94" w:lineRule="exact"/>
        <w:rPr>
          <w:sz w:val="20"/>
          <w:szCs w:val="20"/>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IMCIVREE or any future product candidates following marketing approval, if obtained;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IMCIVREE or any future product candidates, if approved.</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and commercial product with a $10.0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4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and commercial drug supplies of setmelanotide, RM-718, and LB54640, and we intend to rely on third parties to produce preclinical, clinical and commercial supplies of any future product candidate.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our clinical and commercial drug supply internally for setmelanotide,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complete preappr oval inspection of the manufacturing facilities of setmelanotide, RM-718, and LB54640 could delay the regulatory approval process. In addition, our clinical trials must be conducted with products produced under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LB54640.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spacing w:after="0" w:line="197"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We currently contract with third parties for the manufacture of setmelanotide, RM-718, and LB54640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Recipharm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spacing w:after="0" w:line="18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LB54640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LB54640 or if it withdraws its approval in the future, we may need to find alternative manufacturing facilities, which would adversely impact our ability to develop, obtain regulatory approval for or market setmelanotide, RM-718, or LB54640.</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manufacturing finished drug product for use in our upcoming or ongoing clinical trials and for commercial supply. We believe we currently have a sufficient amount of finished setmelanotide, RM-718, LB54640,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LB54640, and our commercial IMCIVREE supply, which could delay, prevent or limit our ability to generate revenue and continue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do not have long term supply agreements in place with all of our contractors involved with the manufacturing of our weekly formulation of setmelanotide and RM-718, and LB54640. We currently place individual batch or campaign orders with the CMOs/suppliers that are individually contracted under existing master services and quality agreements for the weekly formulation of setmelanotide, RM-718, and LB54640.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LB54640, if approved. Our current scale of manufacturing appears adequate to support all of our current needs for clinical trial and initial commercial supplies for setmelanotide, RM-718, and LB54640, if approved. Going forward, we may need to identify additional CMOs or partners to produce setmelanotide, RM-718, and LB54640 on a larger scale.</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our election to terminate the exclusive license agreement with RareStone Group Ltd., or RareStone, the development of setmelanotide in certain indications and commercialization of IMCIVREE in certain markets could be delayed or terminated and our business could be adversely affected.</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an Exclusive License Agreement with RareStone,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RareStone License, we are dependent upon RareStone to successfully commercialize any applicable collaboration products in China, including mainland China, Hong Kong and Macao. We cannot directly control RareStone's commercialization activities or the resources it allocates to setmelanotide. Our interests and RareStone's interests may differ or conflict from time to time, or we may disagree with RareStone's level of effort or resource allocation. RareStone may internally prioritize setmelanotide differently than we do or it may not allocate sufficient resources to effectively or optimally commercialize setmelanotide.</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October 28, 2022, we delivered a written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the Company’s global EMANATE trial, among other obligations. On December 21, 2022, RareStone provided written notice to the Company that it objects to the claims in our October 28, 2022 notice, including the Company’s termination of the RareStone License for cause. On March 16, 2023, we provided written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 On May 10, 2023, RareStone provided written notice to the Company reaffirming its objections to the claims in our October 28, 2022 notice and March 16, 2023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negotiate an appropriate cure to the alleged material breaches, which we believe are incurable, and, if required, we expect to seek appropriate relief under the terms of the RareStone License. Termination of, or any possible litigation focused on, the RareStone License could cause significant delays in our product development and commercialization efforts for setmelanotide and could prevent us from commercializing IMCIVREE in the markets covered by the RareStone License without first expanding our internal capabilities or entering into another agreement with a third party. Any alternative collaboration or license could also be on less favorable terms to us. In addition, under the agreement, RareStone agreed to provide funding for certain clinical development activities. To date, no such funding has been provided. If the agreement were terminated, however, we may need to refund any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potential payments and seek additional funding to support the research and development of setmelanotide or discontinue any research and development activities for setmelanotide in China, including mainland China, Hong Kong and Macao, which could have a material adverse effect on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that are sufficient to protect setmelanotide, RM-718, and LB54640, others could compete against us more directly, which would have a material adverse impact on our business, results of operations, financial condition and prospects.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any of our patents have, or that any of our pending patent applications that mature into issued patents will include, claims with a scope sufficient to protect setmelanotide, RM-718, and LB54640.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are invalidated or found unenforceable, our financial position and results of operations would be materially and adversely impacted. In addition, if a court found that valid, enforceable patents held by third parties covered setmelanotide, our financial position and results of operations would also be materially and adversely impacted.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setmelanotide;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IMCIVREE or our other product candidates before our relevant patents expire;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3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6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IMCIVREE or our other product candidates.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 U.S. patents and pending applications exist that cover melanocortin receptor analogs and methods of using these analogs.</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setmelanotide or the use of our technologies infringes patent claims or other intellectual property rights held by them or that we are employing their proprietary technology without authorization.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 consuming: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development of setmelanotide and commercialization of IMCIVREE or our other product candidates;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rename setmelanotide and/or its trade name IMCIVREE.</w:t>
      </w:r>
    </w:p>
    <w:p>
      <w:pPr>
        <w:spacing w:after="0" w:line="23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setmelanotide or our other product candidates could be found invalid or unenforceable if challenged in court.</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threatened or initiated legal proceedings against a third party to enforce a patent covering setmelanotide, the defendant could claim that the patent covering setmelanotide or our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for example, opposition proceedings. Such proceedings could result in revocation or amendment of our patents in such a way that they no longer cover setmelanotide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Such a loss of patent protection would have a material adverse impact on our business.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setmelanotide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2017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world may be inadequate to obtain a significant commercial advantage from the intellectual property that we develop or license.</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If we were to lose our rights to licensed intellectual property, we may not be able to continue developing or commercializing setmelanotide or LB54640.</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licensed our rights to setmelanotide from Ipsen Pharma SAS, or Ipsen, and our rights to LB54640 from LG Chem, Ltd, or LG Chem. Our licenses with Ipsen and LG Chem impose various obligations on us, and provides Ipsen and LG Chem the right to terminate the license in the event of our material breach of the license agreement, our failure to initiate or complete certain development of a licensed product, or our commencement of an action seeking to have an Ipsen or LG Chem licensed patent right declared invalid. Termination of our license from Ipsen or LG Chem would result in our loss of the right to use the licensed intellectual property, which would materially adversely affect our ability to develop and commercialize setmelanotide and LB54640, respectively, as well as harm our competitive business position and our business prospects. Furthermore, if our license agreement with LG Chem were terminated, we may be subject to certain refunds or be subject to certain payments to LG Chem.</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enter into additional licenses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termination could result in our loss of the right to use the licensed intellectual property, which could materially adversely affect our ability to develop and commercialize setmelanotide or LB54640, as well as harm our competitive business position and our business prospects.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registered trademarks for the commercial trade name IMCIVREE (setmelanotide) in the United States, the EU, and other countries, we have not yet obtained trademark protection for IMCIVREE in certain foreign jurisdictions and failure to secure such registrations could adversely affect our business.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for setmelanotide and our other product candidates, one or more of the U.S. patents we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and we have applied to the U.S. PTO for patent term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extension. However, we may not be granted an extension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has enacted and is currently implementing the America Invents Act of 2011, wide 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which would materially adversely affect our commercial development efforts.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Setmelanotide and Other Legal Compliance Matters</w:t>
      </w:r>
    </w:p>
    <w:p>
      <w:pPr>
        <w:spacing w:after="0" w:line="225"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and our ability to generate revenue will be materially impaired.</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business depends largely on its successful clinical development, regulatory approval and commercialization of our product candidates. In the United States, IMCIVREE is approved for chronic weight management in adult and pediatric patients 6 years of age and older with monogenic or syndromic obesity due to POMC, PCSK1 or LEPR deficiency as determined by a FDA-approved test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or BBS.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Setmelanotide will require substantial additional clinical development, testing and regulatory approval before we are permitted to commence commercialization in indications beyond those currently approved for IMCIVREE in the United States, the EU and Great Britain,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obtaining FDA or EC is a complex, lengthy, expensive and uncertain process, and the FDA, EMA or equivalent competent authorities in foreign jurisdictions may delay, limit or deny approval of our product candidates for many reasons, including, among others:</w:t>
      </w:r>
    </w:p>
    <w:p>
      <w:pPr>
        <w:spacing w:after="0" w:line="176" w:lineRule="exact"/>
        <w:rPr>
          <w:sz w:val="20"/>
          <w:szCs w:val="20"/>
          <w:color w:val="auto"/>
        </w:rPr>
      </w:pPr>
    </w:p>
    <w:p>
      <w:pPr>
        <w:jc w:val="both"/>
        <w:ind w:left="1380" w:right="79" w:hanging="331"/>
        <w:spacing w:after="0" w:line="281"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the EMA, or other equivalent competent authorities in foreign jurisdictions that our product candidates are safe and effective for their intended uses;</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interpretable or meet the level of statistical or clinical significance required by the FDA, the EMA, or other equivalent competent authorities in foreign</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97" w:lineRule="auto"/>
        <w:rPr>
          <w:sz w:val="20"/>
          <w:szCs w:val="20"/>
          <w:color w:val="auto"/>
        </w:rPr>
      </w:pPr>
      <w:r>
        <w:rPr>
          <w:rFonts w:ascii="Times New Roman" w:cs="Times New Roman" w:eastAsia="Times New Roman" w:hAnsi="Times New Roman"/>
          <w:sz w:val="18"/>
          <w:szCs w:val="18"/>
          <w:color w:val="auto"/>
        </w:rPr>
        <w:t>jurisdictions for marketing approval. For example, the potential unblinding of setmelanotide studies due to easily identifiable AEs may raise the concern that potential bias has affected the clinical trial results;</w:t>
      </w:r>
    </w:p>
    <w:p>
      <w:pPr>
        <w:spacing w:after="0" w:line="163" w:lineRule="exact"/>
        <w:rPr>
          <w:sz w:val="20"/>
          <w:szCs w:val="20"/>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the number, size, conduct or implementation of our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require that we conduct additional clinical trials or pre-clinical studies;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our preclinical studies and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not approve the formulation, labeling or specifications of our product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not accept data generated at our clinical trial sites;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equivalent competent authorities in foreign jurisdictions may require, as a condition of approval, additional preclinical studies or clinical trials, limitations on approved labeling or distribution and use restrictions;</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any post-market requirements or commitments agreed to in connection with regulatory approvals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REMS as a condition of additional approvals or may impose additional requirements that limit the promotion, advertising, distribution, or sales of our product candidate;</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may grant only conditional approval marketing authorization or based on the EMA’s opinion impose specific obligations as a condition for marketing authorization, or may require us to conduct post authorization safety studies as a condition of grant of marketing authorization;</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foreign regulatory agencies may deem our manufacturing processes or our facilities or the facilities of our CMOs inadequate to preserve the identity, strength, quality, purity, or potency of our product; or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equivalent competent authorities in foreign jurisdictions may change its approval policies or adopt new regulations and guidance.</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regulatory legislation or regulation may increase the difficulty and cost for us to obtain marketing approval of and commercialize our product candidates.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 Additionally, the UK’s withdrawal from the EU, commonly referred to as Brexit,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setmelanotide, or any other product candidates in the EU and/or the UK. Although we have obtained FDA approval and marketing authorization from the EC and the MHRA for setmelanotide, any delay in obtaining, or an inability to obtain, any marketing authorization, for any of our other product candidates,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marketing authorization in the UK and/or EU for any of our other product candidates, which could significantly and materially harm our business.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spacing w:after="0" w:line="192" w:lineRule="exact"/>
        <w:rPr>
          <w:sz w:val="20"/>
          <w:szCs w:val="20"/>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suspend or withdraw marketing approval;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setmelanotide, refuse to permit the import or export of setmelanotide, or request that we initiate a product recall.</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IMCIVREE or any product candidates approved for sale.</w:t>
      </w:r>
    </w:p>
    <w:p>
      <w:pPr>
        <w:spacing w:after="0" w:line="194"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spacing w:after="0" w:line="183" w:lineRule="exact"/>
        <w:rPr>
          <w:sz w:val="20"/>
          <w:szCs w:val="20"/>
          <w:color w:val="auto"/>
        </w:rPr>
      </w:pPr>
    </w:p>
    <w:p>
      <w:pPr>
        <w:jc w:val="both"/>
        <w:ind w:left="1380" w:right="79" w:hanging="331"/>
        <w:spacing w:after="0" w:line="276"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Medicare Part D coverage gap discount program, which requires manufacturers to provide a 70% point of sale discount off the negotiated price of applicable brand drugs to eligible beneficiaries during their coverage gap period as a condition for the manufacturers’ outpatient drugs to be covered under Medicare Part D;</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 Centered Outcomes Research Institute to oversee, identify priorities in, and conduct comparative clinical effectiveness research, along with funding for such research; and</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81"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CMS to test innovative payment and service delivery models to lower Medicare and Medicaid spending, including prescription drug spending.</w:t>
      </w:r>
    </w:p>
    <w:p>
      <w:pPr>
        <w:spacing w:after="0" w:line="17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its enactment, certain provisions of the ACA have been subject to judicial, executive, and legislative challenges. On June 17, 2021, the U.S. Supreme Court dismissed the most recent judicial challenge to the ACA brought by several states without specifically ruling on the constitutionality of the ACA. Thus, the ACA will remain in effect in its current form.</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Previously, the Medicaid rebate was capped at 100% of a drug’s average manufacturer price, or AMP.</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was fully implemented in 2019. At this time, it is unclear how the introduction of this Medicare quality payment program will impact overall physician reimbursement.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These types of initiatives may result in additional reductions in Medicare, Medicaid, and other healthcare funding, and may otherwise affect the prices we may obtain for IMCIVREE or the frequency with which IMCIVREE is prescribed or used.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IRA discounting program that will replace the coverage gap discount program in 2025, manufacturers must give a 10 percent discount on Part D drugs in the initial coverage phase, and a 20 percent discount on Part D drugs in the so-called “catastrophic phase” (the phase after the patient incurs costs above the initial phase out-of-pocket threshold, which will be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IMCIVREE is reimbursed under Medicare Part D, and the reimbursement amount will be impacted by the 10 and 20 percent discounts under the IRA’s new discounting program. We anticipate that these increased discounts will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IRA discounting program that will replace the coverage gap discount program will also increase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 w:cs="Times New Roman" w:eastAsia="Times New Roman" w:hAnsi="Times New Roman"/>
          <w:sz w:val="18"/>
          <w:szCs w:val="18"/>
          <w:i w:val="1"/>
          <w:iCs w:val="1"/>
          <w:color w:val="auto"/>
        </w:rPr>
        <w:t>“The successful commercialization of IMCIVREE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 </w:t>
      </w:r>
      <w:r>
        <w:rPr>
          <w:rFonts w:ascii="Times New Roman" w:cs="Times New Roman" w:eastAsia="Times New Roman" w:hAnsi="Times New Roman"/>
          <w:sz w:val="18"/>
          <w:szCs w:val="18"/>
          <w:color w:val="auto"/>
        </w:rPr>
        <w:t>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ACA made significant changes to the MDRP, as described under the risk factor “</w:t>
      </w:r>
      <w:r>
        <w:rPr>
          <w:rFonts w:ascii="Times New Roman" w:cs="Times New Roman" w:eastAsia="Times New Roman" w:hAnsi="Times New Roman"/>
          <w:sz w:val="18"/>
          <w:szCs w:val="18"/>
          <w:i w:val="1"/>
          <w:iCs w:val="1"/>
          <w:color w:val="auto"/>
        </w:rPr>
        <w:t>Current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reform 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 w:cs="Times New Roman" w:eastAsia="Times New Roman" w:hAnsi="Times New Roman"/>
          <w:sz w:val="18"/>
          <w:szCs w:val="18"/>
          <w:color w:val="auto"/>
        </w:rPr>
        <w:t>,” above. In addition, in March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Rescue Plan Act of 2021 was signed into law, which, among other things, eliminated the statutory cap on drug manufacturers’ MDRP rebate liability, effective January 1, 2024. Previously, under law enacted as part of the ACA, drug manufacturers’ MDRP rebate liability was capped at 100% of the AMP for a covered outpatient drug. Congress could enact additional legislation that further increases Medicaid drug rebates or other costs and charges associated with participating in the MDRP. Additional legislation or the issuance of regulations relating to the MDRP could have a material adverse effect on our results of operations.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18"/>
          <w:szCs w:val="18"/>
          <w:i w:val="1"/>
          <w:iCs w:val="1"/>
          <w:color w:val="auto"/>
        </w:rPr>
        <w:t>Current and future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 w:cs="Times New Roman" w:eastAsia="Times New Roman" w:hAnsi="Times New Roman"/>
          <w:sz w:val="18"/>
          <w:szCs w:val="18"/>
          <w:color w:val="auto"/>
        </w:rPr>
        <w:t>,” above. The Medicare Part D rebate will be calculated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AMP figures we report pursuant to the MDRP.</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the ACA or other legislation or regulation could affect our 340B ceiling price calculations and also negatively impact our financial results.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chronic weight management in adult and pediatric patients 6 years of age and older with monogenic or syndromic obesity due POMC, PCSK1, or LEPR, deficiency confirmed by FDA-approved test demonstrating variants in POMC, PCSK1, or LEPR genes that are interpreted as pathogenic, likely pathogenic, or of uncertain significance, and due to BBS. In addition to the FDA approval required for new formulations, any new indication for an approved product also requires FDA approval. If we are not able to obtain FDA approval for any desired future indications for our drugs and product candidates, our ability to effectively market and sell our products may be reduced and our business may be adversely affected.</w:t>
      </w:r>
    </w:p>
    <w:p>
      <w:pPr>
        <w:spacing w:after="0" w:line="192"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IMCIVREE in subjects with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forms of obesity caused by defects in the MCR4 pathway. We are not currently permitted to, and do not, market or promote setmelanotide for these uses.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spacing w:after="0" w:line="187" w:lineRule="exact"/>
        <w:rPr>
          <w:sz w:val="20"/>
          <w:szCs w:val="20"/>
          <w:color w:val="auto"/>
        </w:rPr>
      </w:pPr>
    </w:p>
    <w:p>
      <w:pPr>
        <w:jc w:val="both"/>
        <w:ind w:left="1380" w:right="79" w:hanging="331"/>
        <w:spacing w:after="0" w:line="284" w:lineRule="auto"/>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76" w:lineRule="auto"/>
        <w:rPr>
          <w:sz w:val="20"/>
          <w:szCs w:val="20"/>
          <w:color w:val="auto"/>
        </w:rPr>
      </w:pPr>
      <w:r>
        <w:rPr>
          <w:rFonts w:ascii="Times New Roman" w:cs="Times New Roman" w:eastAsia="Times New Roman" w:hAnsi="Times New Roman"/>
          <w:sz w:val="18"/>
          <w:szCs w:val="18"/>
          <w:color w:val="auto"/>
        </w:rPr>
        <w:t>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spacing w:after="0" w:line="182" w:lineRule="exact"/>
        <w:rPr>
          <w:sz w:val="20"/>
          <w:szCs w:val="20"/>
          <w:color w:val="auto"/>
        </w:rPr>
      </w:pPr>
    </w:p>
    <w:p>
      <w:pPr>
        <w:jc w:val="both"/>
        <w:ind w:left="1380" w:right="79" w:hanging="331"/>
        <w:spacing w:after="0" w:line="266"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91" w:lineRule="exact"/>
        <w:rPr>
          <w:rFonts w:ascii="Times New Roman" w:cs="Times New Roman" w:eastAsia="Times New Roman" w:hAnsi="Times New Roman"/>
          <w:sz w:val="18"/>
          <w:szCs w:val="18"/>
          <w:color w:val="auto"/>
        </w:rPr>
      </w:pPr>
    </w:p>
    <w:p>
      <w:pPr>
        <w:jc w:val="both"/>
        <w:ind w:left="1380" w:right="79" w:hanging="331"/>
        <w:spacing w:after="0" w:line="26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90"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70" w:lineRule="auto"/>
        <w:rPr>
          <w:sz w:val="20"/>
          <w:szCs w:val="20"/>
          <w:color w:val="auto"/>
        </w:rPr>
      </w:pPr>
      <w:r>
        <w:rPr>
          <w:rFonts w:ascii="Times New Roman" w:cs="Times New Roman" w:eastAsia="Times New Roman" w:hAnsi="Times New Roman"/>
          <w:sz w:val="18"/>
          <w:szCs w:val="18"/>
          <w:color w:val="auto"/>
        </w:rPr>
        <w:t>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spacing w:after="0" w:line="176" w:lineRule="exact"/>
        <w:rPr>
          <w:sz w:val="20"/>
          <w:szCs w:val="20"/>
          <w:color w:val="auto"/>
        </w:rPr>
      </w:pPr>
    </w:p>
    <w:p>
      <w:pPr>
        <w:jc w:val="both"/>
        <w:ind w:left="1380" w:right="79" w:hanging="331"/>
        <w:spacing w:after="0" w:line="269"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17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 w:cs="Times New Roman" w:eastAsia="Times New Roman" w:hAnsi="Times New Roman"/>
          <w:sz w:val="18"/>
          <w:szCs w:val="18"/>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federal and state healthcare laws and regulations. If we are unable to comply or have not fully complied with such laws and regulations, we could face criminal sanctions, damages, substantial civil penalties, reputational harm and diminished profits and future earnings” </w:t>
      </w:r>
      <w:r>
        <w:rPr>
          <w:rFonts w:ascii="Times New Roman" w:cs="Times New Roman" w:eastAsia="Times New Roman" w:hAnsi="Times New Roman"/>
          <w:sz w:val="18"/>
          <w:szCs w:val="18"/>
          <w:color w:val="auto"/>
        </w:rPr>
        <w:t>of this Quarterly Report.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regulations could lead to government enforcement actions and significant penalties against us, and adversely impact our operating results.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of 2018,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has increased the likelihood, and risks associated with data breach litigation. Further, the California Privacy Rights Act, or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DPF also introduced a new redress mechanism for EU and UK citizens which addresses a key concern in the previous CJEU judgments and may mean transfers under standard contractual clauses are less likely to be challenged in the future. The EC adopted its Adequacy Decision in relation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DPF on July 10, 2023, rendering the DPF effective as a GDPR transfer mechanism to U.S. entities self-certified under the DPF. On October 12, 2023, the UK Extension to the DPF came into effect (as approved by the UK Government), as a UK GDPR data transfer mechanism to U.S. entities self-certified under the UK Extension to the DPF. We currently rely on the EU standard contractual clauses and the UK Addendum to the EU standard contractual clauses as relevant to transfer personal data outside the EEA and the UK, including to the United States, with respect to both intragroup and third-party transfers.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continue to penetrate foreign markets, where we will be subject to additional regulatory burdens and other risks and uncertainties.</w:t>
      </w:r>
    </w:p>
    <w:p>
      <w:pPr>
        <w:spacing w:after="0" w:line="15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spacing w:after="0" w:line="158" w:lineRule="exact"/>
        <w:rPr>
          <w:sz w:val="20"/>
          <w:szCs w:val="20"/>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setmelanotide in foreign markets;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Foreign sales of setmelanotide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the United Kingdom’s departure from the EU may have a negative effect on global economic conditions, financial markets and our business.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UK, the UK formally withdrew from the EU on January 31, 2020.</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 and has operated under a separate regulatory regime to the EU. It is currently unclear to what extent the UK Government will seek to align its regulations with the EU.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development, manufacture and commercialization of medicinal products in the UK will align closely with EU law, there remain limited detailed proposals for the future regulation of medicinal products.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Ireland/Northern Ireland Protocol, EU law still generally applies to Northern Ireland. However, on February 27, 2023 the UK Government and the EC reached a political agreement in the “Windsor Framework” to address discrepancies in the Protocol’s operation.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Whilst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EMA Clinical Trial Information System, or CTIS. Any divergences may increase the cost and complexity of running our business, including with respect to the conduct of clinical trials.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Great Britain is no longer covered by the EU’s procedures for the grant of MA (Northern Ireland is covered by the centralized authorization procedure and can be covered under the decentralized or mutual recognition procedures). A separate MA is required to market drugs in Great Britain. Such changes could increase our costs and otherwise adversely affect our business. Any delay in obtaining, or an inability to obtain regulatory approvals, as a result of Brexit or otherwise, may prevent us from commercializing our product candidates in Great Britain and restrict our ability to generate revenue and achieve or sustain profitability. If any of these outcomes occur, we may be forced to restrict or delay efforts to seek regulatory approval in Great Britain for our product candidates, which could significantly and materially harm our business.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further changes in relation to international trade, tariff and import/export regulations as a result of Brexit or otherwise may impose unexpected duty costs or other non-tariff barriers on us. These developments, or the perception that any of them could occur, may reduce global trade and, in particular, trade between the impacted nations and the UK.</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It is unclear what financial, regulatory and legal implications the withdrawal of the UK from the EU will have in the long-term and how such withdrawal will affect us, and the full extent to which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Acquisition of Xinvento B.V.</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acquisition of Xinvento B.V., those benefits may take longer to realize than expected, and we may encounter significant integration difficulties.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2023, in order to expand our pipeline and build on our focus on rare endocrinology diseases, we acquired Xinvento B.V., a Netherlands-based biotech company focused on developing therapies for congenital hyperinsulinism (CHI). We expect that the integration process will be complex, costly and time-consuming. As a result, we are devoting, and will continue to be required to devote, significant management attention and resources to integrating Xinvento B.V. into our business. The integration process may be disruptive to our business and the expected benefits may not be achieved within the anticipated time frame, or at all. The Xinvento B.V. intellectual property may not have the scientific value and commercial potential which we envision. We may not be able to integrate the two businesses successfully, and we could assume unknown or contingent liabilities. It is possible that the integration process could result in the diversion of our management’s attention, the disruption or interruption of, or the loss of momentum in, our ongoing business or inconsistencies in standards, controls, procedures and policies, any of which could adversely affect our ability to maintain relationships with third parties or the ability to achieve the anticipated benefits of the acquisition of Xinvento B.V., or could otherwise adversely affect our business and financial results.</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generating revenue from any Xinvento B.V. therapeutic candidate or technology sales for many years.</w:t>
      </w:r>
    </w:p>
    <w:p>
      <w:pPr>
        <w:spacing w:after="0" w:line="15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do not expect to derive revenue from the sale of any Xinvento B.V. therapeutic candidate or technology for many years, if at all, and there can be no assurance that regulatory approvals will be received or if received that they will be received when anticipated.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employees and consultants, and to attract, retain and motivate qualified personnel.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expect to increase our number of employees and the scope of our operations. In particular, we will need to continue our transition from a research and development company to a commercial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employees and reduced productivity among remaining employees. If our management is unable to effectively manage our expected development and expansion, our expenses may increase more than expected, our ability to generate or increase our revenue could be reduced and we may not be able to implement our business strategy.</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third-party CROs, CMOs or other contractors or consultants, may fail or suffer security breaches, which could result in a material disruption of setmelanotide development programs, regulatory investigations, enforcement actions and lawsuits.</w:t>
      </w:r>
    </w:p>
    <w:p>
      <w:pPr>
        <w:spacing w:after="0" w:line="17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information technology systems and those of our third-party CROs, CMOs and other contractors and consultants are vulnerable to attack, damage, or interruption by hacking, cyberattacks, computer viruses and malware (e.g. ransomware), malicious code, phishing attacks and other social engineering schemes, unauthorized access, natural disasters, terrorism, telecommunication and electrical failures, employee theft or misuse, human error, fraud, denial or degradation of service attacks, sophisticated nation-state and nation-state-supported actors or unauthorized access or use by persons inside our organization, or persons with access to systems inside our organization. Any such attack, incident or breach could compromise our information technology systems and the information stored there could be accessed, publicly disclosed, lost, corrupted or stolen. Further, attacks upon information technology systems are increasing in their frequency, levels of persistence, sophistication and intensity, and are being conducted by sophisticated and organized groups and individuals with a wide range of motives and expertise. As a result of the continued hybrid work environment, we may also face increased cybersecurity risks due to our reliance on internet technology and the number of our employees who are working remotely, which may create additional opportunities for cybercriminals to exploit vulnerabilities.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and certain of our service providers have been and from time to time will continue to be subject to cyberattacks and security incidents. While we do not believe that we have experienced any significant system failure, accident or security breach to date, if such an event were to occur and cause interruptions in our operations, it could result in a material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disruption of our programs. For example, the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We maintain cyber liability insurance; however, this insurance may not be sufficient to cover the financial, legal, business or reputational losses that may result from an interruption or breach of our systems. There can be no assurance that our cybersecurity risk management program and processes, including our policies, controls or procedures, will be fully implemented, complied with or effective in protecting our systems and information.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and their affiliated entities own a significant percentage of our stock and, if they choose to act together, will be able to exert significant influence over matters subject to stockholder approval.</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in the aggregate, hold shares representing approximately 5.9% of our outstanding voting stock as of April 22, 2024.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Delaware corporation. Provisions in our amended and restated certificate of incorporation and amended and restated bylaws may delay or prevent an acquisition of us or a change in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will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 Any provision in our amended and restated certificate of incorporation and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been volatile and may continue to fluctuate significantly in response to a number of factors, most of which we cannot control, including, among others:</w:t>
      </w:r>
    </w:p>
    <w:p>
      <w:pPr>
        <w:spacing w:after="0" w:line="162" w:lineRule="exact"/>
        <w:rPr>
          <w:sz w:val="20"/>
          <w:szCs w:val="20"/>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setmelanotide and our other product candidates;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EMA to approve IMCIVREE for additional indications;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weight loss therapies and companies targeting rare diseases and orphan drug treatment;</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setmelanotide or our other product candidates, if approved, to achieve commercial success;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with respect to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Hamas, which could delay or disrupt our business, and if such political unrest escalates or spills over to or otherwise impacts additional regions it could heighten many of the other risk factors included in this sections;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boycotts, curtailment of trade and other business restrictions;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termination of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setmelanotide and our other product candidates;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timing of milestone payments under our existing collaboration and license agreements;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setmelanotide and customers’ buying patterns.</w:t>
      </w:r>
    </w:p>
    <w:p>
      <w:pPr>
        <w:spacing w:after="0" w:line="2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net operating loss carryovers and other tax attributes may be limited.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2023, we had approximately $555.6 million and $598.0 million of unused federal and state NOL carryforwards, respectively, and approximately $13.1 million and $3.8 million of unused federal and state carryforwards of research tax credits, respectively. Of the federal NOL carryforwards at December 31, 2023, $482.4 million can be carried forward indefinitely, while $73.2 million will begin to expire in 2033. Additionally, as of December 31, 2023, we had federal orphan drug credits related to qualifying research of $25.5 million.</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whether an ownership change for purposes of Section 382 or 383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use of our tax attributes will also be limited to the extent that we do not generate positive taxable income in future tax periods. We do not expect to generate positive taxable income in the near future and we may never achieve tax profitability.</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common stock in the public market could cause the price of our common stock to decline significantly.</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Sales of our common stock in the public market, or the perception that these sales could occur, could cause the market price of our common stock to decline significantly. As of March 31, 2024, we had 60,964,468 shares of common stock outstanding.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Convertible Preferred Stock will rank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subordinated to our Convertible Preferred Stock.</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our Investment Agreement, the Company issued 150,000 shares of a new series of the Company’s Convertible Preferred Stock for an aggregate purchase price of $150.0 million, or $1,000 per share. The Convertible Preferred Stock will rank senior to the shares of the Company’s common stock, with respect to the payment of dividends and the distribution of assets upon a liquidation, dissolution or winding up of the Company. The Convertible Preferred Stock will initially have a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will be convertible into shares of our common stock at the option of the holders thereof at any time following the expiration or termination of any applicable waiting period under the Hart-Scott-Rodino Antitrust Improvements Act of 1976, as amended, or the HSR Act.</w:t>
      </w:r>
    </w:p>
    <w:p>
      <w:pPr>
        <w:spacing w:after="0" w:line="194"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Additionally, holders of the Convertible Preferred Stock will not initially be entitled to voting rights in the election of directors of the Company. Following the expiration or termination of any applicable waiting period under the HSR Act, holders of the Convertible Preferred Stock generally will be entitled to vote with the holders of the shares of our common stock on all matters submitted for a vote of holders of shares of our common stock (voting together with the holders of shares of our common stock as one class) on an as-converted basis, subject to certain ownership limitations. On May 7,</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reclassification involving the Convertible Preferred Stock unless such events do not adversely affect the rights, preferences or voting powers of the Convertible Preferred Stock.</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form strategic alliances or create joint ventures in the future, and we may not realize their benefits.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or publish unfavorable research or reports about our business, our stock price and trading volume could decline.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w:t>
      </w:r>
      <w:r>
        <w:rPr>
          <w:rFonts w:ascii="Times New Roman" w:cs="Times New Roman" w:eastAsia="Times New Roman" w:hAnsi="Times New Roman"/>
          <w:sz w:val="18"/>
          <w:szCs w:val="18"/>
          <w:i w:val="1"/>
          <w:iCs w:val="1"/>
          <w:color w:val="auto"/>
        </w:rPr>
        <w:t>Our common stock is subordinated to our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vulnerable to interruption by fire, severe weather conditions, power loss, telecommunications failure, terrorist activity, public health crises and pandemic diseases,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6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our management will continue to devote substantial time to new compliance initiatives and corporation governance policies, and we will need to hire additional qualified accounting and financial personnel with appropriate public company experience.</w:t>
      </w:r>
    </w:p>
    <w:p>
      <w:pPr>
        <w:spacing w:after="0" w:line="16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additional accounting and financial personnel with appropriate public company experience and technical accounting knowledge. Even if we are able to hire appropriate personnel, our existing operating expenses and operations will be impacted by the direct costs of their employment and the indirect consequences related to the diversion of management resources from product development efforts. Moreover, these rules and regulations will continue to increase our legal and financial compliance costs and make some activities more time consuming and costly.</w:t>
      </w:r>
    </w:p>
    <w:p>
      <w:pPr>
        <w:spacing w:after="0" w:line="16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6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of our Annual Report on Form 10-K for the year ended December 31, 2023,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6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ineffective information technology general controls (“ITGCs”) in the areas of user access and program change management over our key accounting and reporting information technology (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17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4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the future, we may engage in sustainability-related initiatives and voluntary disclosures or commitments, which may be costly and may not have the desired effect.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Moreover, our actions may subsequently be determined to be insufficient by various stakeholders, and we may be subject to investor or regulator engagement or activism. Additionally, many of our business partners and suppliers may be subject to similar reporting and stakeholder expectations, which may augment or create additional risks, including risks that may not be known to us.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Except as previously disclosed in our Current Report on Form 8-K filed on April 1, 2024, we did not make any unregistered sales of equity securities during the period covered by the report.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559"/>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Disclosure in lieu of reporting on a Current Report on Form 8-K.</w:t>
      </w:r>
    </w:p>
    <w:p>
      <w:pPr>
        <w:spacing w:after="0" w:line="223" w:lineRule="exact"/>
        <w:rPr>
          <w:sz w:val="20"/>
          <w:szCs w:val="20"/>
          <w:color w:val="auto"/>
        </w:rPr>
      </w:pPr>
    </w:p>
    <w:p>
      <w:pPr>
        <w:ind w:left="1020" w:right="719"/>
        <w:spacing w:after="0" w:line="284" w:lineRule="auto"/>
        <w:rPr>
          <w:sz w:val="20"/>
          <w:szCs w:val="20"/>
          <w:color w:val="auto"/>
        </w:rPr>
      </w:pPr>
      <w:r>
        <w:rPr>
          <w:rFonts w:ascii="Times New Roman" w:cs="Times New Roman" w:eastAsia="Times New Roman" w:hAnsi="Times New Roman"/>
          <w:sz w:val="18"/>
          <w:szCs w:val="18"/>
          <w:i w:val="1"/>
          <w:iCs w:val="1"/>
          <w:color w:val="auto"/>
        </w:rPr>
        <w:t>Item 3.03. Material Modification to Rights of Security Holders; Item 5.03. Amendments to Articles of Incorporation or Bylaws; Change in Fiscal Year.</w:t>
      </w:r>
    </w:p>
    <w:p>
      <w:pPr>
        <w:spacing w:after="0" w:line="160" w:lineRule="exact"/>
        <w:rPr>
          <w:sz w:val="20"/>
          <w:szCs w:val="20"/>
          <w:color w:val="auto"/>
        </w:rPr>
      </w:pPr>
    </w:p>
    <w:p>
      <w:pPr>
        <w:ind w:left="1020" w:right="7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April 1, 2024, the Company entered into an Investment Agreement with certain affiliates of Perceptive Advisors LLC and certain other investors relating to the issuance and sale of 150,000 shares of a new series of the Company’s Series A Convertible Preferred Stock, par value $0.001 per share, titled the “Series A Convertible Preferred Stock” (the “Convertible Preferred Stock”), for an aggregate purchase price of $150,000,000, or $1,000 per share, and on April 15, 2024, the Company filed the Certificate of Designations with the Secretary of State of the State of Delaware, effective the same day.</w:t>
      </w:r>
    </w:p>
    <w:p>
      <w:pPr>
        <w:spacing w:after="0" w:line="187" w:lineRule="exact"/>
        <w:rPr>
          <w:sz w:val="20"/>
          <w:szCs w:val="20"/>
          <w:color w:val="auto"/>
        </w:rPr>
      </w:pPr>
    </w:p>
    <w:p>
      <w:pPr>
        <w:ind w:left="1020" w:right="79" w:firstLine="648"/>
        <w:spacing w:after="0" w:line="254" w:lineRule="auto"/>
        <w:rPr>
          <w:sz w:val="20"/>
          <w:szCs w:val="20"/>
          <w:color w:val="auto"/>
        </w:rPr>
      </w:pPr>
      <w:r>
        <w:rPr>
          <w:rFonts w:ascii="Times New Roman" w:cs="Times New Roman" w:eastAsia="Times New Roman" w:hAnsi="Times New Roman"/>
          <w:sz w:val="18"/>
          <w:szCs w:val="18"/>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192" w:lineRule="exact"/>
        <w:rPr>
          <w:sz w:val="20"/>
          <w:szCs w:val="20"/>
          <w:color w:val="auto"/>
        </w:rPr>
      </w:pPr>
    </w:p>
    <w:p>
      <w:pPr>
        <w:jc w:val="both"/>
        <w:ind w:left="1020" w:right="159"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Amended and Restated Certificate of Designations is not complete and is qualified in its entirety by reference to the full text of such document, a copy of which is filed as Exhibit 3.4 to this Quarterly Report on Form 10-Q and is incorporated by reference herein.</w:t>
      </w:r>
    </w:p>
    <w:p>
      <w:pPr>
        <w:spacing w:after="0" w:line="176" w:lineRule="exact"/>
        <w:rPr>
          <w:sz w:val="20"/>
          <w:szCs w:val="20"/>
          <w:color w:val="auto"/>
        </w:rPr>
      </w:pPr>
    </w:p>
    <w:p>
      <w:pPr>
        <w:ind w:left="1040" w:right="4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  Insider Trading Arrangements and Policies.</w:t>
      </w:r>
    </w:p>
    <w:p>
      <w:pPr>
        <w:spacing w:after="0" w:line="225" w:lineRule="exact"/>
        <w:rPr>
          <w:sz w:val="20"/>
          <w:szCs w:val="20"/>
          <w:color w:val="auto"/>
        </w:rPr>
      </w:pPr>
    </w:p>
    <w:p>
      <w:pPr>
        <w:ind w:left="1020" w:right="21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gridSpan w:val="19"/>
          </w:tcPr>
          <w:p>
            <w:pPr>
              <w:ind w:left="540"/>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20" w:type="dxa"/>
            <w:vAlign w:val="bottom"/>
            <w:tcBorders>
              <w:top w:val="single" w:sz="8" w:color="auto"/>
              <w:bottom w:val="single" w:sz="8" w:color="0000EE"/>
            </w:tcBorders>
            <w:gridSpan w:val="13"/>
          </w:tcPr>
          <w:p>
            <w:pPr>
              <w:spacing w:after="0" w:line="169"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Amended and Restated Certificate of Incorporation.</w:t>
              </w:r>
            </w:hyperlink>
          </w:p>
        </w:tc>
        <w:tc>
          <w:tcPr>
            <w:tcW w:w="380" w:type="dxa"/>
            <w:vAlign w:val="bottom"/>
            <w:tcBorders>
              <w:top w:val="single" w:sz="8" w:color="auto"/>
            </w:tcBorders>
            <w:gridSpan w:val="8"/>
          </w:tcPr>
          <w:p>
            <w:pPr>
              <w:spacing w:after="0"/>
              <w:rPr>
                <w:sz w:val="14"/>
                <w:szCs w:val="1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Amended and Restated Bylaws.</w:t>
              </w:r>
            </w:hyperlink>
          </w:p>
        </w:tc>
        <w:tc>
          <w:tcPr>
            <w:tcW w:w="1820" w:type="dxa"/>
            <w:vAlign w:val="bottom"/>
            <w:gridSpan w:val="15"/>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Certificate of Designations</w:t>
              </w:r>
            </w:hyperlink>
          </w:p>
        </w:tc>
        <w:tc>
          <w:tcPr>
            <w:tcW w:w="2180" w:type="dxa"/>
            <w:vAlign w:val="bottom"/>
            <w:gridSpan w:val="17"/>
          </w:tcPr>
          <w:p>
            <w:pPr>
              <w:spacing w:after="0"/>
              <w:rPr>
                <w:sz w:val="24"/>
                <w:szCs w:val="24"/>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Amended and Restated Certificate of Designations</w:t>
            </w:r>
          </w:p>
        </w:tc>
      </w:tr>
      <w:tr>
        <w:trPr>
          <w:trHeight w:val="20"/>
        </w:trPr>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of Non-Employee Director Compensation</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Policy.</w:t>
            </w:r>
          </w:p>
        </w:tc>
        <w:tc>
          <w:tcPr>
            <w:tcW w:w="360" w:type="dxa"/>
            <w:vAlign w:val="bottom"/>
            <w:gridSpan w:val="7"/>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4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Exclusive License Agreement, dated January 4, 2024, by</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2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and between Rhythm Pharmaceuticals, Inc. and LG</w:t>
              </w:r>
            </w:hyperlink>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Chem, Ltd.</w:t>
              </w:r>
            </w:hyperlink>
          </w:p>
        </w:tc>
        <w:tc>
          <w:tcPr>
            <w:tcW w:w="420" w:type="dxa"/>
            <w:vAlign w:val="bottom"/>
            <w:gridSpan w:val="9"/>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3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Investment Agreement dated April 1, 2024, by and</w:t>
              </w:r>
            </w:hyperlink>
          </w:p>
        </w:tc>
        <w:tc>
          <w:tcPr>
            <w:tcW w:w="46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between Rhythm Pharmaceuticals, Inc., certain affiliates</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2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of Perceptive Advisors LLC, and certain other investors</w:t>
              </w:r>
            </w:hyperlink>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40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Rhythm Pharmaceuticals, Inc. 2017 Equity Incentive</w:t>
            </w:r>
          </w:p>
        </w:tc>
        <w:tc>
          <w:tcPr>
            <w:tcW w:w="10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Performance Unit Agreement</w:t>
            </w:r>
          </w:p>
        </w:tc>
        <w:tc>
          <w:tcPr>
            <w:tcW w:w="320" w:type="dxa"/>
            <w:vAlign w:val="bottom"/>
            <w:gridSpan w:val="6"/>
          </w:tcPr>
          <w:p>
            <w:pPr>
              <w:spacing w:after="0"/>
              <w:rPr>
                <w:sz w:val="17"/>
                <w:szCs w:val="17"/>
                <w:color w:val="auto"/>
              </w:rPr>
            </w:pPr>
          </w:p>
        </w:tc>
      </w:tr>
      <w:tr>
        <w:trPr>
          <w:trHeight w:val="20"/>
        </w:trPr>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40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Third Amendment to Lease, dated May 2, 2024, by and</w:t>
            </w:r>
          </w:p>
        </w:tc>
        <w:tc>
          <w:tcPr>
            <w:tcW w:w="12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between the Registrant and 500 Boylston &amp; 222</w:t>
            </w:r>
          </w:p>
        </w:tc>
        <w:tc>
          <w:tcPr>
            <w:tcW w:w="66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Berkeley Owner (DE) LLC.</w:t>
            </w:r>
          </w:p>
        </w:tc>
        <w:tc>
          <w:tcPr>
            <w:tcW w:w="2100" w:type="dxa"/>
            <w:vAlign w:val="bottom"/>
            <w:gridSpan w:val="16"/>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as</w:t>
            </w:r>
          </w:p>
        </w:tc>
        <w:tc>
          <w:tcPr>
            <w:tcW w:w="48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2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440" w:type="dxa"/>
            <w:vAlign w:val="bottom"/>
            <w:gridSpan w:val="18"/>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as</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gridSpan w:val="10"/>
            <w:shd w:val="clear" w:color="auto" w:fill="0000EE"/>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2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440" w:type="dxa"/>
            <w:vAlign w:val="bottom"/>
            <w:gridSpan w:val="18"/>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as</w:t>
            </w:r>
          </w:p>
        </w:tc>
        <w:tc>
          <w:tcPr>
            <w:tcW w:w="48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2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440" w:type="dxa"/>
            <w:vAlign w:val="bottom"/>
            <w:gridSpan w:val="18"/>
          </w:tcPr>
          <w:p>
            <w:pPr>
              <w:spacing w:after="0"/>
              <w:rPr>
                <w:sz w:val="17"/>
                <w:szCs w:val="17"/>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as</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gridSpan w:val="10"/>
            <w:shd w:val="clear" w:color="auto" w:fill="0000EE"/>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2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440" w:type="dxa"/>
            <w:vAlign w:val="bottom"/>
            <w:gridSpan w:val="18"/>
          </w:tcPr>
          <w:p>
            <w:pPr>
              <w:spacing w:after="0"/>
              <w:rPr>
                <w:sz w:val="17"/>
                <w:szCs w:val="17"/>
                <w:color w:val="auto"/>
              </w:rPr>
            </w:pPr>
          </w:p>
        </w:tc>
      </w:tr>
      <w:tr>
        <w:trPr>
          <w:trHeight w:val="32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86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Form</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28"/>
        </w:trPr>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24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05/04/2020</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306"/>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12/18/2023</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r>
        <w:trPr>
          <w:trHeight w:val="324"/>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04/16/2024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02/29/2024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756"/>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04/01/2024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6895" w:lineRule="exact"/>
        <w:rPr>
          <w:sz w:val="20"/>
          <w:szCs w:val="20"/>
          <w:color w:val="auto"/>
        </w:rPr>
      </w:pPr>
    </w:p>
    <w:p>
      <w:pPr>
        <w:sectPr>
          <w:pgSz w:w="11900" w:h="16838" w:orient="portrait"/>
          <w:cols w:equalWidth="0" w:num="2">
            <w:col w:w="5220" w:space="300"/>
            <w:col w:w="3499"/>
          </w:cols>
          <w:pgMar w:left="1440" w:top="513"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9" w:lineRule="exact"/>
        <w:rPr>
          <w:sz w:val="20"/>
          <w:szCs w:val="20"/>
          <w:color w:val="auto"/>
        </w:rPr>
      </w:pPr>
    </w:p>
    <w:p>
      <w:pPr>
        <w:sectPr>
          <w:pgSz w:w="11900" w:h="16838" w:orient="portrait"/>
          <w:cols w:equalWidth="0" w:num="2">
            <w:col w:w="820" w:space="260"/>
            <w:col w:w="793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9" w:lineRule="exact"/>
        <w:rPr>
          <w:sz w:val="20"/>
          <w:szCs w:val="20"/>
          <w:color w:val="auto"/>
        </w:rPr>
      </w:pPr>
    </w:p>
    <w:p>
      <w:pPr>
        <w:sectPr>
          <w:pgSz w:w="11900" w:h="16838" w:orient="portrait"/>
          <w:cols w:equalWidth="0" w:num="2">
            <w:col w:w="800" w:space="280"/>
            <w:col w:w="793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and contained in Exhibit 101).</w:t>
      </w:r>
    </w:p>
    <w:p>
      <w:pPr>
        <w:spacing w:after="0" w:line="200" w:lineRule="exact"/>
        <w:rPr>
          <w:sz w:val="20"/>
          <w:szCs w:val="20"/>
          <w:color w:val="auto"/>
        </w:rPr>
      </w:pPr>
    </w:p>
    <w:p>
      <w:pPr>
        <w:sectPr>
          <w:pgSz w:w="11900" w:h="16838" w:orient="portrait"/>
          <w:cols w:equalWidth="0" w:num="2">
            <w:col w:w="420" w:space="660"/>
            <w:col w:w="7939"/>
          </w:cols>
          <w:pgMar w:left="1440" w:top="513" w:right="1440" w:bottom="1440" w:gutter="0" w:footer="0" w:header="0"/>
          <w:type w:val="continuous"/>
        </w:sectPr>
      </w:pP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60" w:right="179" w:hanging="10"/>
        <w:spacing w:after="0" w:line="266" w:lineRule="auto"/>
        <w:tabs>
          <w:tab w:leader="none" w:pos="2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portions of this exhibit (indicated by asterisks) have been omitted pursuant to Regulation S-K, Item 601(b)(10). Such omitted information is not material and the registrant customarily and actually treats such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P. Meeker, M.D.</w:t>
            </w:r>
          </w:p>
        </w:tc>
      </w:tr>
      <w:tr>
        <w:trPr>
          <w:trHeight w:val="191"/>
        </w:trPr>
        <w:tc>
          <w:tcPr>
            <w:tcW w:w="2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P. Meeker, M.D.</w:t>
            </w: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2024</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Hunter C. Smith</w:t>
            </w:r>
          </w:p>
        </w:tc>
      </w:tr>
      <w:tr>
        <w:trPr>
          <w:trHeight w:val="191"/>
        </w:trPr>
        <w:tc>
          <w:tcPr>
            <w:tcW w:w="2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Hunter C. Smith</w:t>
            </w: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2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3.4</w:t>
      </w: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Rhythm Pharmaceuticals, Inc.</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Certificate of Designations</w:t>
      </w: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Series A Convertible Preferred Stock</w:t>
      </w:r>
    </w:p>
    <w:p>
      <w:pPr>
        <w:spacing w:after="0" w:line="24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956310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6"/>
        </w:trPr>
        <w:tc>
          <w:tcPr>
            <w:tcW w:w="1020" w:type="dxa"/>
            <w:vAlign w:val="bottom"/>
          </w:tcPr>
          <w:p>
            <w:pPr>
              <w:spacing w:after="0"/>
              <w:rPr>
                <w:sz w:val="24"/>
                <w:szCs w:val="24"/>
                <w:color w:val="auto"/>
              </w:rPr>
            </w:pPr>
          </w:p>
        </w:tc>
        <w:tc>
          <w:tcPr>
            <w:tcW w:w="8080" w:type="dxa"/>
            <w:vAlign w:val="bottom"/>
          </w:tcPr>
          <w:p>
            <w:pPr>
              <w:ind w:left="31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820" w:type="dxa"/>
            <w:vAlign w:val="bottom"/>
          </w:tcPr>
          <w:p>
            <w:pPr>
              <w:spacing w:after="0"/>
              <w:rPr>
                <w:sz w:val="24"/>
                <w:szCs w:val="24"/>
                <w:color w:val="auto"/>
              </w:rPr>
            </w:pPr>
          </w:p>
        </w:tc>
      </w:tr>
      <w:tr>
        <w:trPr>
          <w:trHeight w:val="447"/>
        </w:trPr>
        <w:tc>
          <w:tcPr>
            <w:tcW w:w="10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21"/>
                <w:szCs w:val="21"/>
                <w:color w:val="auto"/>
              </w:rPr>
              <w:t>Page</w:t>
            </w:r>
          </w:p>
        </w:tc>
      </w:tr>
      <w:tr>
        <w:trPr>
          <w:trHeight w:val="460"/>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1.</w:t>
            </w:r>
          </w:p>
        </w:tc>
        <w:tc>
          <w:tcPr>
            <w:tcW w:w="80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Definitions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2.</w:t>
            </w:r>
          </w:p>
        </w:tc>
        <w:tc>
          <w:tcPr>
            <w:tcW w:w="80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Rules of 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3.</w:t>
            </w:r>
          </w:p>
        </w:tc>
        <w:tc>
          <w:tcPr>
            <w:tcW w:w="80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The Convertible 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43"/>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(a)</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Designation; Par Value</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43"/>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(b)</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Number of Authorized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43"/>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(c)</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Form, Dating and Denominations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43"/>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(d)</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Method of Payment; Delay When Payment Date is Not a Business Day</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43"/>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(e)</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Register</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43"/>
        </w:trPr>
        <w:tc>
          <w:tcPr>
            <w:tcW w:w="1020" w:type="dxa"/>
            <w:vAlign w:val="bottom"/>
          </w:tcPr>
          <w:p>
            <w:pPr>
              <w:ind w:left="500"/>
              <w:spacing w:after="0"/>
              <w:rPr>
                <w:sz w:val="20"/>
                <w:szCs w:val="20"/>
                <w:color w:val="auto"/>
              </w:rPr>
            </w:pPr>
            <w:r>
              <w:rPr>
                <w:rFonts w:ascii="Times New Roman" w:cs="Times New Roman" w:eastAsia="Times New Roman" w:hAnsi="Times New Roman"/>
                <w:sz w:val="21"/>
                <w:szCs w:val="21"/>
                <w:color w:val="auto"/>
              </w:rPr>
              <w:t>(f)</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Legends</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67"/>
        </w:trPr>
        <w:tc>
          <w:tcPr>
            <w:tcW w:w="1020" w:type="dxa"/>
            <w:vAlign w:val="bottom"/>
          </w:tcPr>
          <w:p>
            <w:pPr>
              <w:ind w:left="480"/>
              <w:spacing w:after="0"/>
              <w:rPr>
                <w:sz w:val="20"/>
                <w:szCs w:val="20"/>
                <w:color w:val="auto"/>
              </w:rPr>
            </w:pPr>
            <w:r>
              <w:rPr>
                <w:rFonts w:ascii="Times New Roman" w:cs="Times New Roman" w:eastAsia="Times New Roman" w:hAnsi="Times New Roman"/>
                <w:sz w:val="21"/>
                <w:szCs w:val="21"/>
                <w:color w:val="auto"/>
              </w:rPr>
              <w:t>(g)</w:t>
            </w:r>
          </w:p>
        </w:tc>
        <w:tc>
          <w:tcPr>
            <w:tcW w:w="80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Transfers and Exchanges; Transfer Taxes; Certain Transfer Restrictions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bl>
    <w:p>
      <w:pPr>
        <w:ind w:left="1320" w:hanging="838"/>
        <w:spacing w:after="0"/>
        <w:tabs>
          <w:tab w:leader="none" w:pos="13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and Cancellation of Convertible Preferred Stock to Be Converted or to Be</w:t>
      </w:r>
    </w:p>
    <w:tbl>
      <w:tblPr>
        <w:tblLayout w:type="fixed"/>
        <w:tblInd w:w="0" w:type="dxa"/>
        <w:tblCellMar>
          <w:top w:w="0" w:type="dxa"/>
          <w:left w:w="0" w:type="dxa"/>
          <w:bottom w:w="0" w:type="dxa"/>
          <w:right w:w="0" w:type="dxa"/>
        </w:tblCellMar>
      </w:tblPr>
      <w:tr>
        <w:trPr>
          <w:trHeight w:val="221"/>
        </w:trPr>
        <w:tc>
          <w:tcPr>
            <w:tcW w:w="1020" w:type="dxa"/>
            <w:vAlign w:val="bottom"/>
          </w:tcPr>
          <w:p>
            <w:pPr>
              <w:spacing w:after="0"/>
              <w:rPr>
                <w:sz w:val="19"/>
                <w:szCs w:val="19"/>
                <w:color w:val="auto"/>
              </w:rPr>
            </w:pPr>
          </w:p>
        </w:tc>
        <w:tc>
          <w:tcPr>
            <w:tcW w:w="8280" w:type="dxa"/>
            <w:vAlign w:val="bottom"/>
          </w:tcPr>
          <w:p>
            <w:pPr>
              <w:ind w:left="440"/>
              <w:spacing w:after="0" w:line="221" w:lineRule="exact"/>
              <w:rPr>
                <w:sz w:val="20"/>
                <w:szCs w:val="20"/>
                <w:color w:val="auto"/>
              </w:rPr>
            </w:pPr>
            <w:r>
              <w:rPr>
                <w:rFonts w:ascii="Times New Roman" w:cs="Times New Roman" w:eastAsia="Times New Roman" w:hAnsi="Times New Roman"/>
                <w:sz w:val="21"/>
                <w:szCs w:val="21"/>
                <w:color w:val="auto"/>
              </w:rPr>
              <w:t>Repurchased Pursuant to a Repurchase Upon Change of Control or a Redemption</w:t>
            </w:r>
          </w:p>
        </w:tc>
        <w:tc>
          <w:tcPr>
            <w:tcW w:w="620" w:type="dxa"/>
            <w:vAlign w:val="bottom"/>
          </w:tcPr>
          <w:p>
            <w:pPr>
              <w:jc w:val="right"/>
              <w:spacing w:after="0" w:line="221" w:lineRule="exact"/>
              <w:rPr>
                <w:sz w:val="20"/>
                <w:szCs w:val="20"/>
                <w:color w:val="auto"/>
              </w:rPr>
            </w:pPr>
            <w:r>
              <w:rPr>
                <w:rFonts w:ascii="Times New Roman" w:cs="Times New Roman" w:eastAsia="Times New Roman" w:hAnsi="Times New Roman"/>
                <w:sz w:val="21"/>
                <w:szCs w:val="21"/>
                <w:color w:val="auto"/>
              </w:rPr>
              <w:t>18</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(i)</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Status of Retired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(j)</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Replacement Certificates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(k)</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Registered Holders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(l)</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Cancellation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43"/>
        </w:trPr>
        <w:tc>
          <w:tcPr>
            <w:tcW w:w="1020" w:type="dxa"/>
            <w:vAlign w:val="bottom"/>
          </w:tcPr>
          <w:p>
            <w:pPr>
              <w:jc w:val="center"/>
              <w:ind w:left="97"/>
              <w:spacing w:after="0"/>
              <w:rPr>
                <w:sz w:val="20"/>
                <w:szCs w:val="20"/>
                <w:color w:val="auto"/>
              </w:rPr>
            </w:pPr>
            <w:r>
              <w:rPr>
                <w:rFonts w:ascii="Times New Roman" w:cs="Times New Roman" w:eastAsia="Times New Roman" w:hAnsi="Times New Roman"/>
                <w:sz w:val="21"/>
                <w:szCs w:val="21"/>
                <w:color w:val="auto"/>
                <w:w w:val="98"/>
              </w:rPr>
              <w:t>(m)</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Shares Held by the Company or its Affiliates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(n)</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Outstanding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(o)</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Notations and Exchanges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4.</w:t>
            </w:r>
          </w:p>
        </w:tc>
        <w:tc>
          <w:tcPr>
            <w:tcW w:w="8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Ranking</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5.</w:t>
            </w:r>
          </w:p>
        </w:tc>
        <w:tc>
          <w:tcPr>
            <w:tcW w:w="8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Dividends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(a)</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Generally</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(b)</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Participating Dividends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6.</w:t>
            </w:r>
          </w:p>
        </w:tc>
        <w:tc>
          <w:tcPr>
            <w:tcW w:w="8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Rights Upon Liquidation, Dissolution or Winding Up</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(a)</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Generally</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(b)</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Certain Business Combination Transactions Deemed Not to Be a Liquidation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7.</w:t>
            </w:r>
          </w:p>
        </w:tc>
        <w:tc>
          <w:tcPr>
            <w:tcW w:w="8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Right of the Company to Redeem the Convertible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(a)</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No Right to Redeem Before the Redemption Trigger Date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(b)</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Right to Redeem the Convertible Preferred Stock on or After Redemption Trigger Date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(c)</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Redemption Prohibited in Certain Circumstances</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(d)</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Redemption Date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rPr>
              <w:t>(e)</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Redemption Price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5"/>
              </w:rPr>
              <w:t>(f)</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Redemption Notice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43"/>
        </w:trPr>
        <w:tc>
          <w:tcPr>
            <w:tcW w:w="1020" w:type="dxa"/>
            <w:vAlign w:val="bottom"/>
          </w:tcPr>
          <w:p>
            <w:pPr>
              <w:jc w:val="center"/>
              <w:ind w:left="77"/>
              <w:spacing w:after="0"/>
              <w:rPr>
                <w:sz w:val="20"/>
                <w:szCs w:val="20"/>
                <w:color w:val="auto"/>
              </w:rPr>
            </w:pPr>
            <w:r>
              <w:rPr>
                <w:rFonts w:ascii="Times New Roman" w:cs="Times New Roman" w:eastAsia="Times New Roman" w:hAnsi="Times New Roman"/>
                <w:sz w:val="21"/>
                <w:szCs w:val="21"/>
                <w:color w:val="auto"/>
                <w:w w:val="97"/>
              </w:rPr>
              <w:t>(g)</w:t>
            </w: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Payment of the Redemption Price</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43"/>
        </w:trPr>
        <w:tc>
          <w:tcPr>
            <w:tcW w:w="1020" w:type="dxa"/>
            <w:vAlign w:val="bottom"/>
          </w:tcPr>
          <w:p>
            <w:pPr>
              <w:spacing w:after="0"/>
              <w:rPr>
                <w:sz w:val="20"/>
                <w:szCs w:val="20"/>
                <w:color w:val="auto"/>
              </w:rPr>
            </w:pPr>
            <w:r>
              <w:rPr>
                <w:rFonts w:ascii="Times New Roman" w:cs="Times New Roman" w:eastAsia="Times New Roman" w:hAnsi="Times New Roman"/>
                <w:sz w:val="21"/>
                <w:szCs w:val="21"/>
                <w:color w:val="auto"/>
              </w:rPr>
              <w:t>Section 8.</w:t>
            </w:r>
          </w:p>
        </w:tc>
        <w:tc>
          <w:tcPr>
            <w:tcW w:w="828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Right of Holders to Require the Company to Repurchase Convertible Preferred Stock upon a</w:t>
            </w:r>
          </w:p>
        </w:tc>
        <w:tc>
          <w:tcPr>
            <w:tcW w:w="620" w:type="dxa"/>
            <w:vAlign w:val="bottom"/>
          </w:tcPr>
          <w:p>
            <w:pPr>
              <w:spacing w:after="0"/>
              <w:rPr>
                <w:sz w:val="21"/>
                <w:szCs w:val="21"/>
                <w:color w:val="auto"/>
              </w:rPr>
            </w:pPr>
          </w:p>
        </w:tc>
      </w:tr>
      <w:tr>
        <w:trPr>
          <w:trHeight w:val="267"/>
        </w:trPr>
        <w:tc>
          <w:tcPr>
            <w:tcW w:w="1020" w:type="dxa"/>
            <w:vAlign w:val="bottom"/>
          </w:tcPr>
          <w:p>
            <w:pPr>
              <w:spacing w:after="0"/>
              <w:rPr>
                <w:sz w:val="23"/>
                <w:szCs w:val="23"/>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Change of Control</w:t>
            </w: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bl>
    <w:p>
      <w:pPr>
        <w:ind w:left="1320" w:hanging="833"/>
        <w:spacing w:after="0"/>
        <w:tabs>
          <w:tab w:leader="none" w:pos="13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 of Holders to Require the Company to Repurchase Convertible Preferred Stock upon a</w:t>
      </w:r>
    </w:p>
    <w:p>
      <w:pPr>
        <w:spacing w:after="0" w:line="2" w:lineRule="exact"/>
        <w:rPr>
          <w:sz w:val="20"/>
          <w:szCs w:val="20"/>
          <w:color w:val="auto"/>
        </w:rPr>
      </w:pPr>
    </w:p>
    <w:tbl>
      <w:tblPr>
        <w:tblLayout w:type="fixed"/>
        <w:tblInd w:w="1460" w:type="dxa"/>
        <w:tblCellMar>
          <w:top w:w="0" w:type="dxa"/>
          <w:left w:w="0" w:type="dxa"/>
          <w:bottom w:w="0" w:type="dxa"/>
          <w:right w:w="0" w:type="dxa"/>
        </w:tblCellMar>
      </w:tblP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21"/>
                <w:szCs w:val="21"/>
                <w:color w:val="auto"/>
              </w:rPr>
              <w:t>Change of Control</w:t>
            </w:r>
          </w:p>
        </w:tc>
        <w:tc>
          <w:tcPr>
            <w:tcW w:w="3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bl>
    <w:p>
      <w:pPr>
        <w:ind w:left="1320" w:hanging="838"/>
        <w:spacing w:after="0"/>
        <w:tabs>
          <w:tab w:leader="none" w:pos="13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Funds Legally Available for Payment of Change of Control Repurchase Price; Covenant Not</w:t>
      </w:r>
    </w:p>
    <w:p>
      <w:pPr>
        <w:spacing w:after="0" w:line="2" w:lineRule="exact"/>
        <w:rPr>
          <w:sz w:val="20"/>
          <w:szCs w:val="20"/>
          <w:color w:val="auto"/>
        </w:rPr>
      </w:pPr>
    </w:p>
    <w:tbl>
      <w:tblPr>
        <w:tblLayout w:type="fixed"/>
        <w:tblInd w:w="1460" w:type="dxa"/>
        <w:tblCellMar>
          <w:top w:w="0" w:type="dxa"/>
          <w:left w:w="0" w:type="dxa"/>
          <w:bottom w:w="0" w:type="dxa"/>
          <w:right w:w="0" w:type="dxa"/>
        </w:tblCellMar>
      </w:tblP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21"/>
                <w:szCs w:val="21"/>
                <w:color w:val="auto"/>
              </w:rPr>
              <w:t>to Take Certain Actions</w:t>
            </w:r>
          </w:p>
        </w:tc>
        <w:tc>
          <w:tcPr>
            <w:tcW w:w="3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(c)</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Change of Control Repurchase Date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(d)</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Change of Control Repurchase Price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(e)</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Change of Control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(f)</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Procedures to Exercise the Change of Control Repurchase Right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(g)</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Payment of the Change of Control Repurchase Price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(h)</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Compliance with Securities Laws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w:t>
            </w:r>
          </w:p>
        </w:tc>
        <w:tc>
          <w:tcPr>
            <w:tcW w:w="7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Voting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(a)</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Voting and Consent Rights with Respect to Specified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(b)</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Right to Vote with Holders of Common Stock on an As-Converted Basis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(c)</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Procedures for Voting and Consents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10.</w:t>
            </w:r>
          </w:p>
        </w:tc>
        <w:tc>
          <w:tcPr>
            <w:tcW w:w="7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Conversion</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(a)</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Generally</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(b)</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Conversion at the Option of the 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(c)</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Mandatory Conversion at the Company’s Election.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(d)</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Conversion Procedures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(e)</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Settlement upon Conversion</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(f)</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Conversion Rate Adjustments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(g)</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Voluntary Conversion Rate Increases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(h)</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Restriction on Conversions and Certain Degressive Issuances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43"/>
        </w:trPr>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(i)</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Effect of Common Stock Change Event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43"/>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11.   Certain Provisions Relating to the Issuance of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(a)</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Equitable Adjustments to Prices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(b)</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Reservation of Shares of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(c)</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Status of Shares of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(d)</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Taxes Upon Issuance of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12.   No Preemptive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13.</w:t>
            </w:r>
          </w:p>
        </w:tc>
        <w:tc>
          <w:tcPr>
            <w:tcW w:w="7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Tax Treatment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14.</w:t>
            </w:r>
          </w:p>
        </w:tc>
        <w:tc>
          <w:tcPr>
            <w:tcW w:w="7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Calculations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1080" w:type="dxa"/>
            <w:vAlign w:val="bottom"/>
            <w:gridSpan w:val="2"/>
          </w:tcPr>
          <w:p>
            <w:pPr>
              <w:ind w:left="500"/>
              <w:spacing w:after="0"/>
              <w:rPr>
                <w:sz w:val="20"/>
                <w:szCs w:val="20"/>
                <w:color w:val="auto"/>
              </w:rPr>
            </w:pPr>
            <w:r>
              <w:rPr>
                <w:rFonts w:ascii="Times New Roman" w:cs="Times New Roman" w:eastAsia="Times New Roman" w:hAnsi="Times New Roman"/>
                <w:sz w:val="21"/>
                <w:szCs w:val="21"/>
                <w:color w:val="auto"/>
              </w:rPr>
              <w:t>(a)</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Responsibility; Schedule of Calculations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43"/>
        </w:trPr>
        <w:tc>
          <w:tcPr>
            <w:tcW w:w="1080" w:type="dxa"/>
            <w:vAlign w:val="bottom"/>
            <w:gridSpan w:val="2"/>
          </w:tcPr>
          <w:p>
            <w:pPr>
              <w:ind w:left="480"/>
              <w:spacing w:after="0"/>
              <w:rPr>
                <w:sz w:val="20"/>
                <w:szCs w:val="20"/>
                <w:color w:val="auto"/>
              </w:rPr>
            </w:pPr>
            <w:r>
              <w:rPr>
                <w:rFonts w:ascii="Times New Roman" w:cs="Times New Roman" w:eastAsia="Times New Roman" w:hAnsi="Times New Roman"/>
                <w:sz w:val="21"/>
                <w:szCs w:val="21"/>
                <w:color w:val="auto"/>
              </w:rPr>
              <w:t>(b)</w:t>
            </w:r>
          </w:p>
        </w:tc>
        <w:tc>
          <w:tcPr>
            <w:tcW w:w="74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Calculations Aggregated for Each Holder</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15.</w:t>
            </w:r>
          </w:p>
        </w:tc>
        <w:tc>
          <w:tcPr>
            <w:tcW w:w="74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Notices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43"/>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16.   Legally Available Funds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70"/>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Section 17.   No Other Rights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438"/>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Exhibits</w:t>
            </w:r>
          </w:p>
        </w:tc>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15"/>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Exhibit A: Form of Preferred Stock Certificate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A-1</w:t>
            </w:r>
          </w:p>
        </w:tc>
      </w:tr>
      <w:tr>
        <w:trPr>
          <w:trHeight w:val="486"/>
        </w:trPr>
        <w:tc>
          <w:tcPr>
            <w:tcW w:w="84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Exhibit B: Form of Restricted Stock Legend</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0" w:right="9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A Convertible Preferred Stock</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Rhythm Pharmaceuticals,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corporation organized and existing under the General Corporation Law of the State of Delaware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 in accordance with the provisions of Section 151 of the DGCL, does hereby certify that:</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previously adopted a resolution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authorizing the creation and issuance of a series of preferred stock designated as the “Series A Convertible Preferred Stock” (the “</w:t>
      </w:r>
      <w:r>
        <w:rPr>
          <w:rFonts w:ascii="Times New Roman" w:cs="Times New Roman" w:eastAsia="Times New Roman" w:hAnsi="Times New Roman"/>
          <w:sz w:val="22"/>
          <w:szCs w:val="22"/>
          <w:b w:val="1"/>
          <w:bCs w:val="1"/>
          <w:color w:val="auto"/>
        </w:rPr>
        <w:t>Series A Convertible Preferred Stock</w:t>
      </w:r>
      <w:r>
        <w:rPr>
          <w:rFonts w:ascii="Times New Roman" w:cs="Times New Roman" w:eastAsia="Times New Roman" w:hAnsi="Times New Roman"/>
          <w:sz w:val="22"/>
          <w:szCs w:val="22"/>
          <w:color w:val="auto"/>
        </w:rPr>
        <w:t>”) and the Certificate of Designations for the Series A Convertible Preferred Stock was filed with the Secretary of State of the State of Delaware on April 15, 2024 (the “</w:t>
      </w:r>
      <w:r>
        <w:rPr>
          <w:rFonts w:ascii="Times New Roman" w:cs="Times New Roman" w:eastAsia="Times New Roman" w:hAnsi="Times New Roman"/>
          <w:sz w:val="22"/>
          <w:szCs w:val="22"/>
          <w:b w:val="1"/>
          <w:bCs w:val="1"/>
          <w:color w:val="auto"/>
        </w:rPr>
        <w:t>Original Certificate of Designations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May 6, 2024, the Board approved and adopted the following resolution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amending certain provisions of the Series A Convertible Preferred Stock and the Original Certificate of Designations; and</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May 6, 2024, the holders of at least two thirds of the shares of Series A Convertible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Stock then outstanding (the “</w:t>
      </w:r>
      <w:r>
        <w:rPr>
          <w:rFonts w:ascii="Times New Roman" w:cs="Times New Roman" w:eastAsia="Times New Roman" w:hAnsi="Times New Roman"/>
          <w:sz w:val="22"/>
          <w:szCs w:val="22"/>
          <w:b w:val="1"/>
          <w:bCs w:val="1"/>
          <w:color w:val="auto"/>
        </w:rPr>
        <w:t>Requisite Holders</w:t>
      </w:r>
      <w:r>
        <w:rPr>
          <w:rFonts w:ascii="Times New Roman" w:cs="Times New Roman" w:eastAsia="Times New Roman" w:hAnsi="Times New Roman"/>
          <w:sz w:val="22"/>
          <w:szCs w:val="22"/>
          <w:color w:val="auto"/>
        </w:rPr>
        <w:t>”), voting separately as a class, approved the amendments to the Original Certificate of Designations set forth in the resolution below.</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THEREFORE, BE IT RESOLVED, </w:t>
      </w:r>
      <w:r>
        <w:rPr>
          <w:rFonts w:ascii="Times New Roman" w:cs="Times New Roman" w:eastAsia="Times New Roman" w:hAnsi="Times New Roman"/>
          <w:sz w:val="22"/>
          <w:szCs w:val="22"/>
          <w:color w:val="auto"/>
        </w:rPr>
        <w:t>that, subject to approval of the Requisite Holders,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Certificate of Designations shall be amended and the designation and amount thereof and the voting powers, preferences and relative, participating, optional and other special rights of the shares of such series and the qualifications, limitations or restrictions thereof are as follows and the Original Certificate of Designations is hereby amended and restated in its entirety to read as follows: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Abeyance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Abeyance Dividend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Clearance Date</w:t>
      </w:r>
      <w:r>
        <w:rPr>
          <w:rFonts w:ascii="Times New Roman" w:cs="Times New Roman" w:eastAsia="Times New Roman" w:hAnsi="Times New Roman"/>
          <w:sz w:val="22"/>
          <w:szCs w:val="22"/>
          <w:color w:val="auto"/>
        </w:rPr>
        <w:t>” means the date on which the waiting period under the Hart-Scott-Rodino Antitrust Improvements Act of 1976, as amended (“</w:t>
      </w:r>
      <w:r>
        <w:rPr>
          <w:rFonts w:ascii="Times New Roman" w:cs="Times New Roman" w:eastAsia="Times New Roman" w:hAnsi="Times New Roman"/>
          <w:sz w:val="22"/>
          <w:szCs w:val="22"/>
          <w:b w:val="1"/>
          <w:bCs w:val="1"/>
          <w:color w:val="auto"/>
        </w:rPr>
        <w:t>HSR</w:t>
      </w:r>
      <w:r>
        <w:rPr>
          <w:rFonts w:ascii="Times New Roman" w:cs="Times New Roman" w:eastAsia="Times New Roman" w:hAnsi="Times New Roman"/>
          <w:sz w:val="22"/>
          <w:szCs w:val="22"/>
          <w:color w:val="auto"/>
        </w:rPr>
        <w:t>”), has expired or been terminated, and any other required clearances, approvals or authorizations of filings and registrations with, and notifications to government authorities under other applicable antitrust and competition laws have been received, in each case, with respect to the ownership by the Holders of voting securities in the Company. The Antitrust Clearance Date shall be deemed to have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22"/>
          <w:szCs w:val="22"/>
          <w:color w:val="auto"/>
        </w:rPr>
        <w:t>occurred with respect to any shares of Convertible Preferred Stock held by a Holder who is not required to undergo the HSR waiting period.</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Redemption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7(h)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Redemption Date</w:t>
      </w:r>
      <w:r>
        <w:rPr>
          <w:rFonts w:ascii="Times New Roman" w:cs="Times New Roman" w:eastAsia="Times New Roman" w:hAnsi="Times New Roman"/>
          <w:sz w:val="22"/>
          <w:szCs w:val="22"/>
          <w:color w:val="auto"/>
        </w:rPr>
        <w:t>” means a Business Day of the Company’s choosing that is no more than thirty five (35), nor less than twenty (20), Business Days after the Antitrust Trigger Event occurs.</w:t>
      </w:r>
    </w:p>
    <w:p>
      <w:pPr>
        <w:spacing w:after="0" w:line="13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Trigger Event</w:t>
      </w:r>
      <w:r>
        <w:rPr>
          <w:rFonts w:ascii="Times New Roman" w:cs="Times New Roman" w:eastAsia="Times New Roman" w:hAnsi="Times New Roman"/>
          <w:sz w:val="22"/>
          <w:szCs w:val="22"/>
          <w:color w:val="auto"/>
        </w:rPr>
        <w:t>” means, with respect to any share of Convertible Preferred Stock the event that the Antitrust Clearance Date has not occurred as of the one-year anniversary of the Initial Issue Date with respect to such share.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Company’s board of directors or a committee of such board duly authorized to act on behalf of such board.</w:t>
      </w:r>
    </w:p>
    <w:p>
      <w:pPr>
        <w:spacing w:after="0" w:line="1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Buy-In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10(e)(v)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means any Physical Certificate or Electronic Certificate.</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Designations</w:t>
      </w:r>
      <w:r>
        <w:rPr>
          <w:rFonts w:ascii="Times New Roman" w:cs="Times New Roman" w:eastAsia="Times New Roman" w:hAnsi="Times New Roman"/>
          <w:sz w:val="22"/>
          <w:szCs w:val="22"/>
          <w:color w:val="auto"/>
        </w:rPr>
        <w:t>” means this Amended and Restated Certificate of Designations, as amended, supplemented and/or restated from time to time.</w:t>
      </w:r>
    </w:p>
    <w:p>
      <w:pPr>
        <w:spacing w:after="0" w:line="1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means the Company’s Amended and Restated Certificate of Incorporation, as the same may be further amended, supplemented or restated from time to time.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of the following events:</w:t>
      </w:r>
    </w:p>
    <w:p>
      <w:pPr>
        <w:spacing w:after="0" w:line="197" w:lineRule="exact"/>
        <w:rPr>
          <w:sz w:val="20"/>
          <w:szCs w:val="20"/>
          <w:color w:val="auto"/>
        </w:rPr>
      </w:pPr>
    </w:p>
    <w:p>
      <w:pPr>
        <w:jc w:val="both"/>
        <w:ind w:firstLine="656"/>
        <w:spacing w:after="0" w:line="239"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“group” (within the meaning of Section 13(d)(3) of the Exchange Act), other than the Company, its Wholly Owned Subsidiaries or a Holder (together with its Affiliates), has become the direct or indirect “beneficial owner” (as defined below) of shares of the Company’s common equity representing at least fifty percent (50%) of the voting power of all of the Company’s then-outstanding common equity; or</w:t>
      </w:r>
    </w:p>
    <w:p>
      <w:pPr>
        <w:spacing w:after="0" w:line="15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(i) any sale, lease, transfer, exclusive license or other disposition, in one transaction or a series of transactions, of all or substantially all of the assets of the Company and its Subsidiaries, taken as a whole, to any Person; or (ii) any transaction or series</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8" w:name="page109"/>
    <w:bookmarkEnd w:id="108"/>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at least fifty percent (50%) of all classes of common equity of the surviving, continuing or acquiring company or other transferee, as applicable, or the parent thereof, will be deemed not to be a Change of Control pursuant to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For the purposes of this definition, (x) any transaction or event described in both </w:t>
      </w:r>
      <w:r>
        <w:rPr>
          <w:rFonts w:ascii="Times New Roman" w:cs="Times New Roman" w:eastAsia="Times New Roman" w:hAnsi="Times New Roman"/>
          <w:sz w:val="21"/>
          <w:szCs w:val="21"/>
          <w:b w:val="1"/>
          <w:bCs w:val="1"/>
          <w:color w:val="auto"/>
        </w:rPr>
        <w:t>clause (a)</w:t>
      </w:r>
      <w:r>
        <w:rPr>
          <w:rFonts w:ascii="Times New Roman" w:cs="Times New Roman" w:eastAsia="Times New Roman" w:hAnsi="Times New Roman"/>
          <w:sz w:val="21"/>
          <w:szCs w:val="21"/>
          <w:color w:val="auto"/>
        </w:rPr>
        <w:t xml:space="preserve"> and in </w:t>
      </w:r>
      <w:r>
        <w:rPr>
          <w:rFonts w:ascii="Times New Roman" w:cs="Times New Roman" w:eastAsia="Times New Roman" w:hAnsi="Times New Roman"/>
          <w:sz w:val="21"/>
          <w:szCs w:val="21"/>
          <w:b w:val="1"/>
          <w:bCs w:val="1"/>
          <w:color w:val="auto"/>
        </w:rPr>
        <w:t>clause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(b)(i)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(ii) </w:t>
      </w:r>
      <w:r>
        <w:rPr>
          <w:rFonts w:ascii="Times New Roman" w:cs="Times New Roman" w:eastAsia="Times New Roman" w:hAnsi="Times New Roman"/>
          <w:sz w:val="21"/>
          <w:szCs w:val="21"/>
          <w:color w:val="auto"/>
        </w:rPr>
        <w:t>above (without regard to the proviso in</w:t>
      </w:r>
      <w:r>
        <w:rPr>
          <w:rFonts w:ascii="Times New Roman" w:cs="Times New Roman" w:eastAsia="Times New Roman" w:hAnsi="Times New Roman"/>
          <w:sz w:val="21"/>
          <w:szCs w:val="21"/>
          <w:b w:val="1"/>
          <w:bCs w:val="1"/>
          <w:color w:val="auto"/>
        </w:rPr>
        <w:t xml:space="preserve"> clause (b)</w:t>
      </w:r>
      <w:r>
        <w:rPr>
          <w:rFonts w:ascii="Times New Roman" w:cs="Times New Roman" w:eastAsia="Times New Roman" w:hAnsi="Times New Roman"/>
          <w:sz w:val="21"/>
          <w:szCs w:val="21"/>
          <w:color w:val="auto"/>
        </w:rPr>
        <w:t>) will be deemed to occur solely pursuant to</w:t>
      </w:r>
      <w:r>
        <w:rPr>
          <w:rFonts w:ascii="Times New Roman" w:cs="Times New Roman" w:eastAsia="Times New Roman" w:hAnsi="Times New Roman"/>
          <w:sz w:val="21"/>
          <w:szCs w:val="21"/>
          <w:b w:val="1"/>
          <w:bCs w:val="1"/>
          <w:color w:val="auto"/>
        </w:rPr>
        <w:t xml:space="preserve"> clause</w:t>
      </w:r>
    </w:p>
    <w:p>
      <w:pPr>
        <w:spacing w:after="0" w:line="1" w:lineRule="exact"/>
        <w:rPr>
          <w:sz w:val="20"/>
          <w:szCs w:val="20"/>
          <w:color w:val="auto"/>
        </w:rPr>
      </w:pPr>
    </w:p>
    <w:p>
      <w:pPr>
        <w:ind w:right="20" w:firstLine="8"/>
        <w:spacing w:after="0" w:line="237" w:lineRule="auto"/>
        <w:tabs>
          <w:tab w:leader="none" w:pos="344"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above (subject to such proviso); and (y) whether a Person is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and whether shares are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will be determined in accordance with Rule 13d-3 under the Exchange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 Repurchase Date</w:t>
      </w:r>
      <w:r>
        <w:rPr>
          <w:rFonts w:ascii="Times New Roman" w:cs="Times New Roman" w:eastAsia="Times New Roman" w:hAnsi="Times New Roman"/>
          <w:sz w:val="21"/>
          <w:szCs w:val="21"/>
          <w:color w:val="auto"/>
        </w:rPr>
        <w:t xml:space="preserve">” means the date fixed, pursuant to </w:t>
      </w:r>
      <w:r>
        <w:rPr>
          <w:rFonts w:ascii="Times New Roman" w:cs="Times New Roman" w:eastAsia="Times New Roman" w:hAnsi="Times New Roman"/>
          <w:sz w:val="21"/>
          <w:szCs w:val="21"/>
          <w:b w:val="1"/>
          <w:bCs w:val="1"/>
          <w:color w:val="auto"/>
        </w:rPr>
        <w:t>Section 8(c)</w:t>
      </w:r>
      <w:r>
        <w:rPr>
          <w:rFonts w:ascii="Times New Roman" w:cs="Times New Roman" w:eastAsia="Times New Roman" w:hAnsi="Times New Roman"/>
          <w:sz w:val="21"/>
          <w:szCs w:val="21"/>
          <w:color w:val="auto"/>
        </w:rPr>
        <w:t>, for the repurchase of any Convertible Preferred Stock by the Company pursuant to a Repurchase Upon Change of Control.</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Repurchase Notice</w:t>
      </w:r>
      <w:r>
        <w:rPr>
          <w:rFonts w:ascii="Times New Roman" w:cs="Times New Roman" w:eastAsia="Times New Roman" w:hAnsi="Times New Roman"/>
          <w:sz w:val="22"/>
          <w:szCs w:val="22"/>
          <w:color w:val="auto"/>
        </w:rPr>
        <w:t xml:space="preserve">” means a notice (including a notice substantially in the form of the “Change of Control Repurchase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containing the information, or otherwise complying with the requirements, set forth in </w:t>
      </w:r>
      <w:r>
        <w:rPr>
          <w:rFonts w:ascii="Times New Roman" w:cs="Times New Roman" w:eastAsia="Times New Roman" w:hAnsi="Times New Roman"/>
          <w:sz w:val="22"/>
          <w:szCs w:val="22"/>
          <w:b w:val="1"/>
          <w:bCs w:val="1"/>
          <w:color w:val="auto"/>
        </w:rPr>
        <w:t>Section 8(f)(i)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8(f)(ii)</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Repurchase Price</w:t>
      </w:r>
      <w:r>
        <w:rPr>
          <w:rFonts w:ascii="Times New Roman" w:cs="Times New Roman" w:eastAsia="Times New Roman" w:hAnsi="Times New Roman"/>
          <w:sz w:val="22"/>
          <w:szCs w:val="22"/>
          <w:color w:val="auto"/>
        </w:rPr>
        <w:t xml:space="preserve">” means the cash price payable by the Company to repurchase any share of Convertible Preferred Stock upon its Repurchase Upon Change of Control, calculated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8(d)</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 Repurchase Right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common stock, par value $0.001 per share, of the Company, subject to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Abeyance Dividend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Liquidity Conditions</w:t>
      </w:r>
      <w:r>
        <w:rPr>
          <w:rFonts w:ascii="Times New Roman" w:cs="Times New Roman" w:eastAsia="Times New Roman" w:hAnsi="Times New Roman"/>
          <w:sz w:val="22"/>
          <w:szCs w:val="22"/>
          <w:color w:val="auto"/>
        </w:rPr>
        <w:t>” will be satisfied with respect to a Mandatory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Conversion or Redemption if:</w:t>
      </w:r>
    </w:p>
    <w:p>
      <w:pPr>
        <w:spacing w:after="0" w:line="166" w:lineRule="exact"/>
        <w:rPr>
          <w:sz w:val="20"/>
          <w:szCs w:val="20"/>
          <w:color w:val="auto"/>
        </w:rPr>
      </w:pPr>
    </w:p>
    <w:p>
      <w:pPr>
        <w:jc w:val="both"/>
        <w:ind w:firstLine="656"/>
        <w:spacing w:after="0" w:line="243" w:lineRule="auto"/>
        <w:tabs>
          <w:tab w:leader="none" w:pos="129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(i) each share of Common Stock to be issued upon such Mandatory Conversion of any share of Convertible Preferred Stock or that may be issued upon conversion of any share of Convertible Preferred Stock that is subject to such Redemption would be eligible to be offered, sold or otherwise transferred by the Holder of such share of Convertible Preferred Stock pursuant to Rule 144 under the Securities Act (or any successor rule thereto), without any requirements as to volume, manner of sale, availability of current public information (whether or not then satisfied) or notice; or (ii) the offer and sale of such share of Common Stock by such Holder are registered pursuant to an effective registration statement under the Securities Act and such registration statement is reasonably expected by the Company to remain effective and usable, by the Holder to sell such share of Common Stock, continuously during the period from, and including, the date the related Mandatory Conversion Notice or Redemption Notice Date, as applicable, is sent to, and including, the thirtieth (30th) calendar day after the date such share of Common Stock is issued;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each Holder will supply all information reasonably requested by the Company for inclusion, and required to be included, in any registration statement or prospectus supplement related to the resale of the Common Stock issuable upon conversion of the Convertible Preferred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if a Holder fails to provide such information to the Company within fifteen</w:t>
      </w:r>
    </w:p>
    <w:p>
      <w:pPr>
        <w:spacing w:after="0" w:line="2" w:lineRule="exact"/>
        <w:rPr>
          <w:rFonts w:ascii="Times New Roman" w:cs="Times New Roman" w:eastAsia="Times New Roman" w:hAnsi="Times New Roman"/>
          <w:sz w:val="21"/>
          <w:szCs w:val="21"/>
          <w:color w:val="auto"/>
        </w:rPr>
      </w:pPr>
    </w:p>
    <w:p>
      <w:pPr>
        <w:ind w:right="20" w:firstLine="8"/>
        <w:spacing w:after="0" w:line="237" w:lineRule="auto"/>
        <w:tabs>
          <w:tab w:leader="none" w:pos="4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calendar days following any such request, then this </w:t>
      </w:r>
      <w:r>
        <w:rPr>
          <w:rFonts w:ascii="Times New Roman" w:cs="Times New Roman" w:eastAsia="Times New Roman" w:hAnsi="Times New Roman"/>
          <w:sz w:val="22"/>
          <w:szCs w:val="22"/>
          <w:b w:val="1"/>
          <w:bCs w:val="1"/>
          <w:color w:val="auto"/>
        </w:rPr>
        <w:t>clause (a)(ii)</w:t>
      </w:r>
      <w:r>
        <w:rPr>
          <w:rFonts w:ascii="Times New Roman" w:cs="Times New Roman" w:eastAsia="Times New Roman" w:hAnsi="Times New Roman"/>
          <w:sz w:val="22"/>
          <w:szCs w:val="22"/>
          <w:color w:val="auto"/>
        </w:rPr>
        <w:t xml:space="preserve"> will automatically be deemed to be satisfied with respect to such Holder;</w:t>
      </w:r>
    </w:p>
    <w:p>
      <w:pPr>
        <w:spacing w:after="0" w:line="147"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share of Common Stock referred to in </w:t>
      </w:r>
      <w:r>
        <w:rPr>
          <w:rFonts w:ascii="Times New Roman" w:cs="Times New Roman" w:eastAsia="Times New Roman" w:hAnsi="Times New Roman"/>
          <w:sz w:val="21"/>
          <w:szCs w:val="21"/>
          <w:b w:val="1"/>
          <w:bCs w:val="1"/>
          <w:color w:val="auto"/>
        </w:rPr>
        <w:t>clause (a)</w:t>
      </w:r>
      <w:r>
        <w:rPr>
          <w:rFonts w:ascii="Times New Roman" w:cs="Times New Roman" w:eastAsia="Times New Roman" w:hAnsi="Times New Roman"/>
          <w:sz w:val="21"/>
          <w:szCs w:val="21"/>
          <w:color w:val="auto"/>
        </w:rPr>
        <w:t xml:space="preserve"> above (i) will, when issued (or, in the case of </w:t>
      </w:r>
      <w:r>
        <w:rPr>
          <w:rFonts w:ascii="Times New Roman" w:cs="Times New Roman" w:eastAsia="Times New Roman" w:hAnsi="Times New Roman"/>
          <w:sz w:val="21"/>
          <w:szCs w:val="21"/>
          <w:b w:val="1"/>
          <w:bCs w:val="1"/>
          <w:color w:val="auto"/>
        </w:rPr>
        <w:t>clause (a)(ii)</w:t>
      </w:r>
      <w:r>
        <w:rPr>
          <w:rFonts w:ascii="Times New Roman" w:cs="Times New Roman" w:eastAsia="Times New Roman" w:hAnsi="Times New Roman"/>
          <w:sz w:val="21"/>
          <w:szCs w:val="21"/>
          <w:color w:val="auto"/>
        </w:rPr>
        <w:t>, when sold or otherwise transferred pursuant to the registration statement referred to in such</w:t>
      </w:r>
      <w:r>
        <w:rPr>
          <w:rFonts w:ascii="Times New Roman" w:cs="Times New Roman" w:eastAsia="Times New Roman" w:hAnsi="Times New Roman"/>
          <w:sz w:val="21"/>
          <w:szCs w:val="21"/>
          <w:b w:val="1"/>
          <w:bCs w:val="1"/>
          <w:color w:val="auto"/>
        </w:rPr>
        <w:t xml:space="preserve"> clause</w:t>
      </w:r>
      <w:r>
        <w:rPr>
          <w:rFonts w:ascii="Times New Roman" w:cs="Times New Roman" w:eastAsia="Times New Roman" w:hAnsi="Times New Roman"/>
          <w:sz w:val="21"/>
          <w:szCs w:val="21"/>
          <w:color w:val="auto"/>
        </w:rPr>
        <w:t>)</w:t>
      </w:r>
    </w:p>
    <w:p>
      <w:pPr>
        <w:jc w:val="both"/>
        <w:ind w:firstLine="8"/>
        <w:spacing w:after="0" w:line="233" w:lineRule="auto"/>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admitted for book-entry settlement through the Depositary with an “unrestricted” CUSIP number; and (2) not be represented by any certificate that bears a legend referring to transfer restrictions under the Securities Act or other securities laws; and (ii) will, when issued, be listed and admitted for trading, without suspension or material limitation on trading, on any of The New York Stock Exchange, The Nasdaq Global Market or The Nasdaq Global Select Market (or any of their respective successors);</w:t>
      </w:r>
    </w:p>
    <w:p>
      <w:pPr>
        <w:spacing w:after="0" w:line="138" w:lineRule="exact"/>
        <w:rPr>
          <w:rFonts w:ascii="Times New Roman" w:cs="Times New Roman" w:eastAsia="Times New Roman" w:hAnsi="Times New Roman"/>
          <w:sz w:val="22"/>
          <w:szCs w:val="22"/>
          <w:color w:val="auto"/>
        </w:rPr>
      </w:pPr>
    </w:p>
    <w:p>
      <w:pPr>
        <w:jc w:val="both"/>
        <w:ind w:firstLine="656"/>
        <w:spacing w:after="0" w:line="255" w:lineRule="auto"/>
        <w:tabs>
          <w:tab w:leader="none" w:pos="1296"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Company has not received any written threat or notice of delisting or suspension by the applicable exchange referred to in </w:t>
      </w:r>
      <w:r>
        <w:rPr>
          <w:rFonts w:ascii="Times New Roman" w:cs="Times New Roman" w:eastAsia="Times New Roman" w:hAnsi="Times New Roman"/>
          <w:sz w:val="21"/>
          <w:szCs w:val="21"/>
          <w:b w:val="1"/>
          <w:bCs w:val="1"/>
          <w:color w:val="auto"/>
        </w:rPr>
        <w:t>clause (b)(ii)</w:t>
      </w:r>
      <w:r>
        <w:rPr>
          <w:rFonts w:ascii="Times New Roman" w:cs="Times New Roman" w:eastAsia="Times New Roman" w:hAnsi="Times New Roman"/>
          <w:sz w:val="21"/>
          <w:szCs w:val="21"/>
          <w:color w:val="auto"/>
        </w:rPr>
        <w:t xml:space="preserve"> above with a reasonable prospect of delisting, after giving effect to all applicable notice and appeal periods; and (ii) no such delisting or suspension is reasonably likely to occur or is pending based on the Company falling below the minimum listing maintenance requirements of such exchange;</w:t>
      </w:r>
    </w:p>
    <w:p>
      <w:pPr>
        <w:spacing w:after="0" w:line="121" w:lineRule="exact"/>
        <w:rPr>
          <w:rFonts w:ascii="Times New Roman" w:cs="Times New Roman" w:eastAsia="Times New Roman" w:hAnsi="Times New Roman"/>
          <w:sz w:val="21"/>
          <w:szCs w:val="21"/>
          <w:color w:val="auto"/>
        </w:rPr>
      </w:pPr>
    </w:p>
    <w:p>
      <w:pPr>
        <w:jc w:val="both"/>
        <w:ind w:firstLine="656"/>
        <w:spacing w:after="0" w:line="239" w:lineRule="auto"/>
        <w:tabs>
          <w:tab w:leader="none" w:pos="12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Common Stock issuable upon conversion of the Convertible Preferred Stock, together with the shares of Common Stock previously issued upon conversion of the Convertible Preferred Stock, does not exceed the Share Cap, unless the Requisite Stockholder Approval has been obtained or the Share Cap Fall Away has occurred; and</w:t>
      </w:r>
    </w:p>
    <w:p>
      <w:pPr>
        <w:spacing w:after="0" w:line="153" w:lineRule="exact"/>
        <w:rPr>
          <w:rFonts w:ascii="Times New Roman" w:cs="Times New Roman" w:eastAsia="Times New Roman" w:hAnsi="Times New Roman"/>
          <w:sz w:val="22"/>
          <w:szCs w:val="22"/>
          <w:color w:val="auto"/>
        </w:rPr>
      </w:pPr>
    </w:p>
    <w:p>
      <w:pPr>
        <w:jc w:val="both"/>
        <w:ind w:right="20" w:firstLine="656"/>
        <w:spacing w:after="0" w:line="244" w:lineRule="auto"/>
        <w:tabs>
          <w:tab w:leader="none" w:pos="12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Holder, the Company shall not have provided such Holder information that, at the time such Common Stock Liquidity Condition is determined, constitutes material non-public information under the U.S. federal securities laws regarding the Company.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Participating Dividend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Rhythm Pharmaceuticals, Inc., a Delaware corporation.</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Share</w:t>
      </w:r>
      <w:r>
        <w:rPr>
          <w:rFonts w:ascii="Times New Roman" w:cs="Times New Roman" w:eastAsia="Times New Roman" w:hAnsi="Times New Roman"/>
          <w:sz w:val="22"/>
          <w:szCs w:val="22"/>
          <w:color w:val="auto"/>
        </w:rPr>
        <w:t>” means any share of Common Stock issued or issuable upon conversion of any Convertible Preferred Stock.</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 xml:space="preserve">” means, with respect to the conversion of any Convertible Preferred Stock, the type and amount of consideration payable to settle such conversion, determined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means an Optional Conversion Date or a Mandatory Conversion Date.</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 xml:space="preserve">” means a notice substantially in the form of the “Conversion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time, an amount equal to (a) the Initial Liquidation Preference per share of Convertible Preferred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Conversion Rate in effect at such time.</w:t>
      </w:r>
    </w:p>
    <w:p>
      <w:pPr>
        <w:spacing w:after="0" w:line="15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xml:space="preserve">” initially means 20.8333 shares of Common Stock per one thousand dollars ($1,000.00) of Liquidation Preference of the Convertible Preferred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Conversion Rate is subject to adjustment pursuant to </w:t>
      </w:r>
      <w:r>
        <w:rPr>
          <w:rFonts w:ascii="Times New Roman" w:cs="Times New Roman" w:eastAsia="Times New Roman" w:hAnsi="Times New Roman"/>
          <w:sz w:val="22"/>
          <w:szCs w:val="22"/>
          <w:b w:val="1"/>
          <w:bCs w:val="1"/>
          <w:color w:val="auto"/>
        </w:rPr>
        <w:t>Sections 10(f)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10(g)</w:t>
      </w:r>
      <w:r>
        <w:rPr>
          <w:rFonts w:ascii="Times New Roman" w:cs="Times New Roman" w:eastAsia="Times New Roman" w:hAnsi="Times New Roman"/>
          <w:sz w:val="22"/>
          <w:szCs w:val="22"/>
          <w:color w:val="auto"/>
        </w:rPr>
        <w:t>. Each reference in this Certificate of Designations or the Convertible Preferred Stock to the Conversion Rate as of a particular date without setting forth a particular time on such date will be deemed to be a reference to the Conversion Rate immediately before the Close of Business on such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Preferred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Degressive Issuance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Degressive Issuance Sunset Date</w:t>
      </w:r>
      <w:r>
        <w:rPr>
          <w:rFonts w:ascii="Times New Roman" w:cs="Times New Roman" w:eastAsia="Times New Roman" w:hAnsi="Times New Roman"/>
          <w:sz w:val="22"/>
          <w:szCs w:val="22"/>
          <w:color w:val="auto"/>
        </w:rPr>
        <w:t>” means the date on which the Company releases unblinded results for FRI065 Trial Design Of A Double-blind, Randomized, Placebo-controlled, Phase 3 Study Of Setmelanotide In Patients With Hypothalamic Obesity (ClinicalTrials.gov Identifier: NCT05774756) including the results of the Primary Endpoints.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The Depository Trust Company or its successor.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Participant</w:t>
      </w:r>
      <w:r>
        <w:rPr>
          <w:rFonts w:ascii="Times New Roman" w:cs="Times New Roman" w:eastAsia="Times New Roman" w:hAnsi="Times New Roman"/>
          <w:sz w:val="22"/>
          <w:szCs w:val="22"/>
          <w:color w:val="auto"/>
        </w:rPr>
        <w:t>” means any member of, or participant in, the Depositary.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w:t>
      </w:r>
      <w:r>
        <w:rPr>
          <w:rFonts w:ascii="Times New Roman" w:cs="Times New Roman" w:eastAsia="Times New Roman" w:hAnsi="Times New Roman"/>
          <w:sz w:val="22"/>
          <w:szCs w:val="22"/>
          <w:color w:val="auto"/>
        </w:rPr>
        <w:t>” means any Regular Dividend or Participating Dividend.</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Junior Stock</w:t>
      </w:r>
      <w:r>
        <w:rPr>
          <w:rFonts w:ascii="Times New Roman" w:cs="Times New Roman" w:eastAsia="Times New Roman" w:hAnsi="Times New Roman"/>
          <w:sz w:val="22"/>
          <w:szCs w:val="22"/>
          <w:color w:val="auto"/>
        </w:rPr>
        <w:t>” means any class or series of the Company’s stock whose terms do not expressly provide that such class or series will rank senior to, or equally with, the Convertible Preferred Stock with respect to the payment of dividends (without regard to whether or not dividends accumulate cumulatively). As of the Initial Issue Date, the Common Stock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only Dividend Junior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Dividend Parity Stock</w:t>
      </w:r>
      <w:r>
        <w:rPr>
          <w:rFonts w:ascii="Times New Roman" w:cs="Times New Roman" w:eastAsia="Times New Roman" w:hAnsi="Times New Roman"/>
          <w:sz w:val="21"/>
          <w:szCs w:val="21"/>
          <w:color w:val="auto"/>
        </w:rPr>
        <w:t>” means any class or series of the Company’s stock (other than the Convertible Preferred Stock) whose terms expressly provide that such class or series will rank equally with the Convertible Preferred Stock with respect to the payment of dividends (without regard to whether or not dividends accumulate cumulatively). As of the Initial Issue Date, no shares of Dividend Parity Stock are issued or outstanding.</w:t>
      </w:r>
    </w:p>
    <w:p>
      <w:pPr>
        <w:spacing w:after="0" w:line="13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Payment Date</w:t>
      </w:r>
      <w:r>
        <w:rPr>
          <w:rFonts w:ascii="Times New Roman" w:cs="Times New Roman" w:eastAsia="Times New Roman" w:hAnsi="Times New Roman"/>
          <w:sz w:val="22"/>
          <w:szCs w:val="22"/>
          <w:color w:val="auto"/>
        </w:rPr>
        <w:t>” means each Regular Dividend Payment Date with respect to a Regular Dividend and each date on which any declared Participating Dividend is scheduled to be paid on the Convertible Preferred Stock.</w:t>
      </w:r>
    </w:p>
    <w:p>
      <w:pPr>
        <w:spacing w:after="0" w:line="1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Senior Stock</w:t>
      </w:r>
      <w:r>
        <w:rPr>
          <w:rFonts w:ascii="Times New Roman" w:cs="Times New Roman" w:eastAsia="Times New Roman" w:hAnsi="Times New Roman"/>
          <w:sz w:val="22"/>
          <w:szCs w:val="22"/>
          <w:color w:val="auto"/>
        </w:rPr>
        <w:t>” means any class or series of the Company’s stock whose terms expressly provide that such class or series will rank senior to the Convertible Preferred Stock with respect to the payment of dividends (without regard to whether or not dividends accumulate cumulatively). As of the Initial Issue Date, no shares of Dividend Senior Stock are issued or outstanding.</w:t>
      </w:r>
    </w:p>
    <w:p>
      <w:pPr>
        <w:spacing w:after="0" w:line="13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Price</w:t>
      </w:r>
      <w:r>
        <w:rPr>
          <w:rFonts w:ascii="Times New Roman" w:cs="Times New Roman" w:eastAsia="Times New Roman" w:hAnsi="Times New Roman"/>
          <w:sz w:val="22"/>
          <w:szCs w:val="22"/>
          <w:color w:val="auto"/>
        </w:rPr>
        <w:t>” has the following meaning with respect to the issuance or sale of any shares of Common Stock or any Equity-Linked Securities:</w:t>
      </w:r>
    </w:p>
    <w:p>
      <w:pPr>
        <w:spacing w:after="0" w:line="127" w:lineRule="exact"/>
        <w:rPr>
          <w:sz w:val="20"/>
          <w:szCs w:val="20"/>
          <w:color w:val="auto"/>
        </w:rPr>
      </w:pPr>
    </w:p>
    <w:p>
      <w:pPr>
        <w:jc w:val="both"/>
        <w:ind w:firstLine="656"/>
        <w:spacing w:after="0" w:line="244"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issuance or sale of shares of Common Stock, the value of the consideration received or receivable by (or at the direction of) the Company or any of its Affiliates for such shares, expressed as an amount per share of Common Stock; and</w:t>
      </w:r>
    </w:p>
    <w:p>
      <w:pPr>
        <w:spacing w:after="0" w:line="13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issuance or sale of any Equity-Linked Securities, an amount equal to a fraction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w:t>
      </w:r>
    </w:p>
    <w:p>
      <w:pPr>
        <w:spacing w:after="0" w:line="141"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numerator is equal to sum, without duplication, of (x) the value of the aggregate consideration received by the Company for the issuance or sale of such Equity-Linked Securities; and (y) the value of the minimum aggregate additional consideration, if any, payable to purchase or otherwise acquire shares of Common Stock pursuant to such Equity-Linked Securities; and</w:t>
      </w:r>
    </w:p>
    <w:p>
      <w:pPr>
        <w:spacing w:after="0" w:line="153"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95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denominator is equal to the maximum number of shares of Common Stock underlying such Equity-Linked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w:t>
      </w:r>
    </w:p>
    <w:p>
      <w:pPr>
        <w:spacing w:after="0" w:line="166" w:lineRule="exact"/>
        <w:rPr>
          <w:sz w:val="20"/>
          <w:szCs w:val="20"/>
          <w:color w:val="auto"/>
        </w:rPr>
      </w:pPr>
    </w:p>
    <w:p>
      <w:pPr>
        <w:jc w:val="both"/>
        <w:ind w:left="660" w:firstLine="644"/>
        <w:spacing w:after="0" w:line="241"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(b)(i)</w:t>
      </w:r>
      <w:r>
        <w:rPr>
          <w:rFonts w:ascii="Times New Roman" w:cs="Times New Roman" w:eastAsia="Times New Roman" w:hAnsi="Times New Roman"/>
          <w:sz w:val="22"/>
          <w:szCs w:val="22"/>
          <w:color w:val="auto"/>
        </w:rPr>
        <w:t xml:space="preserve"> above, all underwriting commissions, placement agency commissions or similar commissions paid to any broker-dealer by the Company or any of its Affiliates in connection with such issuance or sale (excluding any other fees or expenses incurred by the Company or any of its Affiliates) will be added to the aggregate consideration referred to in such </w:t>
      </w:r>
      <w:r>
        <w:rPr>
          <w:rFonts w:ascii="Times New Roman" w:cs="Times New Roman" w:eastAsia="Times New Roman" w:hAnsi="Times New Roman"/>
          <w:sz w:val="22"/>
          <w:szCs w:val="22"/>
          <w:b w:val="1"/>
          <w:bCs w:val="1"/>
          <w:color w:val="auto"/>
        </w:rPr>
        <w:t>clause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660" w:firstLine="644"/>
        <w:spacing w:after="0" w:line="262"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above, if such minimum aggregate consideration, or such maximum number of shares of Common Stock, is not determinable at the time such</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2" w:name="page113"/>
    <w:bookmarkEnd w:id="112"/>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Equity-Linked Securities are issued or sold, then (1) the initial consideration payable under such Equity-Linked Securities, or the initial number of shares of Common Stock underlying such Equity-Linked Securities, as applicable, will be used; and (2) at each time thereafter when such amount of consideration or number of shares becomes determinable or is otherwise adjusted (including pursuant to “anti-dilution” or similar provisions), there will be deemed to occur, for purposes of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 xml:space="preserve"> and without affecting any prior adjustments theretofore made to the Conversion Rate, an issuance of additional Equity-Linked Securities;</w:t>
      </w:r>
    </w:p>
    <w:p>
      <w:pPr>
        <w:spacing w:after="0" w:line="139" w:lineRule="exact"/>
        <w:rPr>
          <w:sz w:val="20"/>
          <w:szCs w:val="20"/>
          <w:color w:val="auto"/>
        </w:rPr>
      </w:pPr>
    </w:p>
    <w:p>
      <w:pPr>
        <w:jc w:val="both"/>
        <w:ind w:left="660" w:firstLine="644"/>
        <w:spacing w:after="0" w:line="263" w:lineRule="auto"/>
        <w:tabs>
          <w:tab w:leader="none" w:pos="195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above, the surrender, extinguishment, maturity or other expiration of any such Equity-Linked Securities will be deemed not to constitute consideration payable to purchase or otherwise acquire shares of Common Stock pursuant to such Equity-Linked Securities; and</w:t>
      </w:r>
    </w:p>
    <w:p>
      <w:pPr>
        <w:spacing w:after="0" w:line="128" w:lineRule="exact"/>
        <w:rPr>
          <w:rFonts w:ascii="Times New Roman" w:cs="Times New Roman" w:eastAsia="Times New Roman" w:hAnsi="Times New Roman"/>
          <w:sz w:val="21"/>
          <w:szCs w:val="21"/>
          <w:color w:val="auto"/>
        </w:rPr>
      </w:pPr>
    </w:p>
    <w:p>
      <w:pPr>
        <w:jc w:val="both"/>
        <w:ind w:left="660" w:firstLine="644"/>
        <w:spacing w:after="0" w:line="244" w:lineRule="auto"/>
        <w:tabs>
          <w:tab w:leader="none" w:pos="19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such consideration will be the fair value thereof, as of the date such shares or Equity-Linked Securities, as applicable, are issued or sold, determined in good faith by the Board of Directors (or, in the case of cash denominated in U.S. dollars, the face amount thereof).</w:t>
      </w:r>
    </w:p>
    <w:p>
      <w:pPr>
        <w:spacing w:after="0" w:line="1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Electronic Certificate</w:t>
      </w:r>
      <w:r>
        <w:rPr>
          <w:rFonts w:ascii="Times New Roman" w:cs="Times New Roman" w:eastAsia="Times New Roman" w:hAnsi="Times New Roman"/>
          <w:sz w:val="22"/>
          <w:szCs w:val="22"/>
          <w:color w:val="auto"/>
        </w:rPr>
        <w:t>” means any electronic book-entry maintained by the Transfer Agent that represents any share(s) of Convertible Preferred Stock.</w:t>
      </w:r>
    </w:p>
    <w:p>
      <w:pPr>
        <w:spacing w:after="0" w:line="10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Equity-Linked Securities</w:t>
      </w:r>
      <w:r>
        <w:rPr>
          <w:rFonts w:ascii="Times New Roman" w:cs="Times New Roman" w:eastAsia="Times New Roman" w:hAnsi="Times New Roman"/>
          <w:sz w:val="22"/>
          <w:szCs w:val="22"/>
          <w:color w:val="auto"/>
        </w:rPr>
        <w:t>” means any rights, options or warrants to purchase or otherwise acquire (whether immediately, during specified times, upon the satisfaction of any conditions or otherwise) any shares of Common Stock.</w:t>
      </w:r>
    </w:p>
    <w:p>
      <w:pPr>
        <w:spacing w:after="0" w:line="14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Ex-Dividend Date</w:t>
      </w:r>
      <w:r>
        <w:rPr>
          <w:rFonts w:ascii="Times New Roman" w:cs="Times New Roman" w:eastAsia="Times New Roman" w:hAnsi="Times New Roman"/>
          <w:sz w:val="22"/>
          <w:szCs w:val="22"/>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 Issuance</w:t>
      </w:r>
      <w:r>
        <w:rPr>
          <w:rFonts w:ascii="Times New Roman" w:cs="Times New Roman" w:eastAsia="Times New Roman" w:hAnsi="Times New Roman"/>
          <w:sz w:val="22"/>
          <w:szCs w:val="22"/>
          <w:color w:val="auto"/>
        </w:rPr>
        <w:t>” means (a) the Company’s issuance of any securities as full or partial consideration in connection with a merger, acquisition, consolidation or purchase of all or substantially all of the securities or assets of a corporation or other entity; (b) the Company’s issuance or grant of shares of Common Stock, options to purchase shares Common Stock, or any other form of equity-based or equity-related awards (including restricted stock units), to employees, prospective employees who have accepted an offer of employment, directors or consultants of the Company or any of its Subsidiaries pursuant to plans that have been approved by a majority of the members of the Board of Directors or that exist as of the Initial Issue Date; (c)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3" w:name="page114"/>
    <w:bookmarkEnd w:id="11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Company’s issuance of securities upon the exercise, exchange or conversion of any securities that are exercisable or exchangeable for, or convertible into, shares of Common Stock and are outstanding as of the Initial Issue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exercise, exchange or conversion is effected pursuant to the terms of such securities as in effect on the Initial Issue Date; (d) the Company’s issuance of the Convertible Preferred Stock and any shares of Common Stock upon conversion of the Convertible Preferred Stock; and (e) the Company’s issuance or sale of shares of Common Stock or Equity-Linked Securities in connection with sponsored research, collaboration, technology license, development, marketing or other similar agreements or strategic partnerships approved by a majority of the members of the Board of Directors; provided, however, that the aggregate number of shares of Common Stock or Equity-Linked Securities issued pursuant to clause (a) and (e) shall not exceed 10% of the total number of shares of Common Stock issued and outstanding. For purposes of this definition, “consultant” means a consultant that may participate in an “employee benefit plan” in accordance with the definition of such term in Rule 405 under the Securities Act.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any Convertible Preferred Stock is registered in the Register.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Issue Date</w:t>
      </w:r>
      <w:r>
        <w:rPr>
          <w:rFonts w:ascii="Times New Roman" w:cs="Times New Roman" w:eastAsia="Times New Roman" w:hAnsi="Times New Roman"/>
          <w:sz w:val="22"/>
          <w:szCs w:val="22"/>
          <w:color w:val="auto"/>
        </w:rPr>
        <w:t>” means April 15, 2024.</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Liquidation Preference</w:t>
      </w:r>
      <w:r>
        <w:rPr>
          <w:rFonts w:ascii="Times New Roman" w:cs="Times New Roman" w:eastAsia="Times New Roman" w:hAnsi="Times New Roman"/>
          <w:sz w:val="22"/>
          <w:szCs w:val="22"/>
          <w:color w:val="auto"/>
        </w:rPr>
        <w:t>” means one thousand dollars ($1,000.00) per share of Convertible Preferred Stock.</w:t>
      </w:r>
    </w:p>
    <w:p>
      <w:pPr>
        <w:spacing w:after="0" w:line="15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each of at least three nationally recognized independent investment banking firms the Company selects.</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Junior Stock</w:t>
      </w:r>
      <w:r>
        <w:rPr>
          <w:rFonts w:ascii="Times New Roman" w:cs="Times New Roman" w:eastAsia="Times New Roman" w:hAnsi="Times New Roman"/>
          <w:sz w:val="22"/>
          <w:szCs w:val="22"/>
          <w:color w:val="auto"/>
        </w:rPr>
        <w:t>” means any class or series of the Company’s stock whose terms do not expressly provide that such class or series will rank senior to, or equally with, the Convertible Preferred Stock with respect to the distribution of assets upon the Company’s liquidation, dissolution or winding up. As of the Initial Issue Date, the Common Stock is the only Liquidation Junior Stock.</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Parity Stock</w:t>
      </w:r>
      <w:r>
        <w:rPr>
          <w:rFonts w:ascii="Times New Roman" w:cs="Times New Roman" w:eastAsia="Times New Roman" w:hAnsi="Times New Roman"/>
          <w:sz w:val="22"/>
          <w:szCs w:val="22"/>
          <w:color w:val="auto"/>
        </w:rPr>
        <w:t>” means any class or series of the Company’s stock (other than the Convertible Preferred Stock) whose terms expressly provide that such class or series will rank equally with the Convertible Preferred Stock with respect to the distribution of assets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4" w:name="page115"/>
    <w:bookmarkEnd w:id="11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Company’s liquidation, dissolution or winding up. As of the Initial Issue Date, no shares of Liquidation Parity Stock are issued or outstanding.</w:t>
      </w:r>
    </w:p>
    <w:p>
      <w:pPr>
        <w:spacing w:after="0" w:line="154"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Preference</w:t>
      </w:r>
      <w:r>
        <w:rPr>
          <w:rFonts w:ascii="Times New Roman" w:cs="Times New Roman" w:eastAsia="Times New Roman" w:hAnsi="Times New Roman"/>
          <w:sz w:val="22"/>
          <w:szCs w:val="22"/>
          <w:color w:val="auto"/>
        </w:rPr>
        <w:t xml:space="preserve">” means, with respect to the Convertible Preferred Stock, an amount initially equal to the Initial Liquidation Preference per share of Convertible Preferred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Liquidation Preference is subject to adjustment pursuant to </w:t>
      </w:r>
      <w:r>
        <w:rPr>
          <w:rFonts w:ascii="Times New Roman" w:cs="Times New Roman" w:eastAsia="Times New Roman" w:hAnsi="Times New Roman"/>
          <w:sz w:val="22"/>
          <w:szCs w:val="22"/>
          <w:b w:val="1"/>
          <w:bCs w:val="1"/>
          <w:color w:val="auto"/>
        </w:rPr>
        <w:t>Sections 5(a)(ii)(1)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Senior Stock</w:t>
      </w:r>
      <w:r>
        <w:rPr>
          <w:rFonts w:ascii="Times New Roman" w:cs="Times New Roman" w:eastAsia="Times New Roman" w:hAnsi="Times New Roman"/>
          <w:sz w:val="22"/>
          <w:szCs w:val="22"/>
          <w:color w:val="auto"/>
        </w:rPr>
        <w:t>” means any class or series of the Company’s stock whose terms expressly provide that such class or series will rank senior to the Convertible Preferred Stock with respect to the distribution of assets upon the Company’s liquidation, dissolution or winding up. As of the Initial Issue Date, no shares of Liquidation Senior Stock are issued or outstanding.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 Date</w:t>
      </w:r>
      <w:r>
        <w:rPr>
          <w:rFonts w:ascii="Times New Roman" w:cs="Times New Roman" w:eastAsia="Times New Roman" w:hAnsi="Times New Roman"/>
          <w:sz w:val="22"/>
          <w:szCs w:val="22"/>
          <w:color w:val="auto"/>
        </w:rPr>
        <w:t xml:space="preserve">” means a Conversion Date designated with respect to any Convertible Preferred Stock pursuant to </w:t>
      </w:r>
      <w:r>
        <w:rPr>
          <w:rFonts w:ascii="Times New Roman" w:cs="Times New Roman" w:eastAsia="Times New Roman" w:hAnsi="Times New Roman"/>
          <w:sz w:val="22"/>
          <w:szCs w:val="22"/>
          <w:b w:val="1"/>
          <w:bCs w:val="1"/>
          <w:color w:val="auto"/>
        </w:rPr>
        <w:t>Section 10(c)(i)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10(c)(iii)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10(c)(iv)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 Notice Date</w:t>
      </w:r>
      <w:r>
        <w:rPr>
          <w:rFonts w:ascii="Times New Roman" w:cs="Times New Roman" w:eastAsia="Times New Roman" w:hAnsi="Times New Roman"/>
          <w:sz w:val="22"/>
          <w:szCs w:val="22"/>
          <w:color w:val="auto"/>
        </w:rPr>
        <w:t xml:space="preserve">” means, with respect to a Mandatory Conversion, the date on which the Company sends the Mandatory Conversion Notice for such Mandatory Conversion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10(c)(iv)</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 Right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Mandatory Conversion Threshold Price Percentage</w:t>
      </w:r>
      <w:r>
        <w:rPr>
          <w:rFonts w:ascii="Times New Roman" w:cs="Times New Roman" w:eastAsia="Times New Roman" w:hAnsi="Times New Roman"/>
          <w:sz w:val="22"/>
          <w:szCs w:val="22"/>
          <w:color w:val="auto"/>
        </w:rPr>
        <w:t>” means two-hundred and fifty percent (250%).</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Minimum Price Conversion Rate</w:t>
      </w:r>
      <w:r>
        <w:rPr>
          <w:rFonts w:ascii="Times New Roman" w:cs="Times New Roman" w:eastAsia="Times New Roman" w:hAnsi="Times New Roman"/>
          <w:sz w:val="22"/>
          <w:szCs w:val="22"/>
          <w:color w:val="auto"/>
        </w:rPr>
        <w:t>” means 23.0786 shares of Common Stock per one thousand dollars ($1,000.00) of Liquidation Preference of the Convertible Preferred Stock, subject to adjustment in the manner set forth in Section 10(f)(i)(1).</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Minimum Price Voting Rate</w:t>
      </w:r>
      <w:r>
        <w:rPr>
          <w:rFonts w:ascii="Times New Roman" w:cs="Times New Roman" w:eastAsia="Times New Roman" w:hAnsi="Times New Roman"/>
          <w:sz w:val="22"/>
          <w:szCs w:val="22"/>
          <w:color w:val="auto"/>
        </w:rPr>
        <w:t>” means 24.9438 shares of Common Stock per one thousand dollars ($1,000.00) of Liquidation Preference of the Convertible Preferred Stock, subject to adjustment in the manner set forth in Section 10(f)(i)(1).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5" w:name="page116"/>
    <w:bookmarkEnd w:id="115"/>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Secretary, any Assistant Secretary or any Vice-President of the Company.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Conversion</w:t>
      </w:r>
      <w:r>
        <w:rPr>
          <w:rFonts w:ascii="Times New Roman" w:cs="Times New Roman" w:eastAsia="Times New Roman" w:hAnsi="Times New Roman"/>
          <w:sz w:val="22"/>
          <w:szCs w:val="22"/>
          <w:color w:val="auto"/>
        </w:rPr>
        <w:t>” means the conversion of any Convertible Preferred Stock other than a Mandatory Conversion.</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Conversion Date</w:t>
      </w:r>
      <w:r>
        <w:rPr>
          <w:rFonts w:ascii="Times New Roman" w:cs="Times New Roman" w:eastAsia="Times New Roman" w:hAnsi="Times New Roman"/>
          <w:sz w:val="22"/>
          <w:szCs w:val="22"/>
          <w:color w:val="auto"/>
        </w:rPr>
        <w:t xml:space="preserve">” means, with respect to the Optional Conversion of any Convertible Preferred Stock, the first Business Day on which the requirements set forth in </w:t>
      </w:r>
      <w:r>
        <w:rPr>
          <w:rFonts w:ascii="Times New Roman" w:cs="Times New Roman" w:eastAsia="Times New Roman" w:hAnsi="Times New Roman"/>
          <w:sz w:val="22"/>
          <w:szCs w:val="22"/>
          <w:b w:val="1"/>
          <w:bCs w:val="1"/>
          <w:color w:val="auto"/>
        </w:rPr>
        <w:t>Section 10(d)(ii)</w:t>
      </w:r>
      <w:r>
        <w:rPr>
          <w:rFonts w:ascii="Times New Roman" w:cs="Times New Roman" w:eastAsia="Times New Roman" w:hAnsi="Times New Roman"/>
          <w:sz w:val="22"/>
          <w:szCs w:val="22"/>
          <w:color w:val="auto"/>
        </w:rPr>
        <w:t xml:space="preserve"> for such conversion are satisfied.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Ownership Limitation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Participating Dividend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Certificate</w:t>
      </w:r>
      <w:r>
        <w:rPr>
          <w:rFonts w:ascii="Times New Roman" w:cs="Times New Roman" w:eastAsia="Times New Roman" w:hAnsi="Times New Roman"/>
          <w:sz w:val="22"/>
          <w:szCs w:val="22"/>
          <w:color w:val="auto"/>
        </w:rPr>
        <w:t xml:space="preserve">” means any certificate (other than an Electronic Certificate) representing any share(s) of Convertible Preferred Stock, which certificate is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Holder of such share(s) and duly executed by the Company and countersigned by the Transfer Agent.</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means, with respect to any dividend or distribution on, or issuance to holders of, Convertible Preferred Stock or Common Stock, the date fixed (whether by law, contract or the Board of Directors or otherwise) to determine the Holders or the holders of Common Stock, as applicable, that are entitled to such dividend, distribution or issuance.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xml:space="preserve">” means the repurchase of any Convertible Preferred Stock by the Company pursuant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xml:space="preserve">” means the date fixed, pursuant to </w:t>
      </w:r>
      <w:r>
        <w:rPr>
          <w:rFonts w:ascii="Times New Roman" w:cs="Times New Roman" w:eastAsia="Times New Roman" w:hAnsi="Times New Roman"/>
          <w:sz w:val="22"/>
          <w:szCs w:val="22"/>
          <w:b w:val="1"/>
          <w:bCs w:val="1"/>
          <w:color w:val="auto"/>
        </w:rPr>
        <w:t>Section 7(d)</w:t>
      </w:r>
      <w:r>
        <w:rPr>
          <w:rFonts w:ascii="Times New Roman" w:cs="Times New Roman" w:eastAsia="Times New Roman" w:hAnsi="Times New Roman"/>
          <w:sz w:val="22"/>
          <w:szCs w:val="22"/>
          <w:color w:val="auto"/>
        </w:rPr>
        <w:t>, for the settlement of the repurchase of the Convertible Preferred Stock by the Company pursuant to a Redemption.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7(f)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 Date</w:t>
      </w:r>
      <w:r>
        <w:rPr>
          <w:rFonts w:ascii="Times New Roman" w:cs="Times New Roman" w:eastAsia="Times New Roman" w:hAnsi="Times New Roman"/>
          <w:sz w:val="22"/>
          <w:szCs w:val="22"/>
          <w:color w:val="auto"/>
        </w:rPr>
        <w:t xml:space="preserve">” means, with respect to a Redemption of the Convertible Preferred Stock, the date on which the Company sends the related Redemption Notice pursuant to </w:t>
      </w:r>
      <w:r>
        <w:rPr>
          <w:rFonts w:ascii="Times New Roman" w:cs="Times New Roman" w:eastAsia="Times New Roman" w:hAnsi="Times New Roman"/>
          <w:sz w:val="22"/>
          <w:szCs w:val="22"/>
          <w:b w:val="1"/>
          <w:bCs w:val="1"/>
          <w:color w:val="auto"/>
        </w:rPr>
        <w:t>Section 7(f)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6" w:name="page117"/>
    <w:bookmarkEnd w:id="116"/>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xml:space="preserve">” means the consideration payable by the Company to repurchase any Convertible Preferred Stock upon its Redemption, calculated pursuant to </w:t>
      </w:r>
      <w:r>
        <w:rPr>
          <w:rFonts w:ascii="Times New Roman" w:cs="Times New Roman" w:eastAsia="Times New Roman" w:hAnsi="Times New Roman"/>
          <w:sz w:val="22"/>
          <w:szCs w:val="22"/>
          <w:b w:val="1"/>
          <w:bCs w:val="1"/>
          <w:color w:val="auto"/>
        </w:rPr>
        <w:t>Section 7(e)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Trigger Date</w:t>
      </w:r>
      <w:r>
        <w:rPr>
          <w:rFonts w:ascii="Times New Roman" w:cs="Times New Roman" w:eastAsia="Times New Roman" w:hAnsi="Times New Roman"/>
          <w:sz w:val="22"/>
          <w:szCs w:val="22"/>
          <w:color w:val="auto"/>
        </w:rPr>
        <w:t>” means the fifth anniversary of the Initial Issue Date.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Dividend Payment Date</w:t>
      </w:r>
      <w:r>
        <w:rPr>
          <w:rFonts w:ascii="Times New Roman" w:cs="Times New Roman" w:eastAsia="Times New Roman" w:hAnsi="Times New Roman"/>
          <w:sz w:val="22"/>
          <w:szCs w:val="22"/>
          <w:color w:val="auto"/>
        </w:rPr>
        <w:t>” means, with respect to any share of Convertible Preferred Stock, each January 1, April 1, July 1 and October 1 of each year, beginning on July 1, 2026 (or beginning on such other date specified in the Certificate representing such share).</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Dividend Period</w:t>
      </w:r>
      <w:r>
        <w:rPr>
          <w:rFonts w:ascii="Times New Roman" w:cs="Times New Roman" w:eastAsia="Times New Roman" w:hAnsi="Times New Roman"/>
          <w:sz w:val="22"/>
          <w:szCs w:val="22"/>
          <w:color w:val="auto"/>
        </w:rPr>
        <w:t>” means each period from, and including, a Regular Dividend Payment Date (or, in the case of the first Regular Dividend Period, from, and including, the Initial Issue Date) to, but excluding, the next Regular Dividend Payment Date.</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Dividend Rate</w:t>
      </w:r>
      <w:r>
        <w:rPr>
          <w:rFonts w:ascii="Times New Roman" w:cs="Times New Roman" w:eastAsia="Times New Roman" w:hAnsi="Times New Roman"/>
          <w:sz w:val="22"/>
          <w:szCs w:val="22"/>
          <w:color w:val="auto"/>
        </w:rPr>
        <w:t>” means (a) for the period beginning on, and including, the Initial Issue Date and ending on, but excluding, the second anniversary of the Initial Issue Date, zero percent (0%) per annum and (b) for the period beginning on, and including, the second anniversary of the Initial Issue Date, six percent (6%) per annum.</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Dividends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5(a)(i)(1)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Reported Share Outstanding Number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Upon Change of Control</w:t>
      </w:r>
      <w:r>
        <w:rPr>
          <w:rFonts w:ascii="Times New Roman" w:cs="Times New Roman" w:eastAsia="Times New Roman" w:hAnsi="Times New Roman"/>
          <w:sz w:val="22"/>
          <w:szCs w:val="22"/>
          <w:color w:val="auto"/>
        </w:rPr>
        <w:t xml:space="preserve">” means the repurchase of any Convertible Preferred Stock by the Company pursuant to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Requisite Stockholder Approval</w:t>
      </w:r>
      <w:r>
        <w:rPr>
          <w:rFonts w:ascii="Times New Roman" w:cs="Times New Roman" w:eastAsia="Times New Roman" w:hAnsi="Times New Roman"/>
          <w:sz w:val="22"/>
          <w:szCs w:val="22"/>
          <w:color w:val="auto"/>
        </w:rPr>
        <w:t xml:space="preserve">” means the stockholder approval contemplated by the Nasdaq listing rules with respect to the issuance of shares of Common Stock upon conversion of the Convertible Preferred Stock in excess of the limitations imposed by such rule; provided, however, that the Requisite Stockholder Approval will be deemed to be obtained if, due to any amendment or binding change in the interpretation of the applicable listing standards of The Nasdaq Stock Market, such stockholder approval is no longer required for the Company to settle all conversions of the Convertible Preferred Stock in shares of Common Stock without regard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10(h)</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right="1300"/>
        <w:spacing w:after="0" w:line="4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Revenue Interest Financing Agreement</w:t>
      </w:r>
      <w:r>
        <w:rPr>
          <w:rFonts w:ascii="Times New Roman" w:cs="Times New Roman" w:eastAsia="Times New Roman" w:hAnsi="Times New Roman"/>
          <w:sz w:val="22"/>
          <w:szCs w:val="22"/>
          <w:color w:val="auto"/>
        </w:rPr>
        <w:t>” means that certain Revenue Interest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2"/>
          <w:szCs w:val="22"/>
          <w:color w:val="auto"/>
        </w:rPr>
        <w:t>Financing Agreement, dated as of June 16, 2022, among Rhythm Pharmaceuticals, Inc., entities managed by Healthcare Royalty Management, LLC identified therein, as investors, and HCR Collateral Management, LLC, as Investor Representative.</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under the Securities Act (or any successor rule thereto), as the same may be amended from time to time.</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Convertible Preferred Stock or Conversion Share.</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Cap</w:t>
      </w:r>
      <w:r>
        <w:rPr>
          <w:rFonts w:ascii="Times New Roman" w:cs="Times New Roman" w:eastAsia="Times New Roman" w:hAnsi="Times New Roman"/>
          <w:sz w:val="22"/>
          <w:szCs w:val="22"/>
          <w:color w:val="auto"/>
        </w:rPr>
        <w:t>” means 12,186,607 shares of Common Stock, subject to adjustment in the manner set forth in Section 10(f)(i)(1).</w:t>
      </w:r>
    </w:p>
    <w:p>
      <w:pPr>
        <w:spacing w:after="0" w:line="1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Cap Fall Away</w:t>
      </w:r>
      <w:r>
        <w:rPr>
          <w:rFonts w:ascii="Times New Roman" w:cs="Times New Roman" w:eastAsia="Times New Roman" w:hAnsi="Times New Roman"/>
          <w:sz w:val="22"/>
          <w:szCs w:val="22"/>
          <w:color w:val="auto"/>
        </w:rPr>
        <w:t>” means the event that, as of the Degressive Issuance Sunset Date, the Conversion Rate has not been adjusted as set forth in Section 10(f)(i)(2) to be greater than the Minimum Price Conversion Rate.</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for the Company’s primary trading market or quotation system with respect to the Common Stock that is in effect on the Conversion Date, which as of the Initial Issue Date was “T+2.”</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10(e)(iv)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 Voting Power</w:t>
      </w:r>
      <w:r>
        <w:rPr>
          <w:rFonts w:ascii="Times New Roman" w:cs="Times New Roman" w:eastAsia="Times New Roman" w:hAnsi="Times New Roman"/>
          <w:sz w:val="22"/>
          <w:szCs w:val="22"/>
          <w:color w:val="auto"/>
        </w:rPr>
        <w:t>” means the aggregate number of votes entitled to be cast generally at a meeting of the Company’s stockholders held for the election of directors, with the calculation of such aggregate number of votes being conclusively made for all purposes under this Certificate of Designations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21"/>
          <w:szCs w:val="21"/>
          <w:color w:val="auto"/>
        </w:rPr>
        <w:t>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w:t>
      </w:r>
    </w:p>
    <w:p>
      <w:pPr>
        <w:spacing w:after="0" w:line="1" w:lineRule="exact"/>
        <w:rPr>
          <w:sz w:val="20"/>
          <w:szCs w:val="20"/>
          <w:color w:val="auto"/>
        </w:rPr>
      </w:pPr>
    </w:p>
    <w:p>
      <w:pPr>
        <w:jc w:val="both"/>
        <w:ind w:firstLine="8"/>
        <w:spacing w:after="0" w:line="232" w:lineRule="auto"/>
        <w:tabs>
          <w:tab w:leader="none" w:pos="31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10(i)(iii)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Survivor of a Change of Control</w:t>
      </w:r>
      <w:r>
        <w:rPr>
          <w:rFonts w:ascii="Times New Roman" w:cs="Times New Roman" w:eastAsia="Times New Roman" w:hAnsi="Times New Roman"/>
          <w:sz w:val="22"/>
          <w:szCs w:val="22"/>
          <w:color w:val="auto"/>
        </w:rPr>
        <w:t>” means the issuer of the securities received by the holders of Common Stock upon the consummation of a Change of Control, to the extent the holders of Common Stock receive other securities in exchange, conversion or substitution of their Common Stock in the transaction that resulted in such Change of Control.</w:t>
      </w:r>
    </w:p>
    <w:p>
      <w:pPr>
        <w:spacing w:after="0" w:line="13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Computershare Trust Company N.A. or its successor.</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Transfer-Restricted Security</w:t>
      </w:r>
      <w:r>
        <w:rPr>
          <w:rFonts w:ascii="Times New Roman" w:cs="Times New Roman" w:eastAsia="Times New Roman" w:hAnsi="Times New Roman"/>
          <w:sz w:val="22"/>
          <w:szCs w:val="22"/>
          <w:color w:val="auto"/>
        </w:rPr>
        <w:t xml:space="preserve">” means any Security that constitutes a “restricted security” (as defined in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Security will cease to be a Transfer-Restricted Security upon the earliest to occur of the following events:</w:t>
      </w:r>
    </w:p>
    <w:p>
      <w:pPr>
        <w:spacing w:after="0" w:line="131" w:lineRule="exact"/>
        <w:rPr>
          <w:sz w:val="20"/>
          <w:szCs w:val="20"/>
          <w:color w:val="auto"/>
        </w:rPr>
      </w:pPr>
    </w:p>
    <w:p>
      <w:pPr>
        <w:jc w:val="both"/>
        <w:ind w:firstLine="656"/>
        <w:spacing w:after="0" w:line="244"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32"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53"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 and (ii) the Company has received such certificates or other documentation or evidence as the Company may reasonably require to</w:t>
      </w:r>
    </w:p>
    <w:p>
      <w:pPr>
        <w:spacing w:after="0" w:line="200" w:lineRule="exact"/>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9" w:name="page120"/>
    <w:bookmarkEnd w:id="11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determine that the security is eligible for resale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and the Holder, holder or beneficial owner of such Security is not, and that has not been during the immediately preceding three (3) months, an Affiliate of the Company.</w:t>
      </w:r>
    </w:p>
    <w:p>
      <w:pPr>
        <w:spacing w:after="0" w:line="1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For purposes of this Certificate of Designations:</w:t>
      </w:r>
    </w:p>
    <w:p>
      <w:pPr>
        <w:spacing w:after="0" w:line="166"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16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expresses a command;</w:t>
      </w:r>
    </w:p>
    <w:p>
      <w:pPr>
        <w:spacing w:after="0" w:line="16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a set of numerical values refers to the arithmetic average of such numerical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values;</w:t>
      </w:r>
    </w:p>
    <w:p>
      <w:pPr>
        <w:spacing w:after="0" w:line="142" w:lineRule="exact"/>
        <w:rPr>
          <w:sz w:val="20"/>
          <w:szCs w:val="20"/>
          <w:color w:val="auto"/>
        </w:rPr>
      </w:pPr>
    </w:p>
    <w:p>
      <w:pPr>
        <w:jc w:val="both"/>
        <w:ind w:firstLine="656"/>
        <w:spacing w:after="0" w:line="244"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46" w:lineRule="exact"/>
        <w:rPr>
          <w:rFonts w:ascii="Times New Roman" w:cs="Times New Roman" w:eastAsia="Times New Roman" w:hAnsi="Times New Roman"/>
          <w:sz w:val="22"/>
          <w:szCs w:val="22"/>
          <w:color w:val="auto"/>
        </w:rPr>
      </w:pPr>
    </w:p>
    <w:p>
      <w:pPr>
        <w:ind w:right="20" w:firstLine="656"/>
        <w:spacing w:after="0" w:line="258"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 unless the context requires otherwise;</w:t>
      </w:r>
    </w:p>
    <w:p>
      <w:pPr>
        <w:spacing w:after="0" w:line="11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Certificate of Designations as a whole and not to any particular Section or other subdivision of this Certificate of Designations, unless the context requires otherwise;</w:t>
      </w:r>
    </w:p>
    <w:p>
      <w:pPr>
        <w:spacing w:after="0" w:line="132"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currency mean the lawful currency of the United States of America, unless the context requires otherwise; and</w:t>
      </w:r>
    </w:p>
    <w:p>
      <w:pPr>
        <w:spacing w:after="0" w:line="131"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exhibits, schedules and other attachments to this Certificate of Designations are deemed to form part of this Certificate of Designations.</w:t>
      </w:r>
    </w:p>
    <w:p>
      <w:pPr>
        <w:spacing w:after="0" w:line="11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THE CONVERTIBLE PREFERRED STOCK</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656"/>
        <w:spacing w:after="0" w:line="241"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Designation; Par Value</w:t>
      </w:r>
      <w:r>
        <w:rPr>
          <w:rFonts w:ascii="Times New Roman" w:cs="Times New Roman" w:eastAsia="Times New Roman" w:hAnsi="Times New Roman"/>
          <w:sz w:val="22"/>
          <w:szCs w:val="22"/>
          <w:color w:val="auto"/>
        </w:rPr>
        <w:t>. A series of stock of the Company titled the “Series A Convertible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Preferred Stock” (the “</w:t>
      </w:r>
      <w:r>
        <w:rPr>
          <w:rFonts w:ascii="Times New Roman" w:cs="Times New Roman" w:eastAsia="Times New Roman" w:hAnsi="Times New Roman"/>
          <w:sz w:val="22"/>
          <w:szCs w:val="22"/>
          <w:b w:val="1"/>
          <w:bCs w:val="1"/>
          <w:color w:val="auto"/>
        </w:rPr>
        <w:t>Convertible Preferred Stock</w:t>
      </w:r>
      <w:r>
        <w:rPr>
          <w:rFonts w:ascii="Times New Roman" w:cs="Times New Roman" w:eastAsia="Times New Roman" w:hAnsi="Times New Roman"/>
          <w:sz w:val="22"/>
          <w:szCs w:val="22"/>
          <w:color w:val="auto"/>
        </w:rPr>
        <w:t>”) is hereby designated and created out of the authorized and unissued shares of preferred stock of the Company. The par value of the Convertible Preferred Stock is $0.001 per share.</w:t>
      </w:r>
    </w:p>
    <w:p>
      <w:pPr>
        <w:spacing w:after="0" w:line="144"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Authorized Shares</w:t>
      </w:r>
      <w:r>
        <w:rPr>
          <w:rFonts w:ascii="Times New Roman" w:cs="Times New Roman" w:eastAsia="Times New Roman" w:hAnsi="Times New Roman"/>
          <w:sz w:val="22"/>
          <w:szCs w:val="22"/>
          <w:color w:val="auto"/>
        </w:rPr>
        <w:t>. The total authorized number of shares of Convertible Preferred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Stock is one hundred and fifty thousand (150,000);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by resolution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0" w:name="page121"/>
    <w:bookmarkEnd w:id="120"/>
    <w:p>
      <w:pPr>
        <w:spacing w:after="0" w:line="258" w:lineRule="auto"/>
        <w:rPr>
          <w:sz w:val="20"/>
          <w:szCs w:val="20"/>
          <w:color w:val="auto"/>
        </w:rPr>
      </w:pPr>
      <w:r>
        <w:rPr>
          <w:rFonts w:ascii="Times New Roman" w:cs="Times New Roman" w:eastAsia="Times New Roman" w:hAnsi="Times New Roman"/>
          <w:sz w:val="22"/>
          <w:szCs w:val="22"/>
          <w:color w:val="auto"/>
        </w:rPr>
        <w:t>of the Board of Directors, the total number of authorized shares of Convertible Preferred Stock may hereafter be reduced to a number that is not less than the number of shares of Convertible Preferred Stock then outstanding.</w:t>
      </w:r>
    </w:p>
    <w:p>
      <w:pPr>
        <w:spacing w:after="0" w:line="114"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Dating and Denominations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and Date of Certificates Representing Convertible Preferred Stock</w:t>
      </w:r>
      <w:r>
        <w:rPr>
          <w:rFonts w:ascii="Times New Roman" w:cs="Times New Roman" w:eastAsia="Times New Roman" w:hAnsi="Times New Roman"/>
          <w:sz w:val="22"/>
          <w:szCs w:val="22"/>
          <w:color w:val="auto"/>
        </w:rPr>
        <w:t>. Each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representing any Convertible Preferred Stock will bear the legends required by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 xml:space="preserve"> and may bear notations, legends or endorsements required by law, stock exchange rule or usage or the Depositary.</w:t>
      </w:r>
    </w:p>
    <w:p>
      <w:pPr>
        <w:spacing w:after="0" w:line="12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Certificates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1300" w:firstLine="648"/>
        <w:spacing w:after="0" w:line="241"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Convertible Preferred Stock will be originally issued initially in the form of one or more Electronic Certificates. Electronic Certificates may be exchanged for Physical Certificates, and Physical Certificates may be exchanged for Electronic Certificates, upon request by the Holder thereof pursuant to customary procedures.</w:t>
      </w:r>
    </w:p>
    <w:p>
      <w:pPr>
        <w:spacing w:after="0" w:line="145" w:lineRule="exact"/>
        <w:rPr>
          <w:sz w:val="20"/>
          <w:szCs w:val="20"/>
          <w:color w:val="auto"/>
        </w:rPr>
      </w:pPr>
    </w:p>
    <w:p>
      <w:pPr>
        <w:ind w:left="1960"/>
        <w:spacing w:after="0"/>
        <w:tabs>
          <w:tab w:leader="none" w:pos="3480" w:val="left"/>
        </w:tabs>
        <w:rPr>
          <w:sz w:val="20"/>
          <w:szCs w:val="20"/>
          <w:color w:val="auto"/>
        </w:rPr>
      </w:pP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1"/>
          <w:szCs w:val="21"/>
          <w:i w:val="1"/>
          <w:iCs w:val="1"/>
          <w:color w:val="auto"/>
        </w:rPr>
        <w:t>Electronic Certificates; Interpretation</w:t>
      </w:r>
      <w:r>
        <w:rPr>
          <w:rFonts w:ascii="Times New Roman" w:cs="Times New Roman" w:eastAsia="Times New Roman" w:hAnsi="Times New Roman"/>
          <w:sz w:val="21"/>
          <w:szCs w:val="21"/>
          <w:color w:val="auto"/>
        </w:rPr>
        <w:t>. For purposes of this Certificate of</w:t>
      </w:r>
    </w:p>
    <w:p>
      <w:pPr>
        <w:spacing w:after="0" w:line="30" w:lineRule="exact"/>
        <w:rPr>
          <w:sz w:val="20"/>
          <w:szCs w:val="20"/>
          <w:color w:val="auto"/>
        </w:rPr>
      </w:pPr>
    </w:p>
    <w:p>
      <w:pPr>
        <w:jc w:val="both"/>
        <w:ind w:left="1300"/>
        <w:spacing w:after="0" w:line="231" w:lineRule="auto"/>
        <w:rPr>
          <w:sz w:val="20"/>
          <w:szCs w:val="20"/>
          <w:color w:val="auto"/>
        </w:rPr>
      </w:pPr>
      <w:r>
        <w:rPr>
          <w:rFonts w:ascii="Times New Roman" w:cs="Times New Roman" w:eastAsia="Times New Roman" w:hAnsi="Times New Roman"/>
          <w:sz w:val="22"/>
          <w:szCs w:val="22"/>
          <w:color w:val="auto"/>
        </w:rPr>
        <w:t xml:space="preserve">Designations, (A) each Electronic Certificate will be deemed to include the text of the stock certificate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(B) any legend or other notation that is required to be included on a Certificate will be deemed to be included in any Electronic Certificate notwithstanding that such Electronic Certificate may be in a form that does not permit affixing legends thereto; (C) any reference in this Certificate of Designations to the “delivery” of any Electronic Certificate will be deemed to be satisfied upon the registration of the electronic book-entry representing such Electronic Certificate in the name of the applicable Holder; (D) upon satisfaction of any applicable requirements of the Delaware General Corporation Law, the Certificate of Incorporation and the Bylaws of the Company, and any related requirements of the Transfer Agent, in each case for the issuance of Convertible Preferred Stock in the form of one or more Electronic Certificates, such Electronic Certificates will be deemed to be executed by the Company and countersigned by the Transfer Agent.</w:t>
      </w:r>
    </w:p>
    <w:p>
      <w:pPr>
        <w:spacing w:after="0" w:line="142" w:lineRule="exact"/>
        <w:rPr>
          <w:sz w:val="20"/>
          <w:szCs w:val="20"/>
          <w:color w:val="auto"/>
        </w:rPr>
      </w:pPr>
    </w:p>
    <w:p>
      <w:pPr>
        <w:ind w:left="660" w:firstLine="644"/>
        <w:spacing w:after="0" w:line="262" w:lineRule="auto"/>
        <w:tabs>
          <w:tab w:leader="none" w:pos="19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Bearer Certificates; Denominations</w:t>
      </w:r>
      <w:r>
        <w:rPr>
          <w:rFonts w:ascii="Times New Roman" w:cs="Times New Roman" w:eastAsia="Times New Roman" w:hAnsi="Times New Roman"/>
          <w:sz w:val="22"/>
          <w:szCs w:val="22"/>
          <w:color w:val="auto"/>
        </w:rPr>
        <w:t>. The Convertible Preferred Stock will be issued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in registered form and only in whole numbers of shares.</w:t>
      </w:r>
    </w:p>
    <w:p>
      <w:pPr>
        <w:spacing w:after="0" w:line="109"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Numbers</w:t>
      </w:r>
      <w:r>
        <w:rPr>
          <w:rFonts w:ascii="Times New Roman" w:cs="Times New Roman" w:eastAsia="Times New Roman" w:hAnsi="Times New Roman"/>
          <w:sz w:val="22"/>
          <w:szCs w:val="22"/>
          <w:color w:val="auto"/>
        </w:rPr>
        <w:t>. Each Certificate representing any Convertible Preferred Stock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bear a unique registration number that is not affixed to any other Certificate representing any other outstanding share of Convertible Preferred Stock.</w:t>
      </w:r>
    </w:p>
    <w:p>
      <w:pPr>
        <w:spacing w:after="0" w:line="14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 Delay When Payment Date is Not a Business Day</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660" w:firstLine="644"/>
        <w:spacing w:after="0" w:line="246" w:lineRule="auto"/>
        <w:tabs>
          <w:tab w:leader="none" w:pos="195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r>
        <w:rPr>
          <w:rFonts w:ascii="Times New Roman" w:cs="Times New Roman" w:eastAsia="Times New Roman" w:hAnsi="Times New Roman"/>
          <w:sz w:val="22"/>
          <w:szCs w:val="22"/>
          <w:color w:val="auto"/>
        </w:rPr>
        <w:t>. The Company will pay all cash amounts due on any Convertible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Preferred Stock by check issued in the name of the Holder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Holder has delivered to the Company, no later than the time set forth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1" w:name="page122"/>
    <w:bookmarkEnd w:id="121"/>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in the next sentence, a written request to receive payment by wire transfer to an account of such Holder within the United States, then the Company will pay all such cash amounts by wire transfer of immediately available funds to such account. To be timely, such written request must be delivered no later than the Close of Business on the following date: (x) with respect to the payment of any declared cash Participating Dividend due on a Dividend Payment Date for the Convertible Preferred Stock, the related Record Date; and (y) with respect to any other payment, the date that is fifteen (15) calendar days immediately before the date such payment is due.</w:t>
      </w:r>
    </w:p>
    <w:p>
      <w:pPr>
        <w:spacing w:after="0" w:line="112" w:lineRule="exact"/>
        <w:rPr>
          <w:sz w:val="20"/>
          <w:szCs w:val="20"/>
          <w:color w:val="auto"/>
        </w:rPr>
      </w:pPr>
    </w:p>
    <w:p>
      <w:pPr>
        <w:jc w:val="both"/>
        <w:ind w:left="660" w:firstLine="644"/>
        <w:spacing w:after="0" w:line="236" w:lineRule="auto"/>
        <w:tabs>
          <w:tab w:leader="none" w:pos="195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of Payment when Payment Date is Not a Business Day</w:t>
      </w:r>
      <w:r>
        <w:rPr>
          <w:rFonts w:ascii="Times New Roman" w:cs="Times New Roman" w:eastAsia="Times New Roman" w:hAnsi="Times New Roman"/>
          <w:sz w:val="22"/>
          <w:szCs w:val="22"/>
          <w:color w:val="auto"/>
        </w:rPr>
        <w:t>. If the due date for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any Convertible Preferred Stock as provided in this Certificate of Designations is not a Business Day, then, notwithstanding anything to the contrary in this Certificate of Designations, such payment may be made on the immediately following Business Day and no interest, dividend or other amount will accrue or accumulate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94"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Company will, or will retain another Person (who may be to the Transfer Agent)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as registrar who will, keep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 names and addresses of the Holders, the number of shares of Convertible Preferred Stock held by each Holder and the transfer, exchange, repurchase, Redemption and conversion of the Convertible Preferred Stock. Absent manifest error, the entries in the Register will be conclusive, and the Company and the Transfer Agent may treat each Person whose name is recorded as a Holder in the Register as a Holder for all purposes. The Register will be in written form or in any form capable of being converted into written form reasonably promptly. The Company will promptly provide a copy of the Register to any Holder upon its request.</w:t>
      </w:r>
    </w:p>
    <w:p>
      <w:pPr>
        <w:spacing w:after="0" w:line="1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Stock Legend</w:t>
      </w:r>
      <w:r>
        <w:rPr>
          <w:rFonts w:ascii="Times New Roman" w:cs="Times New Roman" w:eastAsia="Times New Roman" w:hAnsi="Times New Roman"/>
          <w:sz w:val="22"/>
          <w:szCs w:val="22"/>
          <w:color w:val="auto"/>
        </w:rPr>
        <w:t>.</w:t>
      </w:r>
    </w:p>
    <w:p>
      <w:pPr>
        <w:spacing w:after="0" w:line="119"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Each Certificate representing any share of Convertible Preferred Stock</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that is a Transfer-Restricted Security will bear the Restricted Stock Legend.</w:t>
            </w:r>
          </w:p>
        </w:tc>
      </w:tr>
      <w:tr>
        <w:trPr>
          <w:trHeight w:val="376"/>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If any share of Convertible Preferred Stock is issued in exchange for, in</w:t>
            </w:r>
          </w:p>
        </w:tc>
      </w:tr>
    </w:tbl>
    <w:p>
      <w:pPr>
        <w:jc w:val="both"/>
        <w:ind w:left="1300" w:right="20"/>
        <w:spacing w:after="0" w:line="241" w:lineRule="auto"/>
        <w:rPr>
          <w:sz w:val="20"/>
          <w:szCs w:val="20"/>
          <w:color w:val="auto"/>
        </w:rPr>
      </w:pPr>
      <w:r>
        <w:rPr>
          <w:rFonts w:ascii="Times New Roman" w:cs="Times New Roman" w:eastAsia="Times New Roman" w:hAnsi="Times New Roman"/>
          <w:sz w:val="21"/>
          <w:szCs w:val="21"/>
          <w:color w:val="auto"/>
        </w:rPr>
        <w:t xml:space="preserve">substitution of, or to effect a partial conversion of, any other share(s) of Convertible Preferred Stock (such other share(s) being referred to as the “old share(s)” for purposes of this </w:t>
      </w:r>
      <w:r>
        <w:rPr>
          <w:rFonts w:ascii="Times New Roman" w:cs="Times New Roman" w:eastAsia="Times New Roman" w:hAnsi="Times New Roman"/>
          <w:sz w:val="21"/>
          <w:szCs w:val="21"/>
          <w:b w:val="1"/>
          <w:bCs w:val="1"/>
          <w:color w:val="auto"/>
        </w:rPr>
        <w:t>Section 3(f)(i)</w:t>
      </w:r>
    </w:p>
    <w:p>
      <w:pPr>
        <w:spacing w:after="0" w:line="1"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including pursuant to Section</w:t>
      </w:r>
      <w:r>
        <w:rPr>
          <w:rFonts w:ascii="Times New Roman" w:cs="Times New Roman" w:eastAsia="Times New Roman" w:hAnsi="Times New Roman"/>
          <w:sz w:val="22"/>
          <w:szCs w:val="22"/>
          <w:b w:val="1"/>
          <w:bCs w:val="1"/>
          <w:color w:val="auto"/>
        </w:rPr>
        <w:t xml:space="preserve"> 3(h)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3(j)</w:t>
      </w:r>
      <w:r>
        <w:rPr>
          <w:rFonts w:ascii="Times New Roman" w:cs="Times New Roman" w:eastAsia="Times New Roman" w:hAnsi="Times New Roman"/>
          <w:sz w:val="22"/>
          <w:szCs w:val="22"/>
          <w:color w:val="auto"/>
        </w:rPr>
        <w:t>, then the Certificate representing such share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bear the Restricted Stock Legend if the certificate representing such old share(s) bore the Restricted Stock Legend at the time of such exchange or substitution, or on the related Conversion Date with respect to such conversion,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Certificate representing such share need not bear the Restricted Stock Legend if such share does not constitute a Transfer-Restricted Security immediately after such exchange or substitution, or as of such Conversion Date, as applicable.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2" w:name="page123"/>
    <w:bookmarkEnd w:id="122"/>
    <w:p>
      <w:pPr>
        <w:jc w:val="both"/>
        <w:ind w:left="200" w:firstLine="644"/>
        <w:spacing w:after="0" w:line="238" w:lineRule="auto"/>
        <w:tabs>
          <w:tab w:leader="none" w:pos="14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Legends</w:t>
      </w:r>
      <w:r>
        <w:rPr>
          <w:rFonts w:ascii="Times New Roman" w:cs="Times New Roman" w:eastAsia="Times New Roman" w:hAnsi="Times New Roman"/>
          <w:sz w:val="22"/>
          <w:szCs w:val="22"/>
          <w:color w:val="auto"/>
        </w:rPr>
        <w:t>. The Certificate representing any Convertible Preferred Stock may bear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legend or text, not inconsistent with this Certificate of Designations, as may be required by applicable law or by any securities exchange or automated quotation system on which such Convertible Preferred Stock is traded or quoted or as may be otherwise reasonably determined by the Company to be appropriate.</w:t>
      </w:r>
    </w:p>
    <w:p>
      <w:pPr>
        <w:spacing w:after="0" w:line="109"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 on Conversion Shares</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both"/>
        <w:ind w:left="8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 Each Conversion Share will bear a legend substantially to the same effect as the Restricted Stock Legend if the Convertible Preferred Stock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Conversion Share need not bear such a legend if the Company determines, in its reasonable discretion, that such Conversion Share need not bear such a legend.</w:t>
      </w:r>
    </w:p>
    <w:p>
      <w:pPr>
        <w:spacing w:after="0" w:line="110" w:lineRule="exact"/>
        <w:rPr>
          <w:sz w:val="20"/>
          <w:szCs w:val="20"/>
          <w:color w:val="auto"/>
        </w:rPr>
      </w:pPr>
    </w:p>
    <w:p>
      <w:pPr>
        <w:jc w:val="both"/>
        <w:ind w:left="8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(2) Notwithstanding anything to the contrary in </w:t>
      </w:r>
      <w:r>
        <w:rPr>
          <w:rFonts w:ascii="Times New Roman" w:cs="Times New Roman" w:eastAsia="Times New Roman" w:hAnsi="Times New Roman"/>
          <w:sz w:val="22"/>
          <w:szCs w:val="22"/>
          <w:b w:val="1"/>
          <w:bCs w:val="1"/>
          <w:color w:val="auto"/>
        </w:rPr>
        <w:t>Section 3(f)(iii)(1)</w:t>
      </w:r>
      <w:r>
        <w:rPr>
          <w:rFonts w:ascii="Times New Roman" w:cs="Times New Roman" w:eastAsia="Times New Roman" w:hAnsi="Times New Roman"/>
          <w:sz w:val="22"/>
          <w:szCs w:val="22"/>
          <w:color w:val="auto"/>
        </w:rPr>
        <w:t xml:space="preserve">, a Conversion Share need not bear a legend pursuant to </w:t>
      </w:r>
      <w:r>
        <w:rPr>
          <w:rFonts w:ascii="Times New Roman" w:cs="Times New Roman" w:eastAsia="Times New Roman" w:hAnsi="Times New Roman"/>
          <w:sz w:val="22"/>
          <w:szCs w:val="22"/>
          <w:b w:val="1"/>
          <w:bCs w:val="1"/>
          <w:color w:val="auto"/>
        </w:rPr>
        <w:t>Section 3(f)(iii)(1)</w:t>
      </w:r>
      <w:r>
        <w:rPr>
          <w:rFonts w:ascii="Times New Roman" w:cs="Times New Roman" w:eastAsia="Times New Roman" w:hAnsi="Times New Roman"/>
          <w:sz w:val="22"/>
          <w:szCs w:val="22"/>
          <w:color w:val="auto"/>
        </w:rPr>
        <w:t xml:space="preserve"> if such Conversion Share is issued in an uncertificated form that does not permit affixing legends thereto.</w:t>
      </w:r>
    </w:p>
    <w:p>
      <w:pPr>
        <w:spacing w:after="0" w:line="100" w:lineRule="exact"/>
        <w:rPr>
          <w:sz w:val="20"/>
          <w:szCs w:val="20"/>
          <w:color w:val="auto"/>
        </w:rPr>
      </w:pPr>
    </w:p>
    <w:p>
      <w:pPr>
        <w:ind w:left="840" w:hanging="644"/>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Transfer Taxes; Certain Transfer Restrictions</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Applicable to All Transfers and Exchanges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left="8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xml:space="preserve">. Subject to this </w:t>
      </w:r>
      <w:r>
        <w:rPr>
          <w:rFonts w:ascii="Times New Roman" w:cs="Times New Roman" w:eastAsia="Times New Roman" w:hAnsi="Times New Roman"/>
          <w:sz w:val="22"/>
          <w:szCs w:val="22"/>
          <w:b w:val="1"/>
          <w:bCs w:val="1"/>
          <w:color w:val="auto"/>
        </w:rPr>
        <w:t>Section 3(g)</w:t>
      </w:r>
      <w:r>
        <w:rPr>
          <w:rFonts w:ascii="Times New Roman" w:cs="Times New Roman" w:eastAsia="Times New Roman" w:hAnsi="Times New Roman"/>
          <w:sz w:val="22"/>
          <w:szCs w:val="22"/>
          <w:color w:val="auto"/>
        </w:rPr>
        <w:t>, Convertible Preferred Stock represented by any Certificate may be transferred or exchanged from time to time, and the Company will cause each such transfer or exchange to be recorded in the Register.</w:t>
      </w:r>
    </w:p>
    <w:p>
      <w:pPr>
        <w:spacing w:after="0" w:line="100" w:lineRule="exact"/>
        <w:rPr>
          <w:sz w:val="20"/>
          <w:szCs w:val="20"/>
          <w:color w:val="auto"/>
        </w:rPr>
      </w:pPr>
    </w:p>
    <w:p>
      <w:pPr>
        <w:jc w:val="both"/>
        <w:ind w:left="840" w:firstLine="648"/>
        <w:spacing w:after="0" w:line="237"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i w:val="1"/>
          <w:iCs w:val="1"/>
          <w:color w:val="auto"/>
        </w:rPr>
        <w:t>No Services Charge; Transfer Taxes</w:t>
      </w:r>
      <w:r>
        <w:rPr>
          <w:rFonts w:ascii="Times New Roman" w:cs="Times New Roman" w:eastAsia="Times New Roman" w:hAnsi="Times New Roman"/>
          <w:sz w:val="22"/>
          <w:szCs w:val="22"/>
          <w:color w:val="auto"/>
        </w:rPr>
        <w:t xml:space="preserve">. The Company will not impose any service charge on any Holder for any transfer, exchange or conversion of any Convertible Preferred Stock, but the Company may require payment of a sum sufficient to cover any transfer tax or similar governmental charge that may be imposed in connection with any transfer, exchange or conversion, pursuant to </w:t>
      </w:r>
      <w:r>
        <w:rPr>
          <w:rFonts w:ascii="Times New Roman" w:cs="Times New Roman" w:eastAsia="Times New Roman" w:hAnsi="Times New Roman"/>
          <w:sz w:val="22"/>
          <w:szCs w:val="22"/>
          <w:b w:val="1"/>
          <w:bCs w:val="1"/>
          <w:color w:val="auto"/>
        </w:rPr>
        <w:t>Section 11(d)</w:t>
      </w:r>
      <w:r>
        <w:rPr>
          <w:rFonts w:ascii="Times New Roman" w:cs="Times New Roman" w:eastAsia="Times New Roman" w:hAnsi="Times New Roman"/>
          <w:sz w:val="22"/>
          <w:szCs w:val="22"/>
          <w:color w:val="auto"/>
        </w:rPr>
        <w:t xml:space="preserve">, of Convertible Preferred Stock, other than exchanges pursuant to </w:t>
      </w:r>
      <w:r>
        <w:rPr>
          <w:rFonts w:ascii="Times New Roman" w:cs="Times New Roman" w:eastAsia="Times New Roman" w:hAnsi="Times New Roman"/>
          <w:sz w:val="22"/>
          <w:szCs w:val="22"/>
          <w:b w:val="1"/>
          <w:bCs w:val="1"/>
          <w:color w:val="auto"/>
        </w:rPr>
        <w:t>Section 3(h)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3(o)</w:t>
      </w:r>
      <w:r>
        <w:rPr>
          <w:rFonts w:ascii="Times New Roman" w:cs="Times New Roman" w:eastAsia="Times New Roman" w:hAnsi="Times New Roman"/>
          <w:sz w:val="22"/>
          <w:szCs w:val="22"/>
          <w:color w:val="auto"/>
        </w:rPr>
        <w:t xml:space="preserve"> not involving any transfer.</w:t>
      </w:r>
    </w:p>
    <w:p>
      <w:pPr>
        <w:spacing w:after="0" w:line="94" w:lineRule="exact"/>
        <w:rPr>
          <w:sz w:val="20"/>
          <w:szCs w:val="20"/>
          <w:color w:val="auto"/>
        </w:rPr>
      </w:pPr>
    </w:p>
    <w:p>
      <w:pPr>
        <w:ind w:left="1500"/>
        <w:spacing w:after="0"/>
        <w:tabs>
          <w:tab w:leader="none" w:pos="302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i w:val="1"/>
          <w:iCs w:val="1"/>
          <w:color w:val="auto"/>
        </w:rPr>
        <w:t>No  Transfers  or  Exchanges  of  Fractional  Shares</w:t>
      </w:r>
      <w:r>
        <w:rPr>
          <w:rFonts w:ascii="Times New Roman" w:cs="Times New Roman" w:eastAsia="Times New Roman" w:hAnsi="Times New Roman"/>
          <w:sz w:val="22"/>
          <w:szCs w:val="22"/>
          <w:color w:val="auto"/>
        </w:rPr>
        <w:t>.  Notwithstanding</w:t>
      </w:r>
    </w:p>
    <w:p>
      <w:pPr>
        <w:spacing w:after="0" w:line="18" w:lineRule="exact"/>
        <w:rPr>
          <w:sz w:val="20"/>
          <w:szCs w:val="20"/>
          <w:color w:val="auto"/>
        </w:rPr>
      </w:pPr>
    </w:p>
    <w:p>
      <w:pPr>
        <w:jc w:val="both"/>
        <w:ind w:left="840"/>
        <w:spacing w:after="0" w:line="234" w:lineRule="auto"/>
        <w:rPr>
          <w:sz w:val="20"/>
          <w:szCs w:val="20"/>
          <w:color w:val="auto"/>
        </w:rPr>
      </w:pPr>
      <w:r>
        <w:rPr>
          <w:rFonts w:ascii="Times New Roman" w:cs="Times New Roman" w:eastAsia="Times New Roman" w:hAnsi="Times New Roman"/>
          <w:sz w:val="22"/>
          <w:szCs w:val="22"/>
          <w:color w:val="auto"/>
        </w:rPr>
        <w:t>anything to the contrary in this Certificate of Designations, all transfers or exchanges of Convertible Preferred Stock must be in an amount representing a whole number of shares of Convertible Preferred Stock, and no fractional share of Convertible Preferred Stock may be transferred or exchanged.</w:t>
      </w:r>
    </w:p>
    <w:p>
      <w:pPr>
        <w:spacing w:after="0" w:line="106" w:lineRule="exact"/>
        <w:rPr>
          <w:sz w:val="20"/>
          <w:szCs w:val="20"/>
          <w:color w:val="auto"/>
        </w:rPr>
      </w:pPr>
    </w:p>
    <w:p>
      <w:pPr>
        <w:jc w:val="both"/>
        <w:ind w:left="8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xml:space="preserve">. Each Certificate representing any share of Convertible Preferred Stock that is issued upon transfer of, or in exchange for, another share of Convertible Preferred Stock will bear each legend, if any, required by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w:t>
      </w:r>
    </w:p>
    <w:p>
      <w:pPr>
        <w:spacing w:after="0" w:line="3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23" w:name="page124"/>
    <w:bookmarkEnd w:id="123"/>
    <w:p>
      <w:pPr>
        <w:ind w:left="1500"/>
        <w:spacing w:after="0"/>
        <w:tabs>
          <w:tab w:leader="none" w:pos="302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2"/>
          <w:szCs w:val="22"/>
          <w:i w:val="1"/>
          <w:iCs w:val="1"/>
          <w:color w:val="auto"/>
        </w:rPr>
        <w:t>Settlement  of  Transfers  and  Exchanges</w:t>
      </w:r>
      <w:r>
        <w:rPr>
          <w:rFonts w:ascii="Times New Roman" w:cs="Times New Roman" w:eastAsia="Times New Roman" w:hAnsi="Times New Roman"/>
          <w:sz w:val="22"/>
          <w:szCs w:val="22"/>
          <w:color w:val="auto"/>
        </w:rPr>
        <w:t>.  Upon  satisfaction  of  the</w:t>
      </w:r>
    </w:p>
    <w:p>
      <w:pPr>
        <w:spacing w:after="0" w:line="18" w:lineRule="exact"/>
        <w:rPr>
          <w:sz w:val="20"/>
          <w:szCs w:val="20"/>
          <w:color w:val="auto"/>
        </w:rPr>
      </w:pPr>
    </w:p>
    <w:p>
      <w:pPr>
        <w:jc w:val="both"/>
        <w:ind w:left="840"/>
        <w:spacing w:after="0" w:line="232" w:lineRule="auto"/>
        <w:rPr>
          <w:sz w:val="20"/>
          <w:szCs w:val="20"/>
          <w:color w:val="auto"/>
        </w:rPr>
      </w:pPr>
      <w:r>
        <w:rPr>
          <w:rFonts w:ascii="Times New Roman" w:cs="Times New Roman" w:eastAsia="Times New Roman" w:hAnsi="Times New Roman"/>
          <w:sz w:val="22"/>
          <w:szCs w:val="22"/>
          <w:color w:val="auto"/>
        </w:rPr>
        <w:t>requirements of this Certificate of Designations to effect a transfer or exchange of any Convertible Preferred Stock as well as the delivery of all documentation reasonably required by the Transfer Agent or the Company in order to effect any transfer or exchange, the Company will cause such transfer or exchange to be effected as soon as reasonably practicable but in no event later than the number of Trading Days comprising the Standard Settlement Period after the date of such satisfaction.</w:t>
      </w:r>
    </w:p>
    <w:p>
      <w:pPr>
        <w:spacing w:after="0" w:line="179" w:lineRule="exact"/>
        <w:rPr>
          <w:sz w:val="20"/>
          <w:szCs w:val="20"/>
          <w:color w:val="auto"/>
        </w:rPr>
      </w:pPr>
    </w:p>
    <w:p>
      <w:pPr>
        <w:jc w:val="both"/>
        <w:ind w:left="200" w:firstLine="644"/>
        <w:spacing w:after="0" w:line="246" w:lineRule="auto"/>
        <w:tabs>
          <w:tab w:leader="none" w:pos="14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of Shares Subject to Redemption, Repurchase or Conversion</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anything to the contrary in this Certificate of Designations, the Company will not be required to register the transfer of or exchange any share of Convertible Preferred Stock:</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82"/>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that has been surrendered for conversion;</w:t>
            </w:r>
          </w:p>
        </w:tc>
      </w:tr>
      <w:tr>
        <w:trPr>
          <w:trHeight w:val="420"/>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that has been called for Redemption pursuant to a Redemption Notice,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except to the extent that the Company fails to pay the related Redemption Price when due; or</w:t>
            </w:r>
          </w:p>
        </w:tc>
      </w:tr>
      <w:tr>
        <w:trPr>
          <w:trHeight w:val="444"/>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as to which a Change of Control Repurchase Notice has been duly</w:t>
            </w:r>
          </w:p>
        </w:tc>
      </w:tr>
    </w:tbl>
    <w:p>
      <w:pPr>
        <w:jc w:val="both"/>
        <w:ind w:left="840"/>
        <w:spacing w:after="0" w:line="237" w:lineRule="auto"/>
        <w:rPr>
          <w:sz w:val="20"/>
          <w:szCs w:val="20"/>
          <w:color w:val="auto"/>
        </w:rPr>
      </w:pPr>
      <w:r>
        <w:rPr>
          <w:rFonts w:ascii="Times New Roman" w:cs="Times New Roman" w:eastAsia="Times New Roman" w:hAnsi="Times New Roman"/>
          <w:sz w:val="22"/>
          <w:szCs w:val="22"/>
          <w:color w:val="auto"/>
        </w:rPr>
        <w:t xml:space="preserve">delivered, and not withdrawn, pursuant to </w:t>
      </w:r>
      <w:r>
        <w:rPr>
          <w:rFonts w:ascii="Times New Roman" w:cs="Times New Roman" w:eastAsia="Times New Roman" w:hAnsi="Times New Roman"/>
          <w:sz w:val="22"/>
          <w:szCs w:val="22"/>
          <w:b w:val="1"/>
          <w:bCs w:val="1"/>
          <w:color w:val="auto"/>
        </w:rPr>
        <w:t>Section 8(f)</w:t>
      </w:r>
      <w:r>
        <w:rPr>
          <w:rFonts w:ascii="Times New Roman" w:cs="Times New Roman" w:eastAsia="Times New Roman" w:hAnsi="Times New Roman"/>
          <w:sz w:val="22"/>
          <w:szCs w:val="22"/>
          <w:color w:val="auto"/>
        </w:rPr>
        <w:t>, except to the extent that the Company fails to pay the related Change of Control Repurchase Price when due.</w:t>
      </w:r>
    </w:p>
    <w:p>
      <w:pPr>
        <w:spacing w:after="0" w:line="174" w:lineRule="exact"/>
        <w:rPr>
          <w:sz w:val="20"/>
          <w:szCs w:val="20"/>
          <w:color w:val="auto"/>
        </w:rPr>
      </w:pPr>
    </w:p>
    <w:p>
      <w:pPr>
        <w:ind w:left="-460" w:firstLine="656"/>
        <w:spacing w:after="0" w:line="262" w:lineRule="auto"/>
        <w:tabs>
          <w:tab w:leader="none" w:pos="8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and Cancellation of Convertible Preferred Stock to Be Converted or to Be Repurchased Pursuant to a Repurchase Upon Change of Control or a Redemption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firstLine="644"/>
        <w:spacing w:after="0" w:line="233" w:lineRule="auto"/>
        <w:tabs>
          <w:tab w:leader="none" w:pos="149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Conversions of Certificates and Partial Repurchases of Certificates Pursuant to a Repurchase Upon Change of Control</w:t>
      </w:r>
      <w:r>
        <w:rPr>
          <w:rFonts w:ascii="Times New Roman" w:cs="Times New Roman" w:eastAsia="Times New Roman" w:hAnsi="Times New Roman"/>
          <w:sz w:val="22"/>
          <w:szCs w:val="22"/>
          <w:color w:val="auto"/>
        </w:rPr>
        <w:t>. If only a portion of a Holder’s Convertible Preferred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represented by a Certificate (such Certificate being referred to as the “old Certificate” for purposes of this </w:t>
      </w:r>
      <w:r>
        <w:rPr>
          <w:rFonts w:ascii="Times New Roman" w:cs="Times New Roman" w:eastAsia="Times New Roman" w:hAnsi="Times New Roman"/>
          <w:sz w:val="22"/>
          <w:szCs w:val="22"/>
          <w:b w:val="1"/>
          <w:bCs w:val="1"/>
          <w:color w:val="auto"/>
        </w:rPr>
        <w:t>Section 3(h)(i)</w:t>
      </w:r>
      <w:r>
        <w:rPr>
          <w:rFonts w:ascii="Times New Roman" w:cs="Times New Roman" w:eastAsia="Times New Roman" w:hAnsi="Times New Roman"/>
          <w:sz w:val="22"/>
          <w:szCs w:val="22"/>
          <w:color w:val="auto"/>
        </w:rPr>
        <w:t>) is to be converted pursuant to</w:t>
      </w:r>
      <w:r>
        <w:rPr>
          <w:rFonts w:ascii="Times New Roman" w:cs="Times New Roman" w:eastAsia="Times New Roman" w:hAnsi="Times New Roman"/>
          <w:sz w:val="22"/>
          <w:szCs w:val="22"/>
          <w:b w:val="1"/>
          <w:bCs w:val="1"/>
          <w:color w:val="auto"/>
        </w:rPr>
        <w:t xml:space="preserve"> Section 10 </w:t>
      </w:r>
      <w:r>
        <w:rPr>
          <w:rFonts w:ascii="Times New Roman" w:cs="Times New Roman" w:eastAsia="Times New Roman" w:hAnsi="Times New Roman"/>
          <w:sz w:val="22"/>
          <w:szCs w:val="22"/>
          <w:color w:val="auto"/>
        </w:rPr>
        <w:t>or repurchased pursuant to a Repurchase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 of Control, then, as soon as reasonably practicable after such Certificate is surrendered for such conversion or repurchase, as applicable, the Company will cause such Certificate to be exchanged for (1) one or more Certificates that each represent a whole number of shares of Convertible Preferred Stock and, in the aggregate, represent a total number of shares of Convertible Preferred Stock equal to the number of shares of Convertible Preferred Stock represented by such old Certificate that are not to be so converted or repurchased, as applicable, and deliver such Certificate(s) to such Holder; and (2) a Certificate representing a whole number of shares of Convertible Preferred Stock equal to the number of shares of Convertible Preferred Stock represented by such old Certificate that are to be so converted or repurchased, as applicable, which Certificate will be converted or repurchased, as applicable, pursuant to the terms of this Certificate of Designations;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Certificate referred to in this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xml:space="preserve"> need not be issued at any time after which such shares subject to such conversion or repurchase, as applicable, are deemed to cease to be outstanding pursuant to </w:t>
      </w:r>
      <w:r>
        <w:rPr>
          <w:rFonts w:ascii="Times New Roman" w:cs="Times New Roman" w:eastAsia="Times New Roman" w:hAnsi="Times New Roman"/>
          <w:sz w:val="22"/>
          <w:szCs w:val="22"/>
          <w:b w:val="1"/>
          <w:bCs w:val="1"/>
          <w:color w:val="auto"/>
        </w:rPr>
        <w:t>Section 3(n)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24" w:name="page125"/>
    <w:bookmarkEnd w:id="124"/>
    <w:p>
      <w:pPr>
        <w:jc w:val="both"/>
        <w:ind w:left="660" w:firstLine="644"/>
        <w:spacing w:after="0" w:line="233" w:lineRule="auto"/>
        <w:tabs>
          <w:tab w:leader="none" w:pos="195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of Convertible Preferred Stock that Is Converted and Convertible Preferred Stock that Is Repurchased Pursuant to a Repurchase Upon Change of Control or a Redemption</w:t>
      </w:r>
      <w:r>
        <w:rPr>
          <w:rFonts w:ascii="Times New Roman" w:cs="Times New Roman" w:eastAsia="Times New Roman" w:hAnsi="Times New Roman"/>
          <w:sz w:val="22"/>
          <w:szCs w:val="22"/>
          <w:color w:val="auto"/>
        </w:rPr>
        <w:t>. If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Holder’s Convertible Preferred Stock represented by a Certificate (or any portion thereof that has not theretofore been exchanged pursuant to </w:t>
      </w:r>
      <w:r>
        <w:rPr>
          <w:rFonts w:ascii="Times New Roman" w:cs="Times New Roman" w:eastAsia="Times New Roman" w:hAnsi="Times New Roman"/>
          <w:sz w:val="22"/>
          <w:szCs w:val="22"/>
          <w:b w:val="1"/>
          <w:bCs w:val="1"/>
          <w:color w:val="auto"/>
        </w:rPr>
        <w:t>Section 3(h)(i)</w:t>
      </w:r>
      <w:r>
        <w:rPr>
          <w:rFonts w:ascii="Times New Roman" w:cs="Times New Roman" w:eastAsia="Times New Roman" w:hAnsi="Times New Roman"/>
          <w:sz w:val="22"/>
          <w:szCs w:val="22"/>
          <w:color w:val="auto"/>
        </w:rPr>
        <w:t xml:space="preserve">) (such Certificate being referred to as the “old Certificate” for purposes of this </w:t>
      </w:r>
      <w:r>
        <w:rPr>
          <w:rFonts w:ascii="Times New Roman" w:cs="Times New Roman" w:eastAsia="Times New Roman" w:hAnsi="Times New Roman"/>
          <w:sz w:val="22"/>
          <w:szCs w:val="22"/>
          <w:b w:val="1"/>
          <w:bCs w:val="1"/>
          <w:color w:val="auto"/>
        </w:rPr>
        <w:t>Section 3(h)(ii)</w:t>
      </w:r>
      <w:r>
        <w:rPr>
          <w:rFonts w:ascii="Times New Roman" w:cs="Times New Roman" w:eastAsia="Times New Roman" w:hAnsi="Times New Roman"/>
          <w:sz w:val="22"/>
          <w:szCs w:val="22"/>
          <w:color w:val="auto"/>
        </w:rPr>
        <w:t xml:space="preserve">) is to be converted pursuant to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or repurchased pursuant to a Repurchase Upon Change of Control or a Redemption, then, promptly after the later of the time such Convertible Preferred Stock is deemed to cease to be outstanding pursuant to </w:t>
      </w:r>
      <w:r>
        <w:rPr>
          <w:rFonts w:ascii="Times New Roman" w:cs="Times New Roman" w:eastAsia="Times New Roman" w:hAnsi="Times New Roman"/>
          <w:sz w:val="22"/>
          <w:szCs w:val="22"/>
          <w:b w:val="1"/>
          <w:bCs w:val="1"/>
          <w:color w:val="auto"/>
        </w:rPr>
        <w:t>Section 3(n)</w:t>
      </w:r>
      <w:r>
        <w:rPr>
          <w:rFonts w:ascii="Times New Roman" w:cs="Times New Roman" w:eastAsia="Times New Roman" w:hAnsi="Times New Roman"/>
          <w:sz w:val="22"/>
          <w:szCs w:val="22"/>
          <w:color w:val="auto"/>
        </w:rPr>
        <w:t xml:space="preserve"> and the time such Certificate is surrendered for such conversion or repurchase, as applicable, (A) such Certificate will be cancelled pursuant to </w:t>
      </w:r>
      <w:r>
        <w:rPr>
          <w:rFonts w:ascii="Times New Roman" w:cs="Times New Roman" w:eastAsia="Times New Roman" w:hAnsi="Times New Roman"/>
          <w:sz w:val="22"/>
          <w:szCs w:val="22"/>
          <w:b w:val="1"/>
          <w:bCs w:val="1"/>
          <w:color w:val="auto"/>
        </w:rPr>
        <w:t>Section 3(l)</w:t>
      </w:r>
      <w:r>
        <w:rPr>
          <w:rFonts w:ascii="Times New Roman" w:cs="Times New Roman" w:eastAsia="Times New Roman" w:hAnsi="Times New Roman"/>
          <w:sz w:val="22"/>
          <w:szCs w:val="22"/>
          <w:color w:val="auto"/>
        </w:rPr>
        <w:t xml:space="preserve">; and (B) in the case of a partial conversion or repurchase, the Company will issue, execute and deliver to such Holder, and cause the Transfer Agent to countersign, one or more Certificates that (x) each represent a whole number of shares of Convertible Preferred Stock and, in the aggregate, represent a total number of shares of Convertible Preferred Stock equal to the number of shares of Convertible Preferred Stock represented by such old Certificate that are not to be so converted or repurchased, as applicable; (y) are registered in the name of such Holder; and (z) bear each legend, if any, required by </w:t>
      </w:r>
      <w:r>
        <w:rPr>
          <w:rFonts w:ascii="Times New Roman" w:cs="Times New Roman" w:eastAsia="Times New Roman" w:hAnsi="Times New Roman"/>
          <w:sz w:val="22"/>
          <w:szCs w:val="22"/>
          <w:b w:val="1"/>
          <w:bCs w:val="1"/>
          <w:color w:val="auto"/>
        </w:rPr>
        <w:t>Section 3(f)</w:t>
      </w:r>
      <w:r>
        <w:rPr>
          <w:rFonts w:ascii="Times New Roman" w:cs="Times New Roman" w:eastAsia="Times New Roman" w:hAnsi="Times New Roman"/>
          <w:sz w:val="22"/>
          <w:szCs w:val="22"/>
          <w:color w:val="auto"/>
        </w:rPr>
        <w:t>.</w:t>
      </w:r>
    </w:p>
    <w:p>
      <w:pPr>
        <w:spacing w:after="0" w:line="13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Status of Retired Shares</w:t>
      </w:r>
      <w:r>
        <w:rPr>
          <w:rFonts w:ascii="Times New Roman" w:cs="Times New Roman" w:eastAsia="Times New Roman" w:hAnsi="Times New Roman"/>
          <w:sz w:val="21"/>
          <w:szCs w:val="21"/>
          <w:color w:val="auto"/>
        </w:rPr>
        <w:t>. Upon any share of Convertible Preferred Stock ceasing to be outstanding,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share will be deemed to be retired and to resume the status of an authorized and unissued share of preferred stock of the Company, and such share cannot thereafter be reissued as Convertible Preferred Stock.</w:t>
      </w:r>
    </w:p>
    <w:p>
      <w:pPr>
        <w:spacing w:after="0" w:line="124" w:lineRule="exact"/>
        <w:rPr>
          <w:rFonts w:ascii="Times New Roman" w:cs="Times New Roman" w:eastAsia="Times New Roman" w:hAnsi="Times New Roman"/>
          <w:sz w:val="21"/>
          <w:szCs w:val="21"/>
          <w:color w:val="auto"/>
        </w:rPr>
      </w:pPr>
    </w:p>
    <w:p>
      <w:pPr>
        <w:jc w:val="both"/>
        <w:ind w:firstLine="656"/>
        <w:spacing w:after="0" w:line="246" w:lineRule="auto"/>
        <w:tabs>
          <w:tab w:leader="none" w:pos="129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Replacement Certificates</w:t>
      </w:r>
      <w:r>
        <w:rPr>
          <w:rFonts w:ascii="Times New Roman" w:cs="Times New Roman" w:eastAsia="Times New Roman" w:hAnsi="Times New Roman"/>
          <w:sz w:val="21"/>
          <w:szCs w:val="21"/>
          <w:color w:val="auto"/>
        </w:rPr>
        <w:t>. If a Holder of any Convertible Preferred Stock claims that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Certificate(s) representing such Convertible Preferred Stock have been mutilated, lost, destroyed or wrongfully taken, then the Company will issue, execute and deliver, and cause the Transfer Agent to countersign, in each case in accordance with </w:t>
      </w:r>
      <w:r>
        <w:rPr>
          <w:rFonts w:ascii="Times New Roman" w:cs="Times New Roman" w:eastAsia="Times New Roman" w:hAnsi="Times New Roman"/>
          <w:sz w:val="21"/>
          <w:szCs w:val="21"/>
          <w:b w:val="1"/>
          <w:bCs w:val="1"/>
          <w:color w:val="auto"/>
        </w:rPr>
        <w:t>Section 3(c)</w:t>
      </w:r>
      <w:r>
        <w:rPr>
          <w:rFonts w:ascii="Times New Roman" w:cs="Times New Roman" w:eastAsia="Times New Roman" w:hAnsi="Times New Roman"/>
          <w:sz w:val="21"/>
          <w:szCs w:val="21"/>
          <w:color w:val="auto"/>
        </w:rPr>
        <w:t>, a replacement Certificate representing such Convertible Preferred Stock upon surrender to the Company or the Transfer Agent of such mutilated Certificate, or upon delivery to the Company or the Transfer Agent of evidence of such loss, destruction or wrongful taking reasonably satisfactory to the Transfer Agent and the Company. In the case of a lost, destroyed or wrongfully taken Certificate representing any Convertible Preferred Stock, the Company and the Transfer Agent may require the Holder thereof to provide such security or indemnity that is reasonably satisfactory to the Company and the Transfer Agent to protect the Company and the Transfer Agent from any loss that any of them may suffer if such Certificate is replaced.</w:t>
      </w:r>
    </w:p>
    <w:p>
      <w:pPr>
        <w:spacing w:after="0" w:line="13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Every replacement Convertible Preferred Stock issued pursuant to this </w:t>
      </w:r>
      <w:r>
        <w:rPr>
          <w:rFonts w:ascii="Times New Roman" w:cs="Times New Roman" w:eastAsia="Times New Roman" w:hAnsi="Times New Roman"/>
          <w:sz w:val="22"/>
          <w:szCs w:val="22"/>
          <w:b w:val="1"/>
          <w:bCs w:val="1"/>
          <w:color w:val="auto"/>
        </w:rPr>
        <w:t>Section 3(j)</w:t>
      </w:r>
      <w:r>
        <w:rPr>
          <w:rFonts w:ascii="Times New Roman" w:cs="Times New Roman" w:eastAsia="Times New Roman" w:hAnsi="Times New Roman"/>
          <w:sz w:val="22"/>
          <w:szCs w:val="22"/>
          <w:color w:val="auto"/>
        </w:rPr>
        <w:t xml:space="preserve"> will, upon such replacement, be deemed to be outstanding Convertible Preferred Stock, entitled to all of the benefits of this Certificate of Designations equally and ratably with all other Convertible Preferred Stock then outstanding.</w:t>
      </w:r>
    </w:p>
    <w:p>
      <w:pPr>
        <w:spacing w:after="0" w:line="127" w:lineRule="exact"/>
        <w:rPr>
          <w:sz w:val="20"/>
          <w:szCs w:val="20"/>
          <w:color w:val="auto"/>
        </w:rPr>
      </w:pPr>
    </w:p>
    <w:p>
      <w:pPr>
        <w:ind w:right="20" w:firstLine="656"/>
        <w:spacing w:after="0" w:line="262"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Registered Holders</w:t>
      </w:r>
      <w:r>
        <w:rPr>
          <w:rFonts w:ascii="Times New Roman" w:cs="Times New Roman" w:eastAsia="Times New Roman" w:hAnsi="Times New Roman"/>
          <w:sz w:val="22"/>
          <w:szCs w:val="22"/>
          <w:color w:val="auto"/>
        </w:rPr>
        <w:t>. Only the Holder of any Convertible Preferred Stock will have rights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of Designations as the owner of such Convertible Preferred Stock.</w:t>
      </w:r>
    </w:p>
    <w:p>
      <w:pPr>
        <w:spacing w:after="0" w:line="122"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w:t>
      </w:r>
      <w:r>
        <w:rPr>
          <w:rFonts w:ascii="Times New Roman" w:cs="Times New Roman" w:eastAsia="Times New Roman" w:hAnsi="Times New Roman"/>
          <w:sz w:val="22"/>
          <w:szCs w:val="22"/>
          <w:color w:val="auto"/>
        </w:rPr>
        <w:t>. The Company may at any time deliver Convertible Preferred Stock to the Transfer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for cancellation. The Company will cause the Transfer Agent to promptly</w:t>
      </w:r>
    </w:p>
    <w:p>
      <w:pPr>
        <w:spacing w:after="0" w:line="369"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color w:val="auto"/>
        </w:rPr>
        <w:t>cancel all shares of Convertible Preferred Stock so surrendered to it in accordance with its customary procedures.</w:t>
      </w:r>
    </w:p>
    <w:p>
      <w:pPr>
        <w:spacing w:after="0" w:line="241" w:lineRule="exact"/>
        <w:rPr>
          <w:sz w:val="20"/>
          <w:szCs w:val="20"/>
          <w:color w:val="auto"/>
        </w:rPr>
      </w:pPr>
    </w:p>
    <w:p>
      <w:pPr>
        <w:jc w:val="both"/>
        <w:ind w:firstLine="656"/>
        <w:spacing w:after="0" w:line="241"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Shares Held by the Company or its Affiliates</w:t>
      </w:r>
      <w:r>
        <w:rPr>
          <w:rFonts w:ascii="Times New Roman" w:cs="Times New Roman" w:eastAsia="Times New Roman" w:hAnsi="Times New Roman"/>
          <w:sz w:val="22"/>
          <w:szCs w:val="22"/>
          <w:color w:val="auto"/>
        </w:rPr>
        <w:t>. Without limiting the generality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3(n)</w:t>
      </w:r>
      <w:r>
        <w:rPr>
          <w:rFonts w:ascii="Times New Roman" w:cs="Times New Roman" w:eastAsia="Times New Roman" w:hAnsi="Times New Roman"/>
          <w:sz w:val="22"/>
          <w:szCs w:val="22"/>
          <w:color w:val="auto"/>
        </w:rPr>
        <w: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determining whether the Holders of the required number of outstanding shares of Convertible Preferred Stock have concurred in any direction, waiver or consent, shares of Convertible Preferred Stock owned by the Company or any of its Subsidiaries will be deemed not to be outstanding.</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Outstanding Shares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195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shares of Convertible Preferred Stock that are outstanding at any time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deemed to be those shares of Convertible Preferred Stock that, at such time, have been duly executed by the Company and countersigned by the Transfer Agent, excluding those shares of Convertible Preferred Stock that have theretofore been (1) cancelled by the Transfer Agent or delivered to the Transfer Agent for cancellation in accordance with </w:t>
      </w:r>
      <w:r>
        <w:rPr>
          <w:rFonts w:ascii="Times New Roman" w:cs="Times New Roman" w:eastAsia="Times New Roman" w:hAnsi="Times New Roman"/>
          <w:sz w:val="22"/>
          <w:szCs w:val="22"/>
          <w:b w:val="1"/>
          <w:bCs w:val="1"/>
          <w:color w:val="auto"/>
        </w:rPr>
        <w:t>Section 3(l)</w:t>
      </w:r>
      <w:r>
        <w:rPr>
          <w:rFonts w:ascii="Times New Roman" w:cs="Times New Roman" w:eastAsia="Times New Roman" w:hAnsi="Times New Roman"/>
          <w:sz w:val="22"/>
          <w:szCs w:val="22"/>
          <w:color w:val="auto"/>
        </w:rPr>
        <w:t xml:space="preserve">; (2) paid in full upon their conversion or upon their repurchase pursuant to a Repurchase Upon Change of Control or a Redemption in accordance with this Certificate of Designations; or (3) deemed to cease to be outstanding to the extent provided in, and subject to,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3(n)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195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Replaced Shares</w:t>
      </w:r>
      <w:r>
        <w:rPr>
          <w:rFonts w:ascii="Times New Roman" w:cs="Times New Roman" w:eastAsia="Times New Roman" w:hAnsi="Times New Roman"/>
          <w:sz w:val="22"/>
          <w:szCs w:val="22"/>
          <w:color w:val="auto"/>
        </w:rPr>
        <w:t>. If any Certificate representing any share of Convertible Preferred Stock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replaced pursuant to </w:t>
      </w:r>
      <w:r>
        <w:rPr>
          <w:rFonts w:ascii="Times New Roman" w:cs="Times New Roman" w:eastAsia="Times New Roman" w:hAnsi="Times New Roman"/>
          <w:sz w:val="22"/>
          <w:szCs w:val="22"/>
          <w:b w:val="1"/>
          <w:bCs w:val="1"/>
          <w:color w:val="auto"/>
        </w:rPr>
        <w:t>Section 3(j)</w:t>
      </w:r>
      <w:r>
        <w:rPr>
          <w:rFonts w:ascii="Times New Roman" w:cs="Times New Roman" w:eastAsia="Times New Roman" w:hAnsi="Times New Roman"/>
          <w:sz w:val="22"/>
          <w:szCs w:val="22"/>
          <w:color w:val="auto"/>
        </w:rPr>
        <w:t>, then such share will cease to be outstanding at the time of such replacement, unless the Transfer Agent and the Company receive proof reasonably satisfactory to them that such share is held by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under applicable law.</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5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Shares to Be Repurchased Pursuant to a Redemption</w:t>
      </w:r>
      <w:r>
        <w:rPr>
          <w:rFonts w:ascii="Times New Roman" w:cs="Times New Roman" w:eastAsia="Times New Roman" w:hAnsi="Times New Roman"/>
          <w:sz w:val="21"/>
          <w:szCs w:val="21"/>
          <w:color w:val="auto"/>
        </w:rPr>
        <w:t>. If, on a Redemption Date,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has segregated, solely for the benefit of the applicable Holders, consideration in kind and amount that is sufficient to pay the aggregate Redemption Price due on such date, then (unless there occurs a default in the payment of the Redemption Price) (1) the Convertible Preferred Stock to be redeemed on such date will be deemed, as of such date, to cease to be outstanding; (2) Regular Dividends will cease to accumulate on such Convertible Preferred Stock from and after such Redemption Date; and (3) the rights of the Holders of such Convertible Preferred Stock, as such, will terminate with respect to such Convertible Preferred Stock, other than the right to receive the Redemption Price as provided in </w:t>
      </w:r>
      <w:r>
        <w:rPr>
          <w:rFonts w:ascii="Times New Roman" w:cs="Times New Roman" w:eastAsia="Times New Roman" w:hAnsi="Times New Roman"/>
          <w:sz w:val="21"/>
          <w:szCs w:val="21"/>
          <w:b w:val="1"/>
          <w:bCs w:val="1"/>
          <w:color w:val="auto"/>
        </w:rPr>
        <w:t>Section 7</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60" w:firstLine="644"/>
        <w:spacing w:after="0" w:line="235" w:lineRule="auto"/>
        <w:tabs>
          <w:tab w:leader="none" w:pos="195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Shares to Be Repurchased Pursuant to a Repurchase Upon Change of Control</w:t>
      </w:r>
      <w:r>
        <w:rPr>
          <w:rFonts w:ascii="Times New Roman" w:cs="Times New Roman" w:eastAsia="Times New Roman" w:hAnsi="Times New Roman"/>
          <w:sz w:val="22"/>
          <w:szCs w:val="22"/>
          <w:color w:val="auto"/>
        </w:rPr>
        <w:t>. If,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of Control Repurchase Date, the Company has segregated, solely for the benefit of the applicable Holders, consideration in kind and amount that is sufficient to pay the aggregate Change of Control Repurchase Price due on such date, then (unless there occurs a default in the payment of the Change of Control Repurchase Price) (1) the Convertible Preferred Stock to be repurchased on such date will be deemed, as of such date, to cease to be outstanding; (2) Regular Dividends will cease to accumulate on such Convertible Preferred Stock from and after such Change of Control Repurchase Date; and (3) the rights of the Holders of such Convertible Preferred Stock, as such, will terminate</w:t>
      </w:r>
    </w:p>
    <w:p>
      <w:pPr>
        <w:spacing w:after="0" w:line="398"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6" w:name="page127"/>
    <w:bookmarkEnd w:id="126"/>
    <w:p>
      <w:pPr>
        <w:ind w:left="660"/>
        <w:spacing w:after="0" w:line="258" w:lineRule="auto"/>
        <w:rPr>
          <w:sz w:val="20"/>
          <w:szCs w:val="20"/>
          <w:color w:val="auto"/>
        </w:rPr>
      </w:pPr>
      <w:r>
        <w:rPr>
          <w:rFonts w:ascii="Times New Roman" w:cs="Times New Roman" w:eastAsia="Times New Roman" w:hAnsi="Times New Roman"/>
          <w:sz w:val="22"/>
          <w:szCs w:val="22"/>
          <w:color w:val="auto"/>
        </w:rPr>
        <w:t xml:space="preserve">with respect to such Convertible Preferred Stock, other than the right to receive the Change of Control Repurchase Price as provided in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w:t>
      </w:r>
    </w:p>
    <w:p>
      <w:pPr>
        <w:spacing w:after="0" w:line="100" w:lineRule="exact"/>
        <w:rPr>
          <w:sz w:val="20"/>
          <w:szCs w:val="20"/>
          <w:color w:val="auto"/>
        </w:rPr>
      </w:pPr>
    </w:p>
    <w:p>
      <w:pPr>
        <w:jc w:val="both"/>
        <w:ind w:left="660" w:firstLine="644"/>
        <w:spacing w:after="0" w:line="235" w:lineRule="auto"/>
        <w:tabs>
          <w:tab w:leader="none" w:pos="195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Shares to Be Converted</w:t>
      </w:r>
      <w:r>
        <w:rPr>
          <w:rFonts w:ascii="Times New Roman" w:cs="Times New Roman" w:eastAsia="Times New Roman" w:hAnsi="Times New Roman"/>
          <w:sz w:val="22"/>
          <w:szCs w:val="22"/>
          <w:color w:val="auto"/>
        </w:rPr>
        <w:t>. If any Convertible Preferred Stock is to be converted, then,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Close of Business on the Conversion Date for such conversion (unless there occurs a default in the delivery of the Conversion Consideration due pursuant to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upon such conversion): (1) such Convertible Preferred Stock will be deemed to cease to be outstanding; (2) Regular Dividends will cease to accumulate on such Convertible Preferred Stock from and after such Conversion Date; and (3) the rights of the Holders of such Convertible Preferred Stock, as such, will terminate with respect to such Convertible Preferred Stock, other than the right to receive such Conversion Consideration as provided in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w:t>
      </w:r>
    </w:p>
    <w:p>
      <w:pPr>
        <w:spacing w:after="0" w:line="124"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Notations and Exchanges</w:t>
      </w:r>
      <w:r>
        <w:rPr>
          <w:rFonts w:ascii="Times New Roman" w:cs="Times New Roman" w:eastAsia="Times New Roman" w:hAnsi="Times New Roman"/>
          <w:sz w:val="22"/>
          <w:szCs w:val="22"/>
          <w:color w:val="auto"/>
        </w:rPr>
        <w:t>. Without limiting any rights of Holders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if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amendment, supplement or waiver to the Certificate of Incorporation or this Certificate of Designations changes the terms of any Convertible Preferred Stock, then the Company may, in its discretion, require the Holder of the Certificate representing such Convertible Preferred Stock to deliver such Certificate to the Transfer Agent so that the Transfer Agent may place an appropriate notation prepared by the Company on such Certificate and return such Certificate to such Holder. Alternatively, at its discretion, the Company may, in exchange for such Convertible Preferred Stock, issue, execute and deliver, and cause the Transfer Agent to countersign, in each case in accordance with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a new Certificate representing such Convertible Preferred Stock that reflects the changed terms. The failure to make any appropriate notation or issue a new Certificate representing any Convertible Preferred Stock pursuant to this </w:t>
      </w:r>
      <w:r>
        <w:rPr>
          <w:rFonts w:ascii="Times New Roman" w:cs="Times New Roman" w:eastAsia="Times New Roman" w:hAnsi="Times New Roman"/>
          <w:sz w:val="22"/>
          <w:szCs w:val="22"/>
          <w:b w:val="1"/>
          <w:bCs w:val="1"/>
          <w:color w:val="auto"/>
        </w:rPr>
        <w:t>Section 3(o)</w:t>
      </w:r>
      <w:r>
        <w:rPr>
          <w:rFonts w:ascii="Times New Roman" w:cs="Times New Roman" w:eastAsia="Times New Roman" w:hAnsi="Times New Roman"/>
          <w:sz w:val="22"/>
          <w:szCs w:val="22"/>
          <w:color w:val="auto"/>
        </w:rPr>
        <w:t xml:space="preserve"> will not impair or affect the validity of such amendment, supplement or waiver.</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The Convertible Preferred Stock will rank (a) senior to (i) Dividend Junior Stock with respect to the payment of dividends; and (ii) Liquidation Junior Stock with respect to the distribution of assets upon the Company’s liquidation, dissolution or winding up; (b) equally with (i) Dividend Parity Stock with respect to the payment of dividends; and (ii) Liquidation Parity Stock with respect to the distribution of assets upon the Company’s liquidation, dissolution or winding up; and (c) junior to (i) Dividend Senior Stock with respect to the payment of dividends; and (ii) Liquidation Senior Stock with respect to the distribution of assets upon the Company’s liquidation, dissolution or winding up.</w:t>
      </w:r>
    </w:p>
    <w:p>
      <w:pPr>
        <w:spacing w:after="0" w:line="1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Regular Dividends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960"/>
        <w:spacing w:after="0"/>
        <w:tabs>
          <w:tab w:leader="none" w:pos="34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i w:val="1"/>
          <w:iCs w:val="1"/>
          <w:color w:val="auto"/>
        </w:rPr>
        <w:t>Accumulation  and  Payment  of  Regular  Dividends</w:t>
      </w:r>
      <w:r>
        <w:rPr>
          <w:rFonts w:ascii="Times New Roman" w:cs="Times New Roman" w:eastAsia="Times New Roman" w:hAnsi="Times New Roman"/>
          <w:sz w:val="22"/>
          <w:szCs w:val="22"/>
          <w:color w:val="auto"/>
        </w:rPr>
        <w:t>. The Convertible</w:t>
      </w:r>
    </w:p>
    <w:p>
      <w:pPr>
        <w:spacing w:after="0" w:line="18" w:lineRule="exact"/>
        <w:rPr>
          <w:sz w:val="20"/>
          <w:szCs w:val="20"/>
          <w:color w:val="auto"/>
        </w:rPr>
      </w:pPr>
    </w:p>
    <w:p>
      <w:pPr>
        <w:jc w:val="both"/>
        <w:ind w:left="1300"/>
        <w:spacing w:after="0" w:line="241" w:lineRule="auto"/>
        <w:rPr>
          <w:sz w:val="20"/>
          <w:szCs w:val="20"/>
          <w:color w:val="auto"/>
        </w:rPr>
      </w:pPr>
      <w:r>
        <w:rPr>
          <w:rFonts w:ascii="Times New Roman" w:cs="Times New Roman" w:eastAsia="Times New Roman" w:hAnsi="Times New Roman"/>
          <w:sz w:val="21"/>
          <w:szCs w:val="21"/>
          <w:color w:val="auto"/>
        </w:rPr>
        <w:t xml:space="preserve">Preferred Stock will accumulate cumulative dividends at a rate per annum equal to the Regular Dividend Rate on the Liquidation Preference thereof (calculated in accordance with </w:t>
      </w:r>
      <w:r>
        <w:rPr>
          <w:rFonts w:ascii="Times New Roman" w:cs="Times New Roman" w:eastAsia="Times New Roman" w:hAnsi="Times New Roman"/>
          <w:sz w:val="21"/>
          <w:szCs w:val="21"/>
          <w:b w:val="1"/>
          <w:bCs w:val="1"/>
          <w:color w:val="auto"/>
        </w:rPr>
        <w:t>Section 5(a)(i)</w:t>
      </w:r>
    </w:p>
    <w:p>
      <w:pPr>
        <w:spacing w:after="0" w:line="1" w:lineRule="exact"/>
        <w:rPr>
          <w:sz w:val="20"/>
          <w:szCs w:val="20"/>
          <w:color w:val="auto"/>
        </w:rPr>
      </w:pPr>
    </w:p>
    <w:p>
      <w:pPr>
        <w:ind w:left="1300"/>
        <w:spacing w:after="0" w:line="237" w:lineRule="auto"/>
        <w:rPr>
          <w:sz w:val="20"/>
          <w:szCs w:val="20"/>
          <w:color w:val="auto"/>
        </w:rPr>
      </w:pP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regardless of whether or not declared or funds are legally available for their payment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that accumulate on the Convertible Preferred Stock pursuant to this sentence, “</w:t>
      </w:r>
      <w:r>
        <w:rPr>
          <w:rFonts w:ascii="Times New Roman" w:cs="Times New Roman" w:eastAsia="Times New Roman" w:hAnsi="Times New Roman"/>
          <w:sz w:val="22"/>
          <w:szCs w:val="22"/>
          <w:b w:val="1"/>
          <w:bCs w:val="1"/>
          <w:color w:val="auto"/>
        </w:rPr>
        <w:t>Regular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27" w:name="page128"/>
    <w:bookmarkEnd w:id="127"/>
    <w:p>
      <w:pPr>
        <w:jc w:val="both"/>
        <w:ind w:left="840"/>
        <w:spacing w:after="0" w:line="247" w:lineRule="auto"/>
        <w:rPr>
          <w:sz w:val="20"/>
          <w:szCs w:val="20"/>
          <w:color w:val="auto"/>
        </w:rPr>
      </w:pPr>
      <w:r>
        <w:rPr>
          <w:rFonts w:ascii="Times New Roman" w:cs="Times New Roman" w:eastAsia="Times New Roman" w:hAnsi="Times New Roman"/>
          <w:sz w:val="21"/>
          <w:szCs w:val="21"/>
          <w:b w:val="1"/>
          <w:bCs w:val="1"/>
          <w:color w:val="auto"/>
        </w:rPr>
        <w:t>Dividends</w:t>
      </w:r>
      <w:r>
        <w:rPr>
          <w:rFonts w:ascii="Times New Roman" w:cs="Times New Roman" w:eastAsia="Times New Roman" w:hAnsi="Times New Roman"/>
          <w:sz w:val="21"/>
          <w:szCs w:val="21"/>
          <w:color w:val="auto"/>
        </w:rPr>
        <w:t>”). Subject to the other provisions of this</w:t>
      </w:r>
      <w:r>
        <w:rPr>
          <w:rFonts w:ascii="Times New Roman" w:cs="Times New Roman" w:eastAsia="Times New Roman" w:hAnsi="Times New Roman"/>
          <w:sz w:val="21"/>
          <w:szCs w:val="21"/>
          <w:b w:val="1"/>
          <w:bCs w:val="1"/>
          <w:color w:val="auto"/>
        </w:rPr>
        <w:t xml:space="preserve"> Section 5 </w:t>
      </w:r>
      <w:r>
        <w:rPr>
          <w:rFonts w:ascii="Times New Roman" w:cs="Times New Roman" w:eastAsia="Times New Roman" w:hAnsi="Times New Roman"/>
          <w:sz w:val="21"/>
          <w:szCs w:val="21"/>
          <w:color w:val="auto"/>
        </w:rPr>
        <w:t>(including, for the avoidance of doubt,</w:t>
      </w:r>
      <w:r>
        <w:rPr>
          <w:rFonts w:ascii="Times New Roman" w:cs="Times New Roman" w:eastAsia="Times New Roman" w:hAnsi="Times New Roman"/>
          <w:sz w:val="21"/>
          <w:szCs w:val="21"/>
          <w:b w:val="1"/>
          <w:bCs w:val="1"/>
          <w:color w:val="auto"/>
        </w:rPr>
        <w:t xml:space="preserve"> Section 5(a)(ii)(1)</w:t>
      </w:r>
      <w:r>
        <w:rPr>
          <w:rFonts w:ascii="Times New Roman" w:cs="Times New Roman" w:eastAsia="Times New Roman" w:hAnsi="Times New Roman"/>
          <w:sz w:val="21"/>
          <w:szCs w:val="21"/>
          <w:color w:val="auto"/>
        </w:rPr>
        <w:t>), such Regular Dividends will be payable quarterly in arrears on each Regular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Payment Date. Regular Dividends on the Convertible Preferred Stock will accumulate on a daily basis from, and including, the last date on which Regular Dividends have been paid (or, if no Regular Dividends have been paid, from, and including, the Initial Issue Date) to, but excluding, the next Regular Dividend Payment Date.</w:t>
      </w:r>
    </w:p>
    <w:p>
      <w:pPr>
        <w:spacing w:after="0" w:line="142" w:lineRule="exact"/>
        <w:rPr>
          <w:sz w:val="20"/>
          <w:szCs w:val="20"/>
          <w:color w:val="auto"/>
        </w:rPr>
      </w:pPr>
    </w:p>
    <w:p>
      <w:pPr>
        <w:ind w:left="1500"/>
        <w:spacing w:after="0"/>
        <w:tabs>
          <w:tab w:leader="none" w:pos="3020" w:val="left"/>
        </w:tabs>
        <w:rPr>
          <w:sz w:val="20"/>
          <w:szCs w:val="20"/>
          <w:color w:val="auto"/>
        </w:rPr>
      </w:pP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1"/>
          <w:szCs w:val="21"/>
          <w:i w:val="1"/>
          <w:iCs w:val="1"/>
          <w:color w:val="auto"/>
        </w:rPr>
        <w:t>Computation of Accumulated Regular Dividends</w:t>
      </w:r>
      <w:r>
        <w:rPr>
          <w:rFonts w:ascii="Times New Roman" w:cs="Times New Roman" w:eastAsia="Times New Roman" w:hAnsi="Times New Roman"/>
          <w:sz w:val="21"/>
          <w:szCs w:val="21"/>
          <w:color w:val="auto"/>
        </w:rPr>
        <w:t>. Accumulated Regular</w:t>
      </w:r>
    </w:p>
    <w:p>
      <w:pPr>
        <w:spacing w:after="0" w:line="28" w:lineRule="exact"/>
        <w:rPr>
          <w:sz w:val="20"/>
          <w:szCs w:val="20"/>
          <w:color w:val="auto"/>
        </w:rPr>
      </w:pPr>
    </w:p>
    <w:p>
      <w:pPr>
        <w:jc w:val="both"/>
        <w:ind w:left="840"/>
        <w:spacing w:after="0" w:line="242" w:lineRule="auto"/>
        <w:rPr>
          <w:sz w:val="20"/>
          <w:szCs w:val="20"/>
          <w:color w:val="auto"/>
        </w:rPr>
      </w:pPr>
      <w:r>
        <w:rPr>
          <w:rFonts w:ascii="Times New Roman" w:cs="Times New Roman" w:eastAsia="Times New Roman" w:hAnsi="Times New Roman"/>
          <w:sz w:val="21"/>
          <w:szCs w:val="21"/>
          <w:color w:val="auto"/>
        </w:rPr>
        <w:t>Dividends will be computed on the basis of a 360-day year comprised of twelve 30-day months. Regular Dividends on each share of Convertible Preferred Stock will accrue on the Liquidation Preference of such share as of immediately before the Close of Business on the preceding Regular Dividend Payment Date (or, if there is no preceding Regular Dividend Payment Date, on the Initial Liquidation Preference of such share).</w:t>
      </w:r>
    </w:p>
    <w:p>
      <w:pPr>
        <w:spacing w:after="0" w:line="161" w:lineRule="exact"/>
        <w:rPr>
          <w:sz w:val="20"/>
          <w:szCs w:val="20"/>
          <w:color w:val="auto"/>
        </w:rPr>
      </w:pPr>
    </w:p>
    <w:p>
      <w:pPr>
        <w:ind w:left="1500" w:hanging="656"/>
        <w:spacing w:after="0"/>
        <w:tabs>
          <w:tab w:leader="none" w:pos="15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Methods of Payment of Regular Dividends; Payments in Kind</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840" w:firstLine="648"/>
        <w:spacing w:after="0" w:line="244" w:lineRule="auto"/>
        <w:rPr>
          <w:sz w:val="20"/>
          <w:szCs w:val="20"/>
          <w:color w:val="auto"/>
        </w:rPr>
      </w:pPr>
      <w:r>
        <w:rPr>
          <w:rFonts w:ascii="Times New Roman" w:cs="Times New Roman" w:eastAsia="Times New Roman" w:hAnsi="Times New Roman"/>
          <w:sz w:val="21"/>
          <w:szCs w:val="21"/>
          <w:color w:val="auto"/>
        </w:rPr>
        <w:t xml:space="preserve">(1) </w:t>
      </w: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Subject to the next sentence, each Regular Dividend on the Convertible Preferred Stock will be paid in cash. Notwithstanding anything to the contrary in this Certificate of Designations, if as of the Close of Business on any Regular Dividend Payment Date (or, if such Regular Dividend Payment Date is not a Business Day, the next Business Day), the Company has not paid all or any portion of the full amount of the Regular Dividends (regardless of whether or not declared) that have accumulated on the Convertible Preferred Stock in respect of the Regular Dividend Period ending on, but excluding, such Regular Dividend Payment Date then the dollar amount (expressed as an amount per share of Convertible Preferred Stock) of such Regular Dividend (or, if applicable, portion thereof) not paid in cash will (without duplication) be added, effective immediately before the Close of Business on the related Regular Dividend Payment Date, to the Liquidation Preference of each share of Convertible Preferred Stock outstanding as of such time. Such payment and addition will occur automatically, without the need of any action on the part of the Company or any other Person.</w:t>
      </w:r>
    </w:p>
    <w:p>
      <w:pPr>
        <w:spacing w:after="0" w:line="143" w:lineRule="exact"/>
        <w:rPr>
          <w:sz w:val="20"/>
          <w:szCs w:val="20"/>
          <w:color w:val="auto"/>
        </w:rPr>
      </w:pPr>
    </w:p>
    <w:p>
      <w:pPr>
        <w:jc w:val="both"/>
        <w:ind w:left="840" w:firstLine="648"/>
        <w:spacing w:after="0" w:line="244" w:lineRule="auto"/>
        <w:rPr>
          <w:sz w:val="20"/>
          <w:szCs w:val="20"/>
          <w:color w:val="auto"/>
        </w:rPr>
      </w:pPr>
      <w:r>
        <w:rPr>
          <w:rFonts w:ascii="Times New Roman" w:cs="Times New Roman" w:eastAsia="Times New Roman" w:hAnsi="Times New Roman"/>
          <w:sz w:val="21"/>
          <w:szCs w:val="21"/>
          <w:color w:val="auto"/>
        </w:rPr>
        <w:t xml:space="preserve">(2) </w:t>
      </w:r>
      <w:r>
        <w:rPr>
          <w:rFonts w:ascii="Times New Roman" w:cs="Times New Roman" w:eastAsia="Times New Roman" w:hAnsi="Times New Roman"/>
          <w:sz w:val="21"/>
          <w:szCs w:val="21"/>
          <w:i w:val="1"/>
          <w:iCs w:val="1"/>
          <w:color w:val="auto"/>
        </w:rPr>
        <w:t>Limitation on PIK Dividends</w:t>
      </w:r>
      <w:r>
        <w:rPr>
          <w:rFonts w:ascii="Times New Roman" w:cs="Times New Roman" w:eastAsia="Times New Roman" w:hAnsi="Times New Roman"/>
          <w:sz w:val="21"/>
          <w:szCs w:val="21"/>
          <w:color w:val="auto"/>
        </w:rPr>
        <w:t>. Notwithstanding anything to the contrary in Section 5(a)(i), the Company shall, solely to the extent permitted by its Revenue Interest Financing Agreement, be required to pay any Regular Dividend in cash if, prior to or immediately following the payment of any such Regular Dividend in kind, the number of shares of Common Stock issuable upon conversion of the then outstanding shares of Convertible Preferred Stock, together with any shares of Common Stock previously issued upon conversion of any shares of Convertible Preferred Stock, would exceed the Share Cap, unless the Requisite Stockholder Approval has been obtained or the Share Cap Fall Away has occurred. In such event the Company shall use reasonable best efforts to cause the payment of any Regular Dividend in cash to be permitted under its Revenue Interest Financing Agreement to pay any Regular Dividend in cash. For the avoidance of doubt, Regular Dividends shall continue to accumulate on each outstanding share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28" w:name="page129"/>
    <w:bookmarkEnd w:id="128"/>
    <w:p>
      <w:pPr>
        <w:jc w:val="both"/>
        <w:ind w:left="840"/>
        <w:spacing w:after="0" w:line="258" w:lineRule="auto"/>
        <w:rPr>
          <w:sz w:val="20"/>
          <w:szCs w:val="20"/>
          <w:color w:val="auto"/>
        </w:rPr>
      </w:pPr>
      <w:r>
        <w:rPr>
          <w:rFonts w:ascii="Times New Roman" w:cs="Times New Roman" w:eastAsia="Times New Roman" w:hAnsi="Times New Roman"/>
          <w:sz w:val="22"/>
          <w:szCs w:val="22"/>
          <w:color w:val="auto"/>
        </w:rPr>
        <w:t>of Convertible Preferred Stock, as set forth in Section 5(a)(i)(1), notwithstanding any limitations on the Company’s ability to pay such Regular Dividend in cash.</w:t>
      </w:r>
    </w:p>
    <w:p>
      <w:pPr>
        <w:spacing w:after="0" w:line="154" w:lineRule="exact"/>
        <w:rPr>
          <w:sz w:val="20"/>
          <w:szCs w:val="20"/>
          <w:color w:val="auto"/>
        </w:rPr>
      </w:pPr>
    </w:p>
    <w:p>
      <w:pPr>
        <w:jc w:val="both"/>
        <w:ind w:left="8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i w:val="1"/>
          <w:iCs w:val="1"/>
          <w:color w:val="auto"/>
        </w:rPr>
        <w:t>Construction</w:t>
      </w:r>
      <w:r>
        <w:rPr>
          <w:rFonts w:ascii="Times New Roman" w:cs="Times New Roman" w:eastAsia="Times New Roman" w:hAnsi="Times New Roman"/>
          <w:sz w:val="22"/>
          <w:szCs w:val="22"/>
          <w:color w:val="auto"/>
        </w:rPr>
        <w:t xml:space="preserve">. Any Regular Dividends the amount of which is added to the Liquidation Preference thereof pursuant to </w:t>
      </w:r>
      <w:r>
        <w:rPr>
          <w:rFonts w:ascii="Times New Roman" w:cs="Times New Roman" w:eastAsia="Times New Roman" w:hAnsi="Times New Roman"/>
          <w:sz w:val="22"/>
          <w:szCs w:val="22"/>
          <w:b w:val="1"/>
          <w:bCs w:val="1"/>
          <w:color w:val="auto"/>
        </w:rPr>
        <w:t>Section 5(a)(ii)(1)</w:t>
      </w:r>
      <w:r>
        <w:rPr>
          <w:rFonts w:ascii="Times New Roman" w:cs="Times New Roman" w:eastAsia="Times New Roman" w:hAnsi="Times New Roman"/>
          <w:sz w:val="22"/>
          <w:szCs w:val="22"/>
          <w:color w:val="auto"/>
        </w:rPr>
        <w:t xml:space="preserve"> will be deemed to be “declared” and “paid” on the Convertible Preferred Stock for all purposes of this Certificate of Designations.</w:t>
      </w:r>
    </w:p>
    <w:p>
      <w:pPr>
        <w:spacing w:after="0" w:line="167" w:lineRule="exact"/>
        <w:rPr>
          <w:sz w:val="20"/>
          <w:szCs w:val="20"/>
          <w:color w:val="auto"/>
        </w:rPr>
      </w:pPr>
    </w:p>
    <w:p>
      <w:pPr>
        <w:ind w:left="840" w:hanging="644"/>
        <w:spacing w:after="0"/>
        <w:tabs>
          <w:tab w:leader="none" w:pos="8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Participating Dividends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firstLine="644"/>
        <w:spacing w:after="0" w:line="246" w:lineRule="auto"/>
        <w:tabs>
          <w:tab w:leader="none" w:pos="149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5(b)(ii)</w:t>
      </w:r>
      <w:r>
        <w:rPr>
          <w:rFonts w:ascii="Times New Roman" w:cs="Times New Roman" w:eastAsia="Times New Roman" w:hAnsi="Times New Roman"/>
          <w:sz w:val="21"/>
          <w:szCs w:val="21"/>
          <w:color w:val="auto"/>
        </w:rPr>
        <w:t>, no dividend or other distribution on the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(whether in cash, securities or other property, or any combination of the foregoing) will be declared or paid on the Common Stock unless, at the time of such declaration and payment, an equivalent dividend or distribution is declared and paid, respectively, on the Convertible Preferred Stock (such a dividend or distribution on the Convertible Preferred Stock, a “</w:t>
      </w:r>
      <w:r>
        <w:rPr>
          <w:rFonts w:ascii="Times New Roman" w:cs="Times New Roman" w:eastAsia="Times New Roman" w:hAnsi="Times New Roman"/>
          <w:sz w:val="21"/>
          <w:szCs w:val="21"/>
          <w:b w:val="1"/>
          <w:bCs w:val="1"/>
          <w:color w:val="auto"/>
        </w:rPr>
        <w:t>Participating Dividend</w:t>
      </w:r>
      <w:r>
        <w:rPr>
          <w:rFonts w:ascii="Times New Roman" w:cs="Times New Roman" w:eastAsia="Times New Roman" w:hAnsi="Times New Roman"/>
          <w:sz w:val="21"/>
          <w:szCs w:val="21"/>
          <w:color w:val="auto"/>
        </w:rPr>
        <w:t>,” and such corresponding dividend or distribution on the Common Stock, the “</w:t>
      </w:r>
      <w:r>
        <w:rPr>
          <w:rFonts w:ascii="Times New Roman" w:cs="Times New Roman" w:eastAsia="Times New Roman" w:hAnsi="Times New Roman"/>
          <w:sz w:val="21"/>
          <w:szCs w:val="21"/>
          <w:b w:val="1"/>
          <w:bCs w:val="1"/>
          <w:color w:val="auto"/>
        </w:rPr>
        <w:t>Common Stock Participating Dividend</w:t>
      </w:r>
      <w:r>
        <w:rPr>
          <w:rFonts w:ascii="Times New Roman" w:cs="Times New Roman" w:eastAsia="Times New Roman" w:hAnsi="Times New Roman"/>
          <w:sz w:val="21"/>
          <w:szCs w:val="21"/>
          <w:color w:val="auto"/>
        </w:rPr>
        <w:t>”), such that</w:t>
      </w:r>
    </w:p>
    <w:p>
      <w:pPr>
        <w:jc w:val="both"/>
        <w:ind w:left="20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(1) the Record Date and the payment date for such Participating Dividend occur on the same dates as the Record Date and payment date, respectively, for such Common Stock Participating Dividend and (2) the kind and amount of consideration payable per share of Convertible Preferred Stock in such Participating Dividend is the same kind and amount of consideration that would be payable in the Common Stock Participating Dividend in respect of a number of shares of Common Stock equal to the number of shares of Common Stock that would be issuable (determined in accordance with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but without regard to </w:t>
      </w:r>
      <w:r>
        <w:rPr>
          <w:rFonts w:ascii="Times New Roman" w:cs="Times New Roman" w:eastAsia="Times New Roman" w:hAnsi="Times New Roman"/>
          <w:sz w:val="22"/>
          <w:szCs w:val="22"/>
          <w:b w:val="1"/>
          <w:bCs w:val="1"/>
          <w:color w:val="auto"/>
        </w:rPr>
        <w:t xml:space="preserve">Section 10(e)(ii)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Section 10(h)</w:t>
      </w:r>
      <w:r>
        <w:rPr>
          <w:rFonts w:ascii="Times New Roman" w:cs="Times New Roman" w:eastAsia="Times New Roman" w:hAnsi="Times New Roman"/>
          <w:sz w:val="22"/>
          <w:szCs w:val="22"/>
          <w:color w:val="auto"/>
        </w:rPr>
        <w:t>) in respect of one (1) share of Convertible Preferred Stock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converted pursuant to an Optional Conversion with a Conversion Date occurring on such Record Date (subject to the same arrangements, if any, in such Common Stock Participating Dividend not to issue or deliver a fractional portion of any security or other property, but with such arrangement applying separately to each Holder and computed based on the total number of shares of Convertible Preferred Stock held by such Holder on such Record Date).</w:t>
      </w:r>
    </w:p>
    <w:p>
      <w:pPr>
        <w:spacing w:after="0" w:line="182" w:lineRule="exact"/>
        <w:rPr>
          <w:rFonts w:ascii="Times New Roman" w:cs="Times New Roman" w:eastAsia="Times New Roman" w:hAnsi="Times New Roman"/>
          <w:sz w:val="21"/>
          <w:szCs w:val="21"/>
          <w:color w:val="auto"/>
        </w:rPr>
      </w:pPr>
    </w:p>
    <w:p>
      <w:pPr>
        <w:ind w:left="1500" w:hanging="656"/>
        <w:spacing w:after="0"/>
        <w:tabs>
          <w:tab w:leader="none" w:pos="150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Common Stock Change Events and Stock Splits, Dividends and Combinations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5(b)</w:t>
      </w:r>
    </w:p>
    <w:p>
      <w:pPr>
        <w:spacing w:after="0" w:line="29" w:lineRule="exact"/>
        <w:rPr>
          <w:rFonts w:ascii="Times New Roman" w:cs="Times New Roman" w:eastAsia="Times New Roman" w:hAnsi="Times New Roman"/>
          <w:sz w:val="21"/>
          <w:szCs w:val="21"/>
          <w:color w:val="auto"/>
        </w:rPr>
      </w:pPr>
    </w:p>
    <w:p>
      <w:pPr>
        <w:jc w:val="both"/>
        <w:ind w:left="200" w:hanging="4"/>
        <w:spacing w:after="0" w:line="235" w:lineRule="auto"/>
        <w:tabs>
          <w:tab w:leader="none" w:pos="46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will not apply to, and no Participating Dividend will be required to be declared or paid in respect of, a Common Stock Change Event, or an event for which an adjustment to the Conversion Rate is required pursuant to </w:t>
      </w:r>
      <w:r>
        <w:rPr>
          <w:rFonts w:ascii="Times New Roman" w:cs="Times New Roman" w:eastAsia="Times New Roman" w:hAnsi="Times New Roman"/>
          <w:sz w:val="22"/>
          <w:szCs w:val="22"/>
          <w:b w:val="1"/>
          <w:bCs w:val="1"/>
          <w:color w:val="auto"/>
        </w:rPr>
        <w:t>Section 10(f)(i)(1)</w:t>
      </w:r>
      <w:r>
        <w:rPr>
          <w:rFonts w:ascii="Times New Roman" w:cs="Times New Roman" w:eastAsia="Times New Roman" w:hAnsi="Times New Roman"/>
          <w:sz w:val="22"/>
          <w:szCs w:val="22"/>
          <w:color w:val="auto"/>
        </w:rPr>
        <w:t xml:space="preserve">, as to which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10(f)(i)(1)</w:t>
      </w:r>
      <w:r>
        <w:rPr>
          <w:rFonts w:ascii="Times New Roman" w:cs="Times New Roman" w:eastAsia="Times New Roman" w:hAnsi="Times New Roman"/>
          <w:sz w:val="22"/>
          <w:szCs w:val="22"/>
          <w:color w:val="auto"/>
        </w:rPr>
        <w:t>, respectively, will apply.</w:t>
      </w:r>
    </w:p>
    <w:p>
      <w:pPr>
        <w:spacing w:after="0" w:line="173" w:lineRule="exact"/>
        <w:rPr>
          <w:rFonts w:ascii="Times New Roman" w:cs="Times New Roman" w:eastAsia="Times New Roman" w:hAnsi="Times New Roman"/>
          <w:sz w:val="22"/>
          <w:szCs w:val="22"/>
          <w:b w:val="1"/>
          <w:bCs w:val="1"/>
          <w:color w:val="auto"/>
        </w:rPr>
      </w:pPr>
    </w:p>
    <w:p>
      <w:pPr>
        <w:jc w:val="both"/>
        <w:ind w:left="200" w:firstLine="644"/>
        <w:spacing w:after="0" w:line="235" w:lineRule="auto"/>
        <w:tabs>
          <w:tab w:leader="none" w:pos="149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Treatment of Participating Dividends Upon Redemption, Repurchase Upon Change of Control or Conversion</w:t>
      </w:r>
      <w:r>
        <w:rPr>
          <w:rFonts w:ascii="Times New Roman" w:cs="Times New Roman" w:eastAsia="Times New Roman" w:hAnsi="Times New Roman"/>
          <w:sz w:val="22"/>
          <w:szCs w:val="22"/>
          <w:color w:val="auto"/>
        </w:rPr>
        <w:t>. If the Redemption Date, Change of Control Repurchase Date or Conversion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share of Convertible Preferred Stock is after a Record Date for a declared Participating Dividend on the Convertible Preferred Stock and on or before the next Dividend Payment Date, then the Holder of such share at the Close of Business on such Record Date will be entitled, notwithstanding the related Redemption, Repurchase Upon Change of Control or conversion, as applicable, to receive, on or, at the Company’s election, before such Dividend Payment Date, such declared Participating Dividend on such share.</w:t>
      </w:r>
    </w:p>
    <w:p>
      <w:pPr>
        <w:spacing w:after="0" w:line="39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29" w:name="page130"/>
    <w:bookmarkEnd w:id="129"/>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RIGHTS UPON LIQUIDATION, DISSOLUTION OR WINDING UP.</w:t>
      </w:r>
    </w:p>
    <w:p>
      <w:pPr>
        <w:spacing w:after="0" w:line="135" w:lineRule="exact"/>
        <w:rPr>
          <w:sz w:val="20"/>
          <w:szCs w:val="20"/>
          <w:color w:val="auto"/>
        </w:rPr>
      </w:pPr>
    </w:p>
    <w:p>
      <w:pPr>
        <w:jc w:val="both"/>
        <w:ind w:firstLine="656"/>
        <w:spacing w:after="0" w:line="237" w:lineRule="auto"/>
        <w:tabs>
          <w:tab w:leader="none" w:pos="12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 Company liquidates, dissolves or winds up, whether voluntarily or involuntarily,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then, subject to the rights of any of the Company’s creditors or holders of any outstanding Liquidation Senior Stock, each share of Convertible Preferred Stock will entitle the Holder thereof to receive payment for the greater of the amounts set forth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below out of the Company’s assets or funds legally available for distribution to the Company’s stockholders, before any such assets or funds are distributed to, or set aside for the benefit of, any Liquidation Junior Stock:</w:t>
      </w:r>
    </w:p>
    <w:p>
      <w:pPr>
        <w:spacing w:after="0" w:line="9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multiplied by the sum of:</w:t>
      </w:r>
    </w:p>
    <w:p>
      <w:pPr>
        <w:spacing w:after="0" w:line="139" w:lineRule="exact"/>
        <w:rPr>
          <w:sz w:val="20"/>
          <w:szCs w:val="20"/>
          <w:color w:val="auto"/>
        </w:rPr>
      </w:pPr>
    </w:p>
    <w:tbl>
      <w:tblPr>
        <w:tblLayout w:type="fixed"/>
        <w:tblInd w:w="1960" w:type="dxa"/>
        <w:tblCellMar>
          <w:top w:w="0" w:type="dxa"/>
          <w:left w:w="0" w:type="dxa"/>
          <w:bottom w:w="0" w:type="dxa"/>
          <w:right w:w="0" w:type="dxa"/>
        </w:tblCellMar>
      </w:tblPr>
      <w:tr>
        <w:trPr>
          <w:trHeight w:val="282"/>
        </w:trPr>
        <w:tc>
          <w:tcPr>
            <w:tcW w:w="9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85"/>
              </w:rPr>
              <w:t>(1)</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Liquidation Preference per share of Convertible Preferred Stock; and</w:t>
            </w:r>
          </w:p>
        </w:tc>
      </w:tr>
      <w:tr>
        <w:trPr>
          <w:trHeight w:val="376"/>
        </w:trPr>
        <w:tc>
          <w:tcPr>
            <w:tcW w:w="9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85"/>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all unpaid Regular Dividends that will have accumulated on such share</w:t>
            </w:r>
          </w:p>
        </w:tc>
      </w:tr>
    </w:tbl>
    <w:p>
      <w:pPr>
        <w:ind w:left="1300"/>
        <w:spacing w:after="0"/>
        <w:rPr>
          <w:sz w:val="20"/>
          <w:szCs w:val="20"/>
          <w:color w:val="auto"/>
        </w:rPr>
      </w:pPr>
      <w:r>
        <w:rPr>
          <w:rFonts w:ascii="Times New Roman" w:cs="Times New Roman" w:eastAsia="Times New Roman" w:hAnsi="Times New Roman"/>
          <w:sz w:val="22"/>
          <w:szCs w:val="22"/>
          <w:color w:val="auto"/>
        </w:rPr>
        <w:t>to, but excluding, the date of such payment; and</w:t>
      </w:r>
    </w:p>
    <w:p>
      <w:pPr>
        <w:spacing w:after="0" w:line="101" w:lineRule="exact"/>
        <w:rPr>
          <w:sz w:val="20"/>
          <w:szCs w:val="20"/>
          <w:color w:val="auto"/>
        </w:rPr>
      </w:pPr>
    </w:p>
    <w:p>
      <w:pPr>
        <w:jc w:val="both"/>
        <w:ind w:left="660" w:firstLine="644"/>
        <w:spacing w:after="0" w:line="235" w:lineRule="auto"/>
        <w:tabs>
          <w:tab w:leader="none" w:pos="195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such Holder would have received in respect of the number of shares of Common Stock that would be issuable upon conversion of such share of Convertible Preferred Stock assuming the Conversion Date of such conversion occurs on the date of such payment and assuming all outstanding shares of Convertible Preferred Stock were converted into Common Stock (without regard as to whether sufficient shares of Common Stock are available out of the Company’s authorized but unissued stock for the purpose of effecting the conversion of the Convertible Preferred Stock and without regard to any limitation on conversion in accordance with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10(j)</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Upon payment of such amount in full on the outstanding Convertible Preferred Stock, Holders of the Convertible Preferred Stock will have no rights to the Company’s remaining assets or funds, if any. If such assets or funds are insufficient to fully pay such amount on all outstanding shares of Convertible Preferred Stock and the corresponding amounts payable in respect of all outstanding shares of Liquidation Parity Stock, if any, then, subject to the rights of any of the Company’s creditors or holders of any outstanding Liquidation Senior Stock, such assets or funds will be distributed ratably on the outstanding shares of Convertible Preferred Stock and Liquidation Parity Stock in proportion to the full respective distributions to which such shares would otherwise be entitled.</w:t>
      </w:r>
    </w:p>
    <w:p>
      <w:pPr>
        <w:spacing w:after="0" w:line="107" w:lineRule="exact"/>
        <w:rPr>
          <w:sz w:val="20"/>
          <w:szCs w:val="20"/>
          <w:color w:val="auto"/>
        </w:rPr>
      </w:pPr>
    </w:p>
    <w:p>
      <w:pPr>
        <w:jc w:val="both"/>
        <w:ind w:firstLine="656"/>
        <w:spacing w:after="0" w:line="236"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Business Combination Transactions Deemed Not to Be a Liquidation</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6(a)</w:t>
      </w:r>
      <w:r>
        <w:rPr>
          <w:rFonts w:ascii="Times New Roman" w:cs="Times New Roman" w:eastAsia="Times New Roman" w:hAnsi="Times New Roman"/>
          <w:sz w:val="22"/>
          <w:szCs w:val="22"/>
          <w:color w:val="auto"/>
        </w:rPr>
        <w:t>, the Company’s consolidation or combination with, or merger with or into, or the sale, lease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of all or substantially all of the Company’s assets (other than a sale, lease or other transfer in connection with the Company’s liquidation, dissolution or winding up) to, another Person will not, in itself, constitute the Company’s liquidation, dissolution or winding up, even if, in connection therewith, the Convertible Preferred Stock is converted into, or is exchanged for, or represents solely the right to receive, other securities, cash or other property, or any combination of the foregoing.</w:t>
      </w:r>
    </w:p>
    <w:p>
      <w:pPr>
        <w:spacing w:after="0" w:line="9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RIGHT OF THE COMPANY TO REDEEM THE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0" w:name="page131"/>
    <w:bookmarkEnd w:id="130"/>
    <w:p>
      <w:pPr>
        <w:jc w:val="both"/>
        <w:ind w:left="-460" w:firstLine="656"/>
        <w:spacing w:after="0" w:line="246"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Redeem Before the Redemption Trigger Date</w:t>
      </w:r>
      <w:r>
        <w:rPr>
          <w:rFonts w:ascii="Times New Roman" w:cs="Times New Roman" w:eastAsia="Times New Roman" w:hAnsi="Times New Roman"/>
          <w:sz w:val="22"/>
          <w:szCs w:val="22"/>
          <w:color w:val="auto"/>
        </w:rPr>
        <w:t>. The Company may not redeem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Preferred Stock at its option at any time before the Redemption Trigger Date, except as set forth in Section 7(h).</w:t>
      </w:r>
    </w:p>
    <w:p>
      <w:pPr>
        <w:spacing w:after="0" w:line="194" w:lineRule="exact"/>
        <w:rPr>
          <w:rFonts w:ascii="Times New Roman" w:cs="Times New Roman" w:eastAsia="Times New Roman" w:hAnsi="Times New Roman"/>
          <w:sz w:val="22"/>
          <w:szCs w:val="22"/>
          <w:color w:val="auto"/>
        </w:rPr>
      </w:pPr>
    </w:p>
    <w:p>
      <w:pPr>
        <w:jc w:val="both"/>
        <w:ind w:left="-460" w:firstLine="656"/>
        <w:spacing w:after="0" w:line="241"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to Redeem the Convertible Preferred Stock on or After Redemption Trigger Date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terms of this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the Company has the right, at its election, to redeem all, but not less than all, of the Convertible Preferred Stock, at any time, on a Redemption Date on or after the Redemption Trigger Date, for a cash purchase price equal to the Redemption Price.</w:t>
      </w:r>
    </w:p>
    <w:p>
      <w:pPr>
        <w:spacing w:after="0" w:line="198" w:lineRule="exact"/>
        <w:rPr>
          <w:rFonts w:ascii="Times New Roman" w:cs="Times New Roman" w:eastAsia="Times New Roman" w:hAnsi="Times New Roman"/>
          <w:sz w:val="22"/>
          <w:szCs w:val="22"/>
          <w:color w:val="auto"/>
        </w:rPr>
      </w:pPr>
    </w:p>
    <w:p>
      <w:pPr>
        <w:jc w:val="both"/>
        <w:ind w:left="-460" w:firstLine="656"/>
        <w:spacing w:after="0" w:line="237"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Prohibited in Certain Circumstances</w:t>
      </w:r>
      <w:r>
        <w:rPr>
          <w:rFonts w:ascii="Times New Roman" w:cs="Times New Roman" w:eastAsia="Times New Roman" w:hAnsi="Times New Roman"/>
          <w:sz w:val="22"/>
          <w:szCs w:val="22"/>
          <w:color w:val="auto"/>
        </w:rPr>
        <w:t>. The Company will not call for Redemption,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otherwise send a Redemption Notice in respect of the Redemption of, any Convertible Preferred Stock pursuant to this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unless (i) the Company has sufficient funds legally available, and is permitted under the terms of its indebtedness for borrowed money, to fully pay the Redemption Price in respect of all shares of Convertible Preferred Stock called for Redemption; and (ii) the Common Stock Liquidity Conditions are satisfied with respect to such Redemption.</w:t>
      </w:r>
    </w:p>
    <w:p>
      <w:pPr>
        <w:spacing w:after="0" w:line="202" w:lineRule="exact"/>
        <w:rPr>
          <w:rFonts w:ascii="Times New Roman" w:cs="Times New Roman" w:eastAsia="Times New Roman" w:hAnsi="Times New Roman"/>
          <w:sz w:val="22"/>
          <w:szCs w:val="22"/>
          <w:color w:val="auto"/>
        </w:rPr>
      </w:pPr>
    </w:p>
    <w:p>
      <w:pPr>
        <w:jc w:val="both"/>
        <w:ind w:left="-460" w:right="20" w:firstLine="656"/>
        <w:spacing w:after="0" w:line="246"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The Redemption Date for any Redemption will be a Business Day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choosing that is no more than sixty (60), nor less than thirty (30), calendar days after the Redemption Notice Date for such Redemption.</w:t>
      </w:r>
    </w:p>
    <w:p>
      <w:pPr>
        <w:spacing w:after="0" w:line="167" w:lineRule="exact"/>
        <w:rPr>
          <w:rFonts w:ascii="Times New Roman" w:cs="Times New Roman" w:eastAsia="Times New Roman" w:hAnsi="Times New Roman"/>
          <w:sz w:val="22"/>
          <w:szCs w:val="22"/>
          <w:color w:val="auto"/>
        </w:rPr>
      </w:pPr>
    </w:p>
    <w:p>
      <w:pPr>
        <w:jc w:val="both"/>
        <w:ind w:left="-460" w:firstLine="656"/>
        <w:spacing w:after="0" w:line="238"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The Redemption Price for any share of Convertible Preferred Stock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repurchased pursuant to a Redemption is an amount in cash equal to the Liquidation Preference of such share at the Close of Business on the Redemption Date for such Redemption plus accumulated and unpaid Regular Dividends on such share to, but excluding, such Redemption Date (to the extent such accumulated and unpaid Regular Dividends are not included in such Liquidation Preference).</w:t>
      </w:r>
    </w:p>
    <w:p>
      <w:pPr>
        <w:spacing w:after="0" w:line="203" w:lineRule="exact"/>
        <w:rPr>
          <w:rFonts w:ascii="Times New Roman" w:cs="Times New Roman" w:eastAsia="Times New Roman" w:hAnsi="Times New Roman"/>
          <w:sz w:val="22"/>
          <w:szCs w:val="22"/>
          <w:color w:val="auto"/>
        </w:rPr>
      </w:pPr>
    </w:p>
    <w:p>
      <w:pPr>
        <w:jc w:val="both"/>
        <w:ind w:left="-460" w:firstLine="656"/>
        <w:spacing w:after="0" w:line="246" w:lineRule="auto"/>
        <w:tabs>
          <w:tab w:leader="none" w:pos="8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Notice</w:t>
      </w:r>
      <w:r>
        <w:rPr>
          <w:rFonts w:ascii="Times New Roman" w:cs="Times New Roman" w:eastAsia="Times New Roman" w:hAnsi="Times New Roman"/>
          <w:sz w:val="22"/>
          <w:szCs w:val="22"/>
          <w:color w:val="auto"/>
        </w:rPr>
        <w:t>. To call any share of Convertible Preferred Stock for Redemption,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must send to the Holder of such share a notice of such Redemption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Such Redemption Notice must state:</w:t>
      </w:r>
    </w:p>
    <w:p>
      <w:pPr>
        <w:spacing w:after="0" w:line="171"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share has been called for Redemption;</w:t>
      </w:r>
    </w:p>
    <w:p>
      <w:pPr>
        <w:spacing w:after="0" w:line="206"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 for such Redemption;</w:t>
      </w:r>
    </w:p>
    <w:p>
      <w:pPr>
        <w:spacing w:after="0" w:line="206"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per share of Convertible Preferred Stock;</w:t>
      </w:r>
    </w:p>
    <w:p>
      <w:pPr>
        <w:spacing w:after="0" w:line="206" w:lineRule="exact"/>
        <w:rPr>
          <w:rFonts w:ascii="Times New Roman" w:cs="Times New Roman" w:eastAsia="Times New Roman" w:hAnsi="Times New Roman"/>
          <w:sz w:val="22"/>
          <w:szCs w:val="22"/>
          <w:color w:val="auto"/>
        </w:rPr>
      </w:pPr>
    </w:p>
    <w:p>
      <w:pPr>
        <w:jc w:val="both"/>
        <w:ind w:left="200" w:right="20" w:firstLine="644"/>
        <w:spacing w:after="0" w:line="239" w:lineRule="auto"/>
        <w:tabs>
          <w:tab w:leader="none" w:pos="149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Convertible Preferred Stock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 and</w:t>
      </w:r>
    </w:p>
    <w:p>
      <w:pPr>
        <w:spacing w:after="0" w:line="180"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in effect on the Redemption Notice Date for such Redemption.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31" w:name="page132"/>
    <w:bookmarkEnd w:id="131"/>
    <w:p>
      <w:pPr>
        <w:jc w:val="both"/>
        <w:ind w:firstLine="656"/>
        <w:spacing w:after="0" w:line="246"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the Redemption Price</w:t>
      </w:r>
      <w:r>
        <w:rPr>
          <w:rFonts w:ascii="Times New Roman" w:cs="Times New Roman" w:eastAsia="Times New Roman" w:hAnsi="Times New Roman"/>
          <w:sz w:val="22"/>
          <w:szCs w:val="22"/>
          <w:color w:val="auto"/>
        </w:rPr>
        <w:t>. The Company will cause the Redemption Price for each share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Preferred Stock subject to Redemption to be paid to the Holder thereof on or before the applicable Redemption Date.</w:t>
      </w:r>
    </w:p>
    <w:p>
      <w:pPr>
        <w:spacing w:after="0" w:line="113"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Upon an Antitrust Trigger Event</w:t>
      </w:r>
      <w:r>
        <w:rPr>
          <w:rFonts w:ascii="Times New Roman" w:cs="Times New Roman" w:eastAsia="Times New Roman" w:hAnsi="Times New Roman"/>
          <w:sz w:val="22"/>
          <w:szCs w:val="22"/>
          <w:color w:val="auto"/>
        </w:rPr>
        <w:t>. Subject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 of any Holder following the occurrence of the Antitrust Trigger Event with respect to the shares of Convertible Preferred Stock held by such Holder, the Company may, at its election, redeem all or any portion of the shares of Convertible Preferred Stock with respect to which the Antitrust Trigger Event has occurred, on the Antitrust Redemption Date, for a cash purchase price per share of Convertible Preferred Stock equal to the Initial Liquidation Preference (an “</w:t>
      </w:r>
      <w:r>
        <w:rPr>
          <w:rFonts w:ascii="Times New Roman" w:cs="Times New Roman" w:eastAsia="Times New Roman" w:hAnsi="Times New Roman"/>
          <w:sz w:val="22"/>
          <w:szCs w:val="22"/>
          <w:b w:val="1"/>
          <w:bCs w:val="1"/>
          <w:color w:val="auto"/>
        </w:rPr>
        <w:t>Antitrust Redemption</w:t>
      </w:r>
      <w:r>
        <w:rPr>
          <w:rFonts w:ascii="Times New Roman" w:cs="Times New Roman" w:eastAsia="Times New Roman" w:hAnsi="Times New Roman"/>
          <w:sz w:val="22"/>
          <w:szCs w:val="22"/>
          <w:color w:val="auto"/>
        </w:rPr>
        <w:t xml:space="preserve">”). The procedures set forth in </w:t>
      </w:r>
      <w:r>
        <w:rPr>
          <w:rFonts w:ascii="Times New Roman" w:cs="Times New Roman" w:eastAsia="Times New Roman" w:hAnsi="Times New Roman"/>
          <w:sz w:val="22"/>
          <w:szCs w:val="22"/>
          <w:b w:val="1"/>
          <w:bCs w:val="1"/>
          <w:color w:val="auto"/>
        </w:rPr>
        <w:t>Sections 7(d)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22"/>
          <w:szCs w:val="22"/>
          <w:color w:val="auto"/>
        </w:rPr>
        <w:t xml:space="preserve"> will apply to any Antitrust Redemption, except that the Redemption Price shall be the Initial Liquidation Preference and the Redemption Date shall be the Antitrust Redemption Date.</w:t>
      </w:r>
    </w:p>
    <w:p>
      <w:pPr>
        <w:spacing w:after="0" w:line="12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Section 8. RIGHT OF HOLDERS TO REQUIRE THE COMPANY TO REPURCHASE CONVERTIBLE PREFERRED STOCK UPON A CHANGE OF CONTROL.</w:t>
      </w:r>
    </w:p>
    <w:p>
      <w:pPr>
        <w:spacing w:after="0" w:line="100" w:lineRule="exact"/>
        <w:rPr>
          <w:sz w:val="20"/>
          <w:szCs w:val="20"/>
          <w:color w:val="auto"/>
        </w:rPr>
      </w:pPr>
    </w:p>
    <w:p>
      <w:pPr>
        <w:jc w:val="both"/>
        <w:ind w:firstLine="656"/>
        <w:spacing w:after="0" w:line="235"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of Holders to Require the Company to Repurchase Convertible Preferred Stock upon a Change of Control</w:t>
      </w:r>
      <w:r>
        <w:rPr>
          <w:rFonts w:ascii="Times New Roman" w:cs="Times New Roman" w:eastAsia="Times New Roman" w:hAnsi="Times New Roman"/>
          <w:sz w:val="22"/>
          <w:szCs w:val="22"/>
          <w:color w:val="auto"/>
        </w:rPr>
        <w:t>. Subject to the other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if a Change of Control occurs, then each Holder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have the right (the “</w:t>
      </w:r>
      <w:r>
        <w:rPr>
          <w:rFonts w:ascii="Times New Roman" w:cs="Times New Roman" w:eastAsia="Times New Roman" w:hAnsi="Times New Roman"/>
          <w:sz w:val="22"/>
          <w:szCs w:val="22"/>
          <w:b w:val="1"/>
          <w:bCs w:val="1"/>
          <w:color w:val="auto"/>
        </w:rPr>
        <w:t>Change of Control Repurchase Right</w:t>
      </w:r>
      <w:r>
        <w:rPr>
          <w:rFonts w:ascii="Times New Roman" w:cs="Times New Roman" w:eastAsia="Times New Roman" w:hAnsi="Times New Roman"/>
          <w:sz w:val="22"/>
          <w:szCs w:val="22"/>
          <w:color w:val="auto"/>
        </w:rPr>
        <w:t>”) to require the Company or the Survivor of a Change of Control (such Survivor of a Change of Control, the “</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to repurchase all, or any whole number of shares that is less than all, of such Holder’s Convertible Preferred Stock on the Change of Control Repurchase Date for such Change of Control for a cash purchase price equal to the Change of Control Repurchase Price. For clarity, any shares of Convertible Preferred Stock in respect of which a Holder does not exercise the right to require the Company to repurchase as set forth in this Section 8 shall remain outstanding.</w:t>
      </w:r>
    </w:p>
    <w:p>
      <w:pPr>
        <w:spacing w:after="0" w:line="124"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Funds Legally Available for Payment of Change of Control Repurchase Price; Covenant Not to Take Certain Actions</w:t>
      </w:r>
      <w:r>
        <w:rPr>
          <w:rFonts w:ascii="Times New Roman" w:cs="Times New Roman" w:eastAsia="Times New Roman" w:hAnsi="Times New Roman"/>
          <w:sz w:val="22"/>
          <w:szCs w:val="22"/>
          <w:color w:val="auto"/>
        </w:rPr>
        <w:t>. Notwithstanding anything to the contrary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but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rights of the Holders to receive payment of the Change of Control Repurchase Price pursuant to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xml:space="preserve"> upon the occurrence of a Change of Control are subject to the prior repayment in full of the loans and all other obligations that are accrued and payable under the terms of the Company’s Revenue Interest Financing Agreement and the termination of the commitments and the termination of all outstanding letters of credit to the extent required under such Revenue Interest Financing Agreement; (ii) the Company or the Acquirer will not be obligated to pay the Change of Control Repurchase Price of any shares of Convertible Preferred Stock to the extent, and only to the extent, the Company or the Acquirer does not have sufficient funds legally available to pay the same; and (iii) if the Company or the Acquirer does not have sufficient funds legally available to pay the Change of Control Repurchase Price of all shares of Convertible Preferred Stock that are otherwise to be repurchased pursuant to a Repurchase Upon Change of Control, then (1) the Company or the Acquirer, as applicable, will pay the maximum amount of such Change of Control Repurchase Price that can be paid out of funds legally available for payment, which payment will be made pro rata to each Holder based on the total number of shares of Convertible Preferred Stock of such Holder that were otherwise to be repurchased pursuant to such Repurchase Upon Change of Control; and (2) at any time thereafter when additional funds of the Company or the Acquirer, as applicable, become legally</w:t>
      </w: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2" w:name="page133"/>
    <w:bookmarkEnd w:id="132"/>
    <w:p>
      <w:pPr>
        <w:jc w:val="both"/>
        <w:spacing w:after="0" w:line="234" w:lineRule="auto"/>
        <w:rPr>
          <w:sz w:val="20"/>
          <w:szCs w:val="20"/>
          <w:color w:val="auto"/>
        </w:rPr>
      </w:pPr>
      <w:r>
        <w:rPr>
          <w:rFonts w:ascii="Times New Roman" w:cs="Times New Roman" w:eastAsia="Times New Roman" w:hAnsi="Times New Roman"/>
          <w:sz w:val="22"/>
          <w:szCs w:val="22"/>
          <w:color w:val="auto"/>
        </w:rPr>
        <w:t>available for the repurchase of the Convertible Preferred Stock, such funds will be used to redeem the balance of the shares of Convertible Preferred Stock which the Company was theretofore obligated to repurchase. Any shares of Convertible Preferred Stock which are not repurchased as a result of the circumstances described herein shall remain outstanding until such shares shall have been redeemed and the Change of Control Repurchase Price therefor, as applicable, shall have been paid or set aside for payment in full. The Company will not voluntarily take any action, or voluntarily engage in any transaction, that would result in a Change of Control unless the Company has (and will have through the date of payment) sufficient funds legally available to fully pay the maximum aggregate Change of Control Repurchase Price that would be payable in respect of such Change of Control on all shares of Convertible Preferred Stock then outstanding.</w:t>
      </w:r>
    </w:p>
    <w:p>
      <w:pPr>
        <w:spacing w:after="0" w:line="166" w:lineRule="exact"/>
        <w:rPr>
          <w:sz w:val="20"/>
          <w:szCs w:val="20"/>
          <w:color w:val="auto"/>
        </w:rPr>
      </w:pPr>
    </w:p>
    <w:p>
      <w:pPr>
        <w:jc w:val="both"/>
        <w:ind w:firstLine="656"/>
        <w:spacing w:after="0" w:line="241"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Repurchase Date</w:t>
      </w:r>
      <w:r>
        <w:rPr>
          <w:rFonts w:ascii="Times New Roman" w:cs="Times New Roman" w:eastAsia="Times New Roman" w:hAnsi="Times New Roman"/>
          <w:sz w:val="22"/>
          <w:szCs w:val="22"/>
          <w:color w:val="auto"/>
        </w:rPr>
        <w:t>. The Change of Control Repurchase Date for any Change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Control will be a Business Day of the Company’s choosing that is no more than thirty five (35), nor less than twenty (20), Business Days after the date the Company sends the related Change of Control Notice pursuant to </w:t>
      </w:r>
      <w:r>
        <w:rPr>
          <w:rFonts w:ascii="Times New Roman" w:cs="Times New Roman" w:eastAsia="Times New Roman" w:hAnsi="Times New Roman"/>
          <w:sz w:val="22"/>
          <w:szCs w:val="22"/>
          <w:b w:val="1"/>
          <w:bCs w:val="1"/>
          <w:color w:val="auto"/>
        </w:rPr>
        <w:t>Section 8(e)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Repurchase Price</w:t>
      </w:r>
      <w:r>
        <w:rPr>
          <w:rFonts w:ascii="Times New Roman" w:cs="Times New Roman" w:eastAsia="Times New Roman" w:hAnsi="Times New Roman"/>
          <w:sz w:val="22"/>
          <w:szCs w:val="22"/>
          <w:color w:val="auto"/>
        </w:rPr>
        <w:t>. The Change of Control Repurchase Price for any share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Preferred Stock to be repurchased upon a Repurchase Upon Change of Control following a Change of Control is an amount in cash equal to one hundred and seventy five percent (175%) of the sum of (i) Liquidation Preference of such share at the Close of Business on such Change of Control Repurchase Date plus (ii) accumulated and unpaid Regular Dividends on such share to, but excluding, such Change of Control Repurchase Date (to the extent such accumulated and unpaid Regular Dividends are not included in such Liquidation Preference).</w:t>
      </w:r>
    </w:p>
    <w:p>
      <w:pPr>
        <w:spacing w:after="0" w:line="162"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Notice</w:t>
      </w:r>
      <w:r>
        <w:rPr>
          <w:rFonts w:ascii="Times New Roman" w:cs="Times New Roman" w:eastAsia="Times New Roman" w:hAnsi="Times New Roman"/>
          <w:sz w:val="22"/>
          <w:szCs w:val="22"/>
          <w:color w:val="auto"/>
        </w:rPr>
        <w:t>. On or before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Business Day before the effective date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anticipated effective date) of a Change of Control (or, if later, promptly after the Company discovers that a Change of Control may occur), the Company will send to each Holder a notice of such Change of Control (either concurrently with or after the public announcement of the same information) (a “</w:t>
      </w:r>
      <w:r>
        <w:rPr>
          <w:rFonts w:ascii="Times New Roman" w:cs="Times New Roman" w:eastAsia="Times New Roman" w:hAnsi="Times New Roman"/>
          <w:sz w:val="22"/>
          <w:szCs w:val="22"/>
          <w:b w:val="1"/>
          <w:bCs w:val="1"/>
          <w:color w:val="auto"/>
        </w:rPr>
        <w:t>Change of Control Notice</w:t>
      </w:r>
      <w:r>
        <w:rPr>
          <w:rFonts w:ascii="Times New Roman" w:cs="Times New Roman" w:eastAsia="Times New Roman" w:hAnsi="Times New Roman"/>
          <w:sz w:val="22"/>
          <w:szCs w:val="22"/>
          <w:color w:val="auto"/>
        </w:rPr>
        <w:t>”). Such Change of Control Notice must state:</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briefly, the events causing such Change of Control;</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expected effective date of such Change of Control;</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5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procedures that a Holder must follow to require the Company to repurchase its Convertible Preferred Stock pursuant to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including the deadline for exercising the Change of Control Repurchase Right and the procedures for submitting and withdrawing a Change of Control Repurchase Notice;</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of Control Repurchase Date for such Change of Control;</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of Control Repurchase Price per share of Convertible Preferred Stock;</w:t>
      </w:r>
    </w:p>
    <w:p>
      <w:pPr>
        <w:spacing w:after="0" w:line="192" w:lineRule="exact"/>
        <w:rPr>
          <w:rFonts w:ascii="Times New Roman" w:cs="Times New Roman" w:eastAsia="Times New Roman" w:hAnsi="Times New Roman"/>
          <w:sz w:val="22"/>
          <w:szCs w:val="22"/>
          <w:color w:val="auto"/>
        </w:rPr>
      </w:pPr>
    </w:p>
    <w:p>
      <w:pPr>
        <w:ind w:left="660" w:firstLine="644"/>
        <w:spacing w:after="0" w:line="258" w:lineRule="auto"/>
        <w:tabs>
          <w:tab w:leader="none" w:pos="195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in effect on the date of such Change of Control Notice and a description and quantification of any adjustments to the Conversion Rate that may</w:t>
      </w:r>
    </w:p>
    <w:p>
      <w:pPr>
        <w:spacing w:after="0" w:line="374"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ind w:left="200"/>
        <w:spacing w:after="0"/>
        <w:rPr>
          <w:sz w:val="20"/>
          <w:szCs w:val="20"/>
          <w:color w:val="auto"/>
        </w:rPr>
      </w:pPr>
      <w:r>
        <w:rPr>
          <w:rFonts w:ascii="Times New Roman" w:cs="Times New Roman" w:eastAsia="Times New Roman" w:hAnsi="Times New Roman"/>
          <w:sz w:val="22"/>
          <w:szCs w:val="22"/>
          <w:color w:val="auto"/>
        </w:rPr>
        <w:t>result from such Change of Control;</w:t>
      </w:r>
    </w:p>
    <w:p>
      <w:pPr>
        <w:spacing w:after="0" w:line="206" w:lineRule="exact"/>
        <w:rPr>
          <w:sz w:val="20"/>
          <w:szCs w:val="20"/>
          <w:color w:val="auto"/>
        </w:rPr>
      </w:pPr>
    </w:p>
    <w:p>
      <w:pPr>
        <w:jc w:val="both"/>
        <w:ind w:left="200" w:firstLine="644"/>
        <w:spacing w:after="0" w:line="244" w:lineRule="auto"/>
        <w:tabs>
          <w:tab w:leader="none" w:pos="14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shares of Convertible Preferred Stock for which a Change of Control Repurchase Notice has been duly tendered and not duly withdrawn must be delivered to the Company for the Holder thereof to be entitled to receive the Change of Control Repurchase Price; and</w:t>
      </w:r>
    </w:p>
    <w:p>
      <w:pPr>
        <w:spacing w:after="0" w:line="173" w:lineRule="exact"/>
        <w:rPr>
          <w:rFonts w:ascii="Times New Roman" w:cs="Times New Roman" w:eastAsia="Times New Roman" w:hAnsi="Times New Roman"/>
          <w:sz w:val="22"/>
          <w:szCs w:val="22"/>
          <w:color w:val="auto"/>
        </w:rPr>
      </w:pPr>
    </w:p>
    <w:p>
      <w:pPr>
        <w:jc w:val="both"/>
        <w:ind w:left="200" w:firstLine="644"/>
        <w:spacing w:after="0" w:line="244" w:lineRule="auto"/>
        <w:tabs>
          <w:tab w:leader="none" w:pos="14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shares of Convertible Preferred Stock that are subject to a Change of Control Repurchase Notice that has been duly tendered may be converted only if such Change of Control Repurchase Notice is withdrawn in accordance with this Certificate of Designations.</w:t>
      </w:r>
    </w:p>
    <w:p>
      <w:pPr>
        <w:spacing w:after="0" w:line="169"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Procedures to Exercise the Change of Control Repurchase Right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firstLine="644"/>
        <w:spacing w:after="0" w:line="241" w:lineRule="auto"/>
        <w:tabs>
          <w:tab w:leader="none" w:pos="149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Change of Control Repurchase Notice and Shares of Convertible Preferred Stock to Be Repurchased</w:t>
      </w:r>
      <w:r>
        <w:rPr>
          <w:rFonts w:ascii="Times New Roman" w:cs="Times New Roman" w:eastAsia="Times New Roman" w:hAnsi="Times New Roman"/>
          <w:sz w:val="22"/>
          <w:szCs w:val="22"/>
          <w:color w:val="auto"/>
        </w:rPr>
        <w:t>. To exercise its Change of Control Repurchase Right for any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Preferred Stock following a Change of Control, the Holder thereof must deliver to the Company:</w:t>
      </w:r>
    </w:p>
    <w:p>
      <w:pPr>
        <w:spacing w:after="0" w:line="176" w:lineRule="exact"/>
        <w:rPr>
          <w:sz w:val="20"/>
          <w:szCs w:val="20"/>
          <w:color w:val="auto"/>
        </w:rPr>
      </w:pPr>
    </w:p>
    <w:p>
      <w:pPr>
        <w:jc w:val="both"/>
        <w:ind w:left="840" w:firstLine="648"/>
        <w:spacing w:after="0" w:line="244" w:lineRule="auto"/>
        <w:rPr>
          <w:sz w:val="20"/>
          <w:szCs w:val="20"/>
          <w:color w:val="auto"/>
        </w:rPr>
      </w:pPr>
      <w:r>
        <w:rPr>
          <w:rFonts w:ascii="Times New Roman" w:cs="Times New Roman" w:eastAsia="Times New Roman" w:hAnsi="Times New Roman"/>
          <w:sz w:val="22"/>
          <w:szCs w:val="22"/>
          <w:color w:val="auto"/>
        </w:rPr>
        <w:t>(1) before the Close of Business on the Business Day immediately before the related Change of Control Repurchase Date (or such later time as may be required by law), a duly completed, written Change of Control Repurchase Notice with respect to such share(s); and</w:t>
      </w:r>
    </w:p>
    <w:p>
      <w:pPr>
        <w:spacing w:after="0" w:line="173"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22"/>
          <w:szCs w:val="22"/>
          <w:color w:val="auto"/>
        </w:rPr>
        <w:t>(2) such share(s), duly endorsed for transfer, to the extent such share(s) are represented by one or more Physical Certificates.</w:t>
      </w:r>
    </w:p>
    <w:p>
      <w:pPr>
        <w:spacing w:after="0" w:line="154" w:lineRule="exact"/>
        <w:rPr>
          <w:sz w:val="20"/>
          <w:szCs w:val="20"/>
          <w:color w:val="auto"/>
        </w:rPr>
      </w:pPr>
    </w:p>
    <w:p>
      <w:pPr>
        <w:ind w:left="200" w:right="20" w:firstLine="644"/>
        <w:spacing w:after="0" w:line="262" w:lineRule="auto"/>
        <w:tabs>
          <w:tab w:leader="none" w:pos="14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Contents of Change of Control Repurchase Notices</w:t>
      </w:r>
      <w:r>
        <w:rPr>
          <w:rFonts w:ascii="Times New Roman" w:cs="Times New Roman" w:eastAsia="Times New Roman" w:hAnsi="Times New Roman"/>
          <w:sz w:val="22"/>
          <w:szCs w:val="22"/>
          <w:color w:val="auto"/>
        </w:rPr>
        <w:t>. Each Change of Control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with respect to any share(s) of Convertible Preferred Stock must state:</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if such share(s) are represented by one or more Physical Certificates, the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certificate number(s) of such Physical Certificate(s);</w:t>
            </w:r>
          </w:p>
        </w:tc>
      </w:tr>
      <w:tr>
        <w:trPr>
          <w:trHeight w:val="420"/>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number of shares of Convertible Preferred Stock to be repurchased,</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which must be a whole number; and</w:t>
            </w:r>
          </w:p>
        </w:tc>
      </w:tr>
      <w:tr>
        <w:trPr>
          <w:trHeight w:val="444"/>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that such Holder is exercising its Change of Control Repurchase Right</w:t>
            </w:r>
          </w:p>
        </w:tc>
      </w:tr>
    </w:tbl>
    <w:p>
      <w:pPr>
        <w:ind w:left="840"/>
        <w:spacing w:after="0"/>
        <w:rPr>
          <w:sz w:val="20"/>
          <w:szCs w:val="20"/>
          <w:color w:val="auto"/>
        </w:rPr>
      </w:pPr>
      <w:r>
        <w:rPr>
          <w:rFonts w:ascii="Times New Roman" w:cs="Times New Roman" w:eastAsia="Times New Roman" w:hAnsi="Times New Roman"/>
          <w:sz w:val="22"/>
          <w:szCs w:val="22"/>
          <w:color w:val="auto"/>
        </w:rPr>
        <w:t>with respect to such share(s).</w:t>
      </w:r>
    </w:p>
    <w:p>
      <w:pPr>
        <w:spacing w:after="0" w:line="178" w:lineRule="exact"/>
        <w:rPr>
          <w:sz w:val="20"/>
          <w:szCs w:val="20"/>
          <w:color w:val="auto"/>
        </w:rPr>
      </w:pPr>
    </w:p>
    <w:p>
      <w:pPr>
        <w:jc w:val="both"/>
        <w:ind w:left="200" w:firstLine="644"/>
        <w:spacing w:after="0" w:line="238" w:lineRule="auto"/>
        <w:tabs>
          <w:tab w:leader="none" w:pos="149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Withdrawal of Change of Control Repurchase Notice</w:t>
      </w:r>
      <w:r>
        <w:rPr>
          <w:rFonts w:ascii="Times New Roman" w:cs="Times New Roman" w:eastAsia="Times New Roman" w:hAnsi="Times New Roman"/>
          <w:sz w:val="22"/>
          <w:szCs w:val="22"/>
          <w:color w:val="auto"/>
        </w:rPr>
        <w:t>. A Holder that has delivered a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Control Repurchase Notice with respect to any share(s) of Convertible Preferred Stock may withdraw such Change of Control Repurchase Notice by delivering a written notice of withdrawal to the Company at any time before the Close of Business on the Business Day immediately before the related Change of Control Repurchase Date. Such withdrawal notice must state:</w:t>
      </w:r>
    </w:p>
    <w:p>
      <w:pPr>
        <w:spacing w:after="0" w:line="181" w:lineRule="exact"/>
        <w:rPr>
          <w:sz w:val="20"/>
          <w:szCs w:val="20"/>
          <w:color w:val="auto"/>
        </w:rPr>
      </w:pPr>
    </w:p>
    <w:p>
      <w:pPr>
        <w:ind w:left="1500"/>
        <w:spacing w:after="0"/>
        <w:tabs>
          <w:tab w:leader="none" w:pos="3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if such share(s) are represented by one or more Physical</w:t>
      </w: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34" w:name="page135"/>
    <w:bookmarkEnd w:id="134"/>
    <w:p>
      <w:pPr>
        <w:ind w:left="1300"/>
        <w:spacing w:after="0"/>
        <w:rPr>
          <w:sz w:val="20"/>
          <w:szCs w:val="20"/>
          <w:color w:val="auto"/>
        </w:rPr>
      </w:pPr>
      <w:r>
        <w:rPr>
          <w:rFonts w:ascii="Times New Roman" w:cs="Times New Roman" w:eastAsia="Times New Roman" w:hAnsi="Times New Roman"/>
          <w:sz w:val="22"/>
          <w:szCs w:val="22"/>
          <w:color w:val="auto"/>
        </w:rPr>
        <w:t>Certificates, the certificate number(s) of such Physical Certificate(s);</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number of shares of Convertible Preferred Stock to be withdrawn,</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which must be a whole number; and</w:t>
            </w:r>
          </w:p>
        </w:tc>
      </w:tr>
      <w:tr>
        <w:trPr>
          <w:trHeight w:val="417"/>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number of shares of Convertible Preferred Stock, if any, that remain</w:t>
            </w:r>
          </w:p>
        </w:tc>
      </w:tr>
    </w:tbl>
    <w:p>
      <w:pPr>
        <w:ind w:left="1300"/>
        <w:spacing w:after="0"/>
        <w:rPr>
          <w:sz w:val="20"/>
          <w:szCs w:val="20"/>
          <w:color w:val="auto"/>
        </w:rPr>
      </w:pPr>
      <w:r>
        <w:rPr>
          <w:rFonts w:ascii="Times New Roman" w:cs="Times New Roman" w:eastAsia="Times New Roman" w:hAnsi="Times New Roman"/>
          <w:sz w:val="22"/>
          <w:szCs w:val="22"/>
          <w:color w:val="auto"/>
        </w:rPr>
        <w:t>subject to such Change of Control Repurchase Notice, which must be a whole number.</w:t>
      </w:r>
    </w:p>
    <w:p>
      <w:pPr>
        <w:spacing w:after="0" w:line="169"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If any Holder delivers to the Company any such withdrawal notice withdrawing any share(s) of Convertible Preferred Stock from any Change of Control Repurchase Notice previously delivered to the Company, and such share(s) have been surrendered to the Transfer Agent or the Company, then such share(s) will be returned to the Holder thereof.</w:t>
      </w:r>
    </w:p>
    <w:p>
      <w:pPr>
        <w:spacing w:after="0" w:line="163" w:lineRule="exact"/>
        <w:rPr>
          <w:sz w:val="20"/>
          <w:szCs w:val="20"/>
          <w:color w:val="auto"/>
        </w:rPr>
      </w:pPr>
    </w:p>
    <w:p>
      <w:pPr>
        <w:jc w:val="both"/>
        <w:ind w:firstLine="656"/>
        <w:spacing w:after="0" w:line="238" w:lineRule="auto"/>
        <w:tabs>
          <w:tab w:leader="none" w:pos="12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the Change of Control Repurchase Price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8(b)</w:t>
      </w:r>
      <w:r>
        <w:rPr>
          <w:rFonts w:ascii="Times New Roman" w:cs="Times New Roman" w:eastAsia="Times New Roman" w:hAnsi="Times New Roman"/>
          <w:sz w:val="22"/>
          <w:szCs w:val="22"/>
          <w:color w:val="auto"/>
        </w:rPr>
        <w:t>, the Company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Acquirer, as applicable, will cause the Change of Control Repurchase Price for each share of Convertible Preferred Stock to be repurchased pursuant to a Repurchase Upon Change of Control to be paid to the Holder thereof on or before the later of (i) the applicable Change of Control Repurchase Date; and (ii) the date such share is tendered to the Transfer Agent or the Company.</w:t>
      </w:r>
    </w:p>
    <w:p>
      <w:pPr>
        <w:spacing w:after="0" w:line="149" w:lineRule="exact"/>
        <w:rPr>
          <w:rFonts w:ascii="Times New Roman" w:cs="Times New Roman" w:eastAsia="Times New Roman" w:hAnsi="Times New Roman"/>
          <w:sz w:val="22"/>
          <w:szCs w:val="22"/>
          <w:color w:val="auto"/>
        </w:rPr>
      </w:pPr>
    </w:p>
    <w:p>
      <w:pPr>
        <w:jc w:val="both"/>
        <w:ind w:firstLine="656"/>
        <w:spacing w:after="0" w:line="237" w:lineRule="auto"/>
        <w:tabs>
          <w:tab w:leader="none" w:pos="12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Securities Laws</w:t>
      </w:r>
      <w:r>
        <w:rPr>
          <w:rFonts w:ascii="Times New Roman" w:cs="Times New Roman" w:eastAsia="Times New Roman" w:hAnsi="Times New Roman"/>
          <w:sz w:val="22"/>
          <w:szCs w:val="22"/>
          <w:color w:val="auto"/>
        </w:rPr>
        <w:t>. Notwithstanding anything in this Certificate of Designations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contrary, in connection with any offer to repurchase by the Company or the Acquirer, as applicable in connection with a Change of Control or Antitrust Trigger Event, the Company or the Acquirer, as applicable, will, if required, (i) comply with the provisions of Rule 13e-4, Rule 14e-1 and any other tender offer rules under the Exchange Act; (ii) file a Schedule TO or any other required filing under the Exchange Act; and (iii) otherwise comply with all federal and state securities laws.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 VOTING RIGHTS. The Convertible Preferred Stock will have no voting rights except as set forth in this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or as provided in the Certificate of Incorporation or required by the Delaware General Corporation Law.</w:t>
      </w:r>
    </w:p>
    <w:p>
      <w:pPr>
        <w:spacing w:after="0" w:line="156"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and Consent Rights with Respect to Specified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the other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9(a)</w:t>
      </w:r>
      <w:r>
        <w:rPr>
          <w:rFonts w:ascii="Times New Roman" w:cs="Times New Roman" w:eastAsia="Times New Roman" w:hAnsi="Times New Roman"/>
          <w:sz w:val="22"/>
          <w:szCs w:val="22"/>
          <w:color w:val="auto"/>
        </w:rPr>
        <w:t>, while any Convertible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Preferred Stock is outstanding, each following event will require, and cannot be effected (either directly or indirectly) without, the affirmative vote or consent of Holders representing at least two thirds (</w:t>
      </w:r>
      <w:r>
        <w:rPr>
          <w:rFonts w:ascii="Times New Roman" w:cs="Times New Roman" w:eastAsia="Times New Roman" w:hAnsi="Times New Roman"/>
          <w:sz w:val="16"/>
          <w:szCs w:val="16"/>
          <w:color w:val="auto"/>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32"/>
          <w:szCs w:val="32"/>
          <w:color w:val="auto"/>
          <w:vertAlign w:val="subscript"/>
        </w:rPr>
        <w:t>3</w:t>
      </w:r>
      <w:r>
        <w:rPr>
          <w:rFonts w:ascii="Times New Roman" w:cs="Times New Roman" w:eastAsia="Times New Roman" w:hAnsi="Times New Roman"/>
          <w:sz w:val="22"/>
          <w:szCs w:val="22"/>
          <w:color w:val="auto"/>
        </w:rPr>
        <w:t>rds) of the then-outstanding shares of Convertible Preferred Stock:</w:t>
      </w:r>
    </w:p>
    <w:p>
      <w:pPr>
        <w:spacing w:after="0" w:line="167" w:lineRule="exact"/>
        <w:rPr>
          <w:sz w:val="20"/>
          <w:szCs w:val="20"/>
          <w:color w:val="auto"/>
        </w:rPr>
      </w:pPr>
    </w:p>
    <w:p>
      <w:pPr>
        <w:jc w:val="both"/>
        <w:ind w:left="1300" w:firstLine="648"/>
        <w:spacing w:after="0"/>
        <w:rPr>
          <w:sz w:val="20"/>
          <w:szCs w:val="20"/>
          <w:color w:val="auto"/>
        </w:rPr>
      </w:pPr>
      <w:r>
        <w:rPr>
          <w:rFonts w:ascii="Times New Roman" w:cs="Times New Roman" w:eastAsia="Times New Roman" w:hAnsi="Times New Roman"/>
          <w:sz w:val="22"/>
          <w:szCs w:val="22"/>
          <w:color w:val="auto"/>
        </w:rPr>
        <w:t>(1) any amendment or modification of the Certificate of Incorporation to authorize or create, or to increase the authorized number of shares of, any class or series of Dividend Parity Stock, Liquidation Parity Stock, Dividend Senior Stock or Liquidation Senior Stock;</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any amendment, modification, repeal or waiver of any</w:t>
            </w:r>
          </w:p>
        </w:tc>
      </w:tr>
      <w:tr>
        <w:trPr>
          <w:trHeight w:val="675"/>
        </w:trPr>
        <w:tc>
          <w:tcPr>
            <w:tcW w:w="2860" w:type="dxa"/>
            <w:vAlign w:val="bottom"/>
          </w:tcPr>
          <w:p>
            <w:pPr>
              <w:spacing w:after="0"/>
              <w:rPr>
                <w:sz w:val="24"/>
                <w:szCs w:val="24"/>
                <w:color w:val="auto"/>
              </w:rPr>
            </w:pPr>
          </w:p>
        </w:tc>
        <w:tc>
          <w:tcPr>
            <w:tcW w:w="7060" w:type="dxa"/>
            <w:vAlign w:val="bottom"/>
          </w:tcPr>
          <w:p>
            <w:pPr>
              <w:jc w:val="right"/>
              <w:ind w:right="4612"/>
              <w:spacing w:after="0"/>
              <w:rPr>
                <w:sz w:val="20"/>
                <w:szCs w:val="20"/>
                <w:color w:val="auto"/>
              </w:rPr>
            </w:pPr>
            <w:r>
              <w:rPr>
                <w:rFonts w:ascii="Times New Roman" w:cs="Times New Roman" w:eastAsia="Times New Roman" w:hAnsi="Times New Roman"/>
                <w:sz w:val="22"/>
                <w:szCs w:val="22"/>
                <w:color w:val="auto"/>
              </w:rPr>
              <w:t>- 29 -</w:t>
            </w:r>
          </w:p>
        </w:tc>
      </w:tr>
      <w:tr>
        <w:trPr>
          <w:trHeight w:val="535"/>
        </w:trPr>
        <w:tc>
          <w:tcPr>
            <w:tcW w:w="28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135" w:name="page136"/>
    <w:bookmarkEnd w:id="135"/>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 xml:space="preserve">provision of the Certificate of Incorporation or this Certificate of Designations that adversely affects the rights, preferences, privileges or powers of the Convertible Preferred Stock (other than an amendment, modification or repeal permitted by </w:t>
      </w:r>
      <w:r>
        <w:rPr>
          <w:rFonts w:ascii="Times New Roman" w:cs="Times New Roman" w:eastAsia="Times New Roman" w:hAnsi="Times New Roman"/>
          <w:sz w:val="22"/>
          <w:szCs w:val="22"/>
          <w:b w:val="1"/>
          <w:bCs w:val="1"/>
          <w:color w:val="auto"/>
        </w:rPr>
        <w:t>Section 9(a)(iii)</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jc w:val="both"/>
        <w:ind w:left="840" w:firstLine="648"/>
        <w:spacing w:after="0" w:line="246" w:lineRule="auto"/>
        <w:rPr>
          <w:sz w:val="20"/>
          <w:szCs w:val="20"/>
          <w:color w:val="auto"/>
        </w:rPr>
      </w:pPr>
      <w:r>
        <w:rPr>
          <w:rFonts w:ascii="Times New Roman" w:cs="Times New Roman" w:eastAsia="Times New Roman" w:hAnsi="Times New Roman"/>
          <w:sz w:val="22"/>
          <w:szCs w:val="22"/>
          <w:color w:val="auto"/>
        </w:rPr>
        <w:t>(3) increase or decrease the number of authorized shares of Convertible Preferred Stock (except as permitted herein) or issue additional shares of Convertible Preferred Stock;</w:t>
      </w:r>
    </w:p>
    <w:p>
      <w:pPr>
        <w:spacing w:after="0" w:line="372" w:lineRule="exact"/>
        <w:rPr>
          <w:sz w:val="20"/>
          <w:szCs w:val="20"/>
          <w:color w:val="auto"/>
        </w:rPr>
      </w:pPr>
    </w:p>
    <w:tbl>
      <w:tblPr>
        <w:tblLayout w:type="fixed"/>
        <w:tblInd w:w="1500" w:type="dxa"/>
        <w:tblCellMar>
          <w:top w:w="0" w:type="dxa"/>
          <w:left w:w="0" w:type="dxa"/>
          <w:bottom w:w="0" w:type="dxa"/>
          <w:right w:w="0" w:type="dxa"/>
        </w:tblCellMar>
      </w:tblPr>
      <w:tr>
        <w:trPr>
          <w:trHeight w:val="282"/>
        </w:trPr>
        <w:tc>
          <w:tcPr>
            <w:tcW w:w="9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85"/>
              </w:rPr>
              <w:t>(4)</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[Reserved]; or</w:t>
            </w:r>
          </w:p>
        </w:tc>
      </w:tr>
      <w:tr>
        <w:trPr>
          <w:trHeight w:val="390"/>
        </w:trPr>
        <w:tc>
          <w:tcPr>
            <w:tcW w:w="9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85"/>
              </w:rPr>
              <w:t>(5)</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the Company’s consolidation or combination with, or merger with or into,</w:t>
            </w:r>
          </w:p>
        </w:tc>
      </w:tr>
    </w:tbl>
    <w:p>
      <w:pPr>
        <w:ind w:left="840"/>
        <w:spacing w:after="0" w:line="230" w:lineRule="auto"/>
        <w:rPr>
          <w:sz w:val="20"/>
          <w:szCs w:val="20"/>
          <w:color w:val="auto"/>
        </w:rPr>
      </w:pPr>
      <w:r>
        <w:rPr>
          <w:rFonts w:ascii="Times New Roman" w:cs="Times New Roman" w:eastAsia="Times New Roman" w:hAnsi="Times New Roman"/>
          <w:sz w:val="22"/>
          <w:szCs w:val="22"/>
          <w:color w:val="auto"/>
        </w:rPr>
        <w:t>another Person, or any binding or statutory share exchange or reclassification involving the</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Convertible Preferred Stock, in each case unless:</w:t>
      </w:r>
    </w:p>
    <w:p>
      <w:pPr>
        <w:spacing w:after="0" w:line="128" w:lineRule="exact"/>
        <w:rPr>
          <w:sz w:val="20"/>
          <w:szCs w:val="20"/>
          <w:color w:val="auto"/>
        </w:rPr>
      </w:pPr>
    </w:p>
    <w:p>
      <w:pPr>
        <w:jc w:val="both"/>
        <w:ind w:left="1500" w:firstLine="640"/>
        <w:spacing w:after="0" w:line="251" w:lineRule="auto"/>
        <w:tabs>
          <w:tab w:leader="none" w:pos="279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w:t>
      </w:r>
    </w:p>
    <w:p>
      <w:pPr>
        <w:spacing w:after="0" w:line="114" w:lineRule="exact"/>
        <w:rPr>
          <w:rFonts w:ascii="Times New Roman" w:cs="Times New Roman" w:eastAsia="Times New Roman" w:hAnsi="Times New Roman"/>
          <w:sz w:val="21"/>
          <w:szCs w:val="21"/>
          <w:color w:val="auto"/>
        </w:rPr>
      </w:pPr>
    </w:p>
    <w:p>
      <w:pPr>
        <w:jc w:val="both"/>
        <w:ind w:left="1500" w:firstLine="640"/>
        <w:spacing w:after="0" w:line="236" w:lineRule="auto"/>
        <w:tabs>
          <w:tab w:leader="none" w:pos="27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w:t>
      </w:r>
    </w:p>
    <w:p>
      <w:pPr>
        <w:spacing w:after="0" w:line="127" w:lineRule="exact"/>
        <w:rPr>
          <w:rFonts w:ascii="Times New Roman" w:cs="Times New Roman" w:eastAsia="Times New Roman" w:hAnsi="Times New Roman"/>
          <w:sz w:val="22"/>
          <w:szCs w:val="22"/>
          <w:color w:val="auto"/>
        </w:rPr>
      </w:pPr>
    </w:p>
    <w:p>
      <w:pPr>
        <w:jc w:val="both"/>
        <w:ind w:left="1500" w:firstLine="640"/>
        <w:spacing w:after="0" w:line="238" w:lineRule="auto"/>
        <w:tabs>
          <w:tab w:leader="none" w:pos="27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this Certificate of Designations and the Convertible Preferred Stock;</w:t>
      </w:r>
    </w:p>
    <w:p>
      <w:pPr>
        <w:spacing w:after="0" w:line="119" w:lineRule="exact"/>
        <w:rPr>
          <w:sz w:val="20"/>
          <w:szCs w:val="20"/>
          <w:color w:val="auto"/>
        </w:rPr>
      </w:pPr>
    </w:p>
    <w:p>
      <w:pPr>
        <w:jc w:val="both"/>
        <w:ind w:left="200"/>
        <w:spacing w:after="0" w:line="23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(x) a consolidation, combination, merger, share exchange or reclassification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satisfies the requirements of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9(a)(i)(5)</w:t>
      </w:r>
      <w:r>
        <w:rPr>
          <w:rFonts w:ascii="Times New Roman" w:cs="Times New Roman" w:eastAsia="Times New Roman" w:hAnsi="Times New Roman"/>
          <w:sz w:val="22"/>
          <w:szCs w:val="22"/>
          <w:color w:val="auto"/>
        </w:rPr>
        <w:t xml:space="preserve"> will not require any vote or consent pursuant to </w:t>
      </w:r>
      <w:r>
        <w:rPr>
          <w:rFonts w:ascii="Times New Roman" w:cs="Times New Roman" w:eastAsia="Times New Roman" w:hAnsi="Times New Roman"/>
          <w:sz w:val="22"/>
          <w:szCs w:val="22"/>
          <w:b w:val="1"/>
          <w:bCs w:val="1"/>
          <w:color w:val="auto"/>
        </w:rPr>
        <w:t>Section 9(a)(i)(1)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9(a)(i)(2)</w:t>
      </w:r>
      <w:r>
        <w:rPr>
          <w:rFonts w:ascii="Times New Roman" w:cs="Times New Roman" w:eastAsia="Times New Roman" w:hAnsi="Times New Roman"/>
          <w:sz w:val="22"/>
          <w:szCs w:val="22"/>
          <w:color w:val="auto"/>
        </w:rPr>
        <w:t xml:space="preserve">; and (y) each of the following will be deemed not to adversely affect the rights, preferences or voting powers of the Convertible Preferred Stock (or cause any of the rights, preferences or voting powers of any such preference securities to be “materially less favorable” for purposes of </w:t>
      </w:r>
      <w:r>
        <w:rPr>
          <w:rFonts w:ascii="Times New Roman" w:cs="Times New Roman" w:eastAsia="Times New Roman" w:hAnsi="Times New Roman"/>
          <w:sz w:val="22"/>
          <w:szCs w:val="22"/>
          <w:b w:val="1"/>
          <w:bCs w:val="1"/>
          <w:color w:val="auto"/>
        </w:rPr>
        <w:t>Section 9(a)(i)(5)(B)</w:t>
      </w:r>
      <w:r>
        <w:rPr>
          <w:rFonts w:ascii="Times New Roman" w:cs="Times New Roman" w:eastAsia="Times New Roman" w:hAnsi="Times New Roman"/>
          <w:sz w:val="22"/>
          <w:szCs w:val="22"/>
          <w:color w:val="auto"/>
        </w:rPr>
        <w:t xml:space="preserve">) and will not require any vote or consent pursuant to </w:t>
      </w:r>
      <w:r>
        <w:rPr>
          <w:rFonts w:ascii="Times New Roman" w:cs="Times New Roman" w:eastAsia="Times New Roman" w:hAnsi="Times New Roman"/>
          <w:sz w:val="22"/>
          <w:szCs w:val="22"/>
          <w:b w:val="1"/>
          <w:bCs w:val="1"/>
          <w:color w:val="auto"/>
        </w:rPr>
        <w:t>Section 9(a)(i)(1)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9(a)(i)(2)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9(a)(i)(5)</w:t>
      </w:r>
      <w:r>
        <w:rPr>
          <w:rFonts w:ascii="Times New Roman" w:cs="Times New Roman" w:eastAsia="Times New Roman" w:hAnsi="Times New Roman"/>
          <w:sz w:val="22"/>
          <w:szCs w:val="22"/>
          <w:color w:val="auto"/>
        </w:rPr>
        <w:t>:</w:t>
      </w:r>
    </w:p>
    <w:p>
      <w:pPr>
        <w:spacing w:after="0" w:line="126" w:lineRule="exact"/>
        <w:rPr>
          <w:sz w:val="20"/>
          <w:szCs w:val="20"/>
          <w:color w:val="auto"/>
        </w:rPr>
      </w:pPr>
    </w:p>
    <w:p>
      <w:pPr>
        <w:ind w:left="2140" w:hanging="648"/>
        <w:spacing w:after="0"/>
        <w:tabs>
          <w:tab w:leader="none" w:pos="21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in the number of the authorized but unissued shares of</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36" w:name="page137"/>
    <w:bookmarkEnd w:id="136"/>
    <w:p>
      <w:pPr>
        <w:ind w:left="840"/>
        <w:spacing w:after="0"/>
        <w:rPr>
          <w:sz w:val="20"/>
          <w:szCs w:val="20"/>
          <w:color w:val="auto"/>
        </w:rPr>
      </w:pPr>
      <w:r>
        <w:rPr>
          <w:rFonts w:ascii="Times New Roman" w:cs="Times New Roman" w:eastAsia="Times New Roman" w:hAnsi="Times New Roman"/>
          <w:sz w:val="22"/>
          <w:szCs w:val="22"/>
          <w:color w:val="auto"/>
        </w:rPr>
        <w:t>the Company’s undesignated preferred stock;</w:t>
      </w:r>
    </w:p>
    <w:p>
      <w:pPr>
        <w:spacing w:after="0" w:line="166" w:lineRule="exact"/>
        <w:rPr>
          <w:sz w:val="20"/>
          <w:szCs w:val="20"/>
          <w:color w:val="auto"/>
        </w:rPr>
      </w:pPr>
    </w:p>
    <w:p>
      <w:pPr>
        <w:jc w:val="both"/>
        <w:ind w:left="840" w:firstLine="652"/>
        <w:spacing w:after="0" w:line="244" w:lineRule="auto"/>
        <w:tabs>
          <w:tab w:leader="none" w:pos="21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and issuance, in and of itself, or increase in the authorized or issued number, of any class or series of stock that constitutes both Dividend Junior Stock and Liquidation Junior Stock; and</w:t>
      </w:r>
    </w:p>
    <w:p>
      <w:pPr>
        <w:spacing w:after="0" w:line="142" w:lineRule="exact"/>
        <w:rPr>
          <w:sz w:val="20"/>
          <w:szCs w:val="20"/>
          <w:color w:val="auto"/>
        </w:rPr>
      </w:pPr>
    </w:p>
    <w:p>
      <w:pPr>
        <w:ind w:left="840" w:firstLine="652"/>
        <w:spacing w:after="0" w:line="262" w:lineRule="auto"/>
        <w:tabs>
          <w:tab w:leader="none" w:pos="213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application of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 xml:space="preserve">, including the execution and delivery of any supplemental instruments pursuant to </w:t>
      </w:r>
      <w:r>
        <w:rPr>
          <w:rFonts w:ascii="Times New Roman" w:cs="Times New Roman" w:eastAsia="Times New Roman" w:hAnsi="Times New Roman"/>
          <w:sz w:val="22"/>
          <w:szCs w:val="22"/>
          <w:b w:val="1"/>
          <w:bCs w:val="1"/>
          <w:color w:val="auto"/>
        </w:rPr>
        <w:t>Section 10(i)(iii)</w:t>
      </w:r>
      <w:r>
        <w:rPr>
          <w:rFonts w:ascii="Times New Roman" w:cs="Times New Roman" w:eastAsia="Times New Roman" w:hAnsi="Times New Roman"/>
          <w:sz w:val="22"/>
          <w:szCs w:val="22"/>
          <w:color w:val="auto"/>
        </w:rPr>
        <w:t xml:space="preserve"> solely to give effect to such provision.</w:t>
      </w:r>
    </w:p>
    <w:p>
      <w:pPr>
        <w:spacing w:after="0" w:line="109"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165" w:lineRule="exact"/>
        <w:rPr>
          <w:rFonts w:ascii="Times New Roman" w:cs="Times New Roman" w:eastAsia="Times New Roman" w:hAnsi="Times New Roman"/>
          <w:sz w:val="22"/>
          <w:szCs w:val="22"/>
          <w:color w:val="auto"/>
        </w:rPr>
      </w:pPr>
    </w:p>
    <w:p>
      <w:pPr>
        <w:jc w:val="both"/>
        <w:ind w:left="200" w:firstLine="644"/>
        <w:spacing w:after="0" w:line="246" w:lineRule="auto"/>
        <w:tabs>
          <w:tab w:leader="none" w:pos="149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Amendments Permitted Without Consent</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b w:val="1"/>
          <w:bCs w:val="1"/>
          <w:color w:val="auto"/>
        </w:rPr>
        <w:t>Section 9(a)</w:t>
      </w:r>
      <w:r>
        <w:rPr>
          <w:rFonts w:ascii="Times New Roman" w:cs="Times New Roman" w:eastAsia="Times New Roman" w:hAnsi="Times New Roman"/>
          <w:sz w:val="22"/>
          <w:szCs w:val="22"/>
          <w:color w:val="auto"/>
        </w:rPr>
        <w:t>, the Company may amend, modify or repeal any of the terms of the Convertible Preferred Stock without the vote or consent of any Holder to:</w:t>
      </w:r>
    </w:p>
    <w:p>
      <w:pPr>
        <w:spacing w:after="0" w:line="144" w:lineRule="exact"/>
        <w:rPr>
          <w:sz w:val="20"/>
          <w:szCs w:val="20"/>
          <w:color w:val="auto"/>
        </w:rPr>
      </w:pPr>
    </w:p>
    <w:p>
      <w:pPr>
        <w:jc w:val="both"/>
        <w:ind w:left="840" w:firstLine="648"/>
        <w:spacing w:after="0" w:line="239" w:lineRule="auto"/>
        <w:rPr>
          <w:sz w:val="20"/>
          <w:szCs w:val="20"/>
          <w:color w:val="auto"/>
        </w:rPr>
      </w:pPr>
      <w:r>
        <w:rPr>
          <w:rFonts w:ascii="Times New Roman" w:cs="Times New Roman" w:eastAsia="Times New Roman" w:hAnsi="Times New Roman"/>
          <w:sz w:val="22"/>
          <w:szCs w:val="22"/>
          <w:color w:val="auto"/>
        </w:rPr>
        <w:t>(1) cure any ambiguity or correct any omission, defect or inconsistency in this Certificate of Designations or the Certificates representing the Convertible Preferred Stock, including the filing of a certificate of correction, or a corrected instrument, pursuant to Section 103(f) of the Delaware General Corporation Law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 in connection therewith; or</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5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make any other change to the Certificate of Incorporation, this Certificate</w:t>
            </w:r>
          </w:p>
        </w:tc>
      </w:tr>
      <w:tr>
        <w:trPr>
          <w:trHeight w:val="243"/>
        </w:trPr>
        <w:tc>
          <w:tcPr>
            <w:tcW w:w="4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of Designations or the Certificates representing the</w:t>
            </w:r>
          </w:p>
        </w:tc>
        <w:tc>
          <w:tcPr>
            <w:tcW w:w="3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Convertible Preferred Stock that does not,</w:t>
            </w:r>
          </w:p>
        </w:tc>
      </w:tr>
      <w:tr>
        <w:trPr>
          <w:trHeight w:val="243"/>
        </w:trPr>
        <w:tc>
          <w:tcPr>
            <w:tcW w:w="29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individually or in the aggregate</w:t>
            </w:r>
          </w:p>
        </w:tc>
        <w:tc>
          <w:tcPr>
            <w:tcW w:w="18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with all other such</w:t>
            </w:r>
          </w:p>
        </w:tc>
        <w:tc>
          <w:tcPr>
            <w:tcW w:w="3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changes, adversely affect the rights of any</w:t>
            </w:r>
          </w:p>
        </w:tc>
      </w:tr>
      <w:tr>
        <w:trPr>
          <w:trHeight w:val="243"/>
        </w:trPr>
        <w:tc>
          <w:tcPr>
            <w:tcW w:w="29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Holder (other than any Holders</w:t>
            </w:r>
          </w:p>
        </w:tc>
        <w:tc>
          <w:tcPr>
            <w:tcW w:w="5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that have consented to such change), as such, in any material</w:t>
            </w: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respect.</w:t>
            </w: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132" w:lineRule="exact"/>
        <w:rPr>
          <w:sz w:val="20"/>
          <w:szCs w:val="20"/>
          <w:color w:val="auto"/>
        </w:rPr>
      </w:pPr>
    </w:p>
    <w:p>
      <w:pPr>
        <w:jc w:val="both"/>
        <w:ind w:left="-460" w:firstLine="656"/>
        <w:spacing w:after="0" w:line="233" w:lineRule="auto"/>
        <w:tabs>
          <w:tab w:leader="none" w:pos="8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to Vote with Holders of Common Stock on an As-Converted Basis</w:t>
      </w:r>
      <w:r>
        <w:rPr>
          <w:rFonts w:ascii="Times New Roman" w:cs="Times New Roman" w:eastAsia="Times New Roman" w:hAnsi="Times New Roman"/>
          <w:sz w:val="22"/>
          <w:szCs w:val="22"/>
          <w:color w:val="auto"/>
        </w:rPr>
        <w:t>. Subject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provisions of, and without limiting the other voting rights provided in, this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and except as provided in the Certificate of Incorporation or required by the DGCL, the Holders will have the right, from and after the Antitrust Clearance Date, to vote together as a single class with the holders of the Common Stock on each matter submitted for a vote or consent by the holders of the Common Stock, and, solely for these purposes, (i) the Convertible Preferred Stock of each Holder will entitle such Holder to cast a number of votes on such matter equal to the number of votes such Holder would have been entitled to cast if such Holder were the holder of record, as of the record or other relevant date for such matter, of a number of shares of Common Stock equal to the number of shares of Common Stock that would be issuable (determined in accordance with </w:t>
      </w:r>
      <w:r>
        <w:rPr>
          <w:rFonts w:ascii="Times New Roman" w:cs="Times New Roman" w:eastAsia="Times New Roman" w:hAnsi="Times New Roman"/>
          <w:sz w:val="22"/>
          <w:szCs w:val="22"/>
          <w:b w:val="1"/>
          <w:bCs w:val="1"/>
          <w:color w:val="auto"/>
        </w:rPr>
        <w:t>Section 10(e)</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b w:val="1"/>
          <w:bCs w:val="1"/>
          <w:color w:val="auto"/>
        </w:rPr>
        <w:t>Section 10(e)(ii)</w:t>
      </w:r>
      <w:r>
        <w:rPr>
          <w:rFonts w:ascii="Times New Roman" w:cs="Times New Roman" w:eastAsia="Times New Roman" w:hAnsi="Times New Roman"/>
          <w:sz w:val="22"/>
          <w:szCs w:val="22"/>
          <w:color w:val="auto"/>
        </w:rPr>
        <w:t xml:space="preserve">, but without regard to </w:t>
      </w:r>
      <w:r>
        <w:rPr>
          <w:rFonts w:ascii="Times New Roman" w:cs="Times New Roman" w:eastAsia="Times New Roman" w:hAnsi="Times New Roman"/>
          <w:sz w:val="22"/>
          <w:szCs w:val="22"/>
          <w:b w:val="1"/>
          <w:bCs w:val="1"/>
          <w:color w:val="auto"/>
        </w:rPr>
        <w:t>Section 10(e)(iii))</w:t>
      </w:r>
      <w:r>
        <w:rPr>
          <w:rFonts w:ascii="Times New Roman" w:cs="Times New Roman" w:eastAsia="Times New Roman" w:hAnsi="Times New Roman"/>
          <w:sz w:val="22"/>
          <w:szCs w:val="22"/>
          <w:color w:val="auto"/>
        </w:rPr>
        <w:t xml:space="preserve"> upon conversion of such Convertible Preferred Stock assuming such Convertible Preferred Stock were converted pursuant to an Optional Conversion with a Conversion Date occurring on such record or other relevant date (without regard as to whether sufficient shares of Common Stock are available out of the Company’s authorized but unissued stock);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for purposes of determining the number of votes any Holder is entitled to cast under this clause (i), the Conversion Rate shall be deemed to be equal to the lesser of the actual Conversion Rate then in effect and the Minimum Price Voting Rate, and (ii) the Holders will be entitled to notice of all stockholder</w:t>
      </w:r>
    </w:p>
    <w:p>
      <w:pPr>
        <w:spacing w:after="0" w:line="394"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37" w:name="page138"/>
    <w:bookmarkEnd w:id="13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meetings or proposed actions by written consent in accordance with the Certificate of Incorporation, the Bylaws of the Company, and the DGCL as if the Holders were holders of Common Stock. For the avoidance of doubt, the voting rights set forth in this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 xml:space="preserve"> (i) will be limited or eliminated, as applicable, in accordance with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color w:val="auto"/>
        </w:rPr>
        <w:t>; and (ii) will not apply at any time before the Antitrust Clearance Date. For the avoidance of doubt,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without limiting the voting rights set forth in this </w:t>
      </w:r>
      <w:r>
        <w:rPr>
          <w:rFonts w:ascii="Times New Roman" w:cs="Times New Roman" w:eastAsia="Times New Roman" w:hAnsi="Times New Roman"/>
          <w:sz w:val="22"/>
          <w:szCs w:val="22"/>
          <w:b w:val="1"/>
          <w:bCs w:val="1"/>
          <w:color w:val="auto"/>
        </w:rPr>
        <w:t>Section 9(b)</w:t>
      </w:r>
      <w:r>
        <w:rPr>
          <w:rFonts w:ascii="Times New Roman" w:cs="Times New Roman" w:eastAsia="Times New Roman" w:hAnsi="Times New Roman"/>
          <w:sz w:val="22"/>
          <w:szCs w:val="22"/>
          <w:color w:val="auto"/>
        </w:rPr>
        <w:t xml:space="preserve">, no Holder of Convertible Preferred Stock will be treated as the holder of the shares of Common Stock issuable upon conversion of such Convertible Preferred Stock before the time set forth in </w:t>
      </w:r>
      <w:r>
        <w:rPr>
          <w:rFonts w:ascii="Times New Roman" w:cs="Times New Roman" w:eastAsia="Times New Roman" w:hAnsi="Times New Roman"/>
          <w:sz w:val="22"/>
          <w:szCs w:val="22"/>
          <w:b w:val="1"/>
          <w:bCs w:val="1"/>
          <w:color w:val="auto"/>
        </w:rPr>
        <w:t>Section 10(d)(iv)</w:t>
      </w:r>
      <w:r>
        <w:rPr>
          <w:rFonts w:ascii="Times New Roman" w:cs="Times New Roman" w:eastAsia="Times New Roman" w:hAnsi="Times New Roman"/>
          <w:sz w:val="22"/>
          <w:szCs w:val="22"/>
          <w:color w:val="auto"/>
        </w:rPr>
        <w:t xml:space="preserve"> in connection with the conversion of such Convertible Preferred Stock.</w:t>
      </w:r>
    </w:p>
    <w:p>
      <w:pPr>
        <w:spacing w:after="0" w:line="201"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Procedures for Voting and Consents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Voting Power of the Convertible Preferred Stock</w:t>
      </w:r>
      <w:r>
        <w:rPr>
          <w:rFonts w:ascii="Times New Roman" w:cs="Times New Roman" w:eastAsia="Times New Roman" w:hAnsi="Times New Roman"/>
          <w:sz w:val="21"/>
          <w:szCs w:val="21"/>
          <w:color w:val="auto"/>
        </w:rPr>
        <w:t>. Each share of Convertible Preferred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be entitled to one vote on each matter on which the Holders of the Convertible Preferred Stock are entitled to vote separately as a class and not together with the holders of any other class or series of stock.</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46" w:lineRule="auto"/>
        <w:tabs>
          <w:tab w:leader="none" w:pos="195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Written Consent in Lieu of Stockholder Meeting</w:t>
      </w:r>
      <w:r>
        <w:rPr>
          <w:rFonts w:ascii="Times New Roman" w:cs="Times New Roman" w:eastAsia="Times New Roman" w:hAnsi="Times New Roman"/>
          <w:sz w:val="22"/>
          <w:szCs w:val="22"/>
          <w:color w:val="auto"/>
        </w:rPr>
        <w:t>. A consent or affirmative vote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Holders pursuant to </w:t>
      </w:r>
      <w:r>
        <w:rPr>
          <w:rFonts w:ascii="Times New Roman" w:cs="Times New Roman" w:eastAsia="Times New Roman" w:hAnsi="Times New Roman"/>
          <w:sz w:val="22"/>
          <w:szCs w:val="22"/>
          <w:b w:val="1"/>
          <w:bCs w:val="1"/>
          <w:color w:val="auto"/>
        </w:rPr>
        <w:t>Section 9(a)</w:t>
      </w:r>
      <w:r>
        <w:rPr>
          <w:rFonts w:ascii="Times New Roman" w:cs="Times New Roman" w:eastAsia="Times New Roman" w:hAnsi="Times New Roman"/>
          <w:sz w:val="22"/>
          <w:szCs w:val="22"/>
          <w:color w:val="auto"/>
        </w:rPr>
        <w:t xml:space="preserve"> may be given or obtained either in writing without a meeting or in person or by proxy at a regular annual meeting or a special meeting of stockholders.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CONVERSION.</w:t>
      </w:r>
    </w:p>
    <w:p>
      <w:pPr>
        <w:spacing w:after="0" w:line="229" w:lineRule="exact"/>
        <w:rPr>
          <w:sz w:val="20"/>
          <w:szCs w:val="20"/>
          <w:color w:val="auto"/>
        </w:rPr>
      </w:pPr>
    </w:p>
    <w:p>
      <w:pPr>
        <w:ind w:firstLine="656"/>
        <w:spacing w:after="0" w:line="262" w:lineRule="auto"/>
        <w:tabs>
          <w:tab w:leader="none" w:pos="12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the Convertible Preferred Stock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converted only pursuant to a Mandatory Conversion or an Optional Conversion.</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at the Option of the Holders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Conversion Right; When Shares May Be Submitted for Optional Conversion</w:t>
      </w:r>
      <w:r>
        <w:rPr>
          <w:rFonts w:ascii="Times New Roman" w:cs="Times New Roman" w:eastAsia="Times New Roman" w:hAnsi="Times New Roman"/>
          <w:sz w:val="21"/>
          <w:szCs w:val="21"/>
          <w:color w:val="auto"/>
        </w:rPr>
        <w:t>. Subject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provisions of this </w:t>
      </w:r>
      <w:r>
        <w:rPr>
          <w:rFonts w:ascii="Times New Roman" w:cs="Times New Roman" w:eastAsia="Times New Roman" w:hAnsi="Times New Roman"/>
          <w:sz w:val="21"/>
          <w:szCs w:val="21"/>
          <w:b w:val="1"/>
          <w:bCs w:val="1"/>
          <w:color w:val="auto"/>
        </w:rPr>
        <w:t>Section 10</w:t>
      </w:r>
      <w:r>
        <w:rPr>
          <w:rFonts w:ascii="Times New Roman" w:cs="Times New Roman" w:eastAsia="Times New Roman" w:hAnsi="Times New Roman"/>
          <w:sz w:val="21"/>
          <w:szCs w:val="21"/>
          <w:color w:val="auto"/>
        </w:rPr>
        <w:t xml:space="preserve">, from and after the Antitrust Clearance Date, Holders will have the right to submit all, or any whole number of shares that is less than all, of their shares of Convertible Preferred Stock pursuant to an Optional Conversion at any time after the Initial Issue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anything to the contrary in this Certificate of Designations and in addition to any other requirements for Optional Conversion of such shares of Convertible Preferred Stock,</w:t>
      </w:r>
    </w:p>
    <w:p>
      <w:pPr>
        <w:spacing w:after="0" w:line="169" w:lineRule="exact"/>
        <w:rPr>
          <w:sz w:val="20"/>
          <w:szCs w:val="20"/>
          <w:color w:val="auto"/>
        </w:rPr>
      </w:pPr>
    </w:p>
    <w:p>
      <w:pPr>
        <w:jc w:val="both"/>
        <w:ind w:left="13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 if a Change of Control Repurchase Notice is validly delivered pursuant to </w:t>
      </w:r>
      <w:r>
        <w:rPr>
          <w:rFonts w:ascii="Times New Roman" w:cs="Times New Roman" w:eastAsia="Times New Roman" w:hAnsi="Times New Roman"/>
          <w:sz w:val="22"/>
          <w:szCs w:val="22"/>
          <w:b w:val="1"/>
          <w:bCs w:val="1"/>
          <w:color w:val="auto"/>
        </w:rPr>
        <w:t xml:space="preserve">Section 8(f)(i) </w:t>
      </w:r>
      <w:r>
        <w:rPr>
          <w:rFonts w:ascii="Times New Roman" w:cs="Times New Roman" w:eastAsia="Times New Roman" w:hAnsi="Times New Roman"/>
          <w:sz w:val="22"/>
          <w:szCs w:val="22"/>
          <w:color w:val="auto"/>
        </w:rPr>
        <w:t>with respect to any share of Convertible Preferred Stock, then such share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submitted for Optional Conversion, except to the extent (A) such share is not subject to such notice; (B) such notice is withdrawn in accordance with </w:t>
      </w:r>
      <w:r>
        <w:rPr>
          <w:rFonts w:ascii="Times New Roman" w:cs="Times New Roman" w:eastAsia="Times New Roman" w:hAnsi="Times New Roman"/>
          <w:sz w:val="22"/>
          <w:szCs w:val="22"/>
          <w:b w:val="1"/>
          <w:bCs w:val="1"/>
          <w:color w:val="auto"/>
        </w:rPr>
        <w:t>Section 8(f)(iii)</w:t>
      </w:r>
      <w:r>
        <w:rPr>
          <w:rFonts w:ascii="Times New Roman" w:cs="Times New Roman" w:eastAsia="Times New Roman" w:hAnsi="Times New Roman"/>
          <w:sz w:val="22"/>
          <w:szCs w:val="22"/>
          <w:color w:val="auto"/>
        </w:rPr>
        <w:t>; or (C) the Company fails to pay the Change of Control Repurchase Price for such share in accordance with this Certificate of Designations;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shares of Convertible Preferred Stock that are called for</w:t>
            </w:r>
          </w:p>
        </w:tc>
      </w:tr>
      <w:tr>
        <w:trPr>
          <w:trHeight w:val="918"/>
        </w:trPr>
        <w:tc>
          <w:tcPr>
            <w:tcW w:w="2860" w:type="dxa"/>
            <w:vAlign w:val="bottom"/>
          </w:tcPr>
          <w:p>
            <w:pPr>
              <w:spacing w:after="0"/>
              <w:rPr>
                <w:sz w:val="24"/>
                <w:szCs w:val="24"/>
                <w:color w:val="auto"/>
              </w:rPr>
            </w:pPr>
          </w:p>
        </w:tc>
        <w:tc>
          <w:tcPr>
            <w:tcW w:w="7060" w:type="dxa"/>
            <w:vAlign w:val="bottom"/>
          </w:tcPr>
          <w:p>
            <w:pPr>
              <w:jc w:val="right"/>
              <w:ind w:right="4612"/>
              <w:spacing w:after="0"/>
              <w:rPr>
                <w:sz w:val="20"/>
                <w:szCs w:val="20"/>
                <w:color w:val="auto"/>
              </w:rPr>
            </w:pPr>
            <w:r>
              <w:rPr>
                <w:rFonts w:ascii="Times New Roman" w:cs="Times New Roman" w:eastAsia="Times New Roman" w:hAnsi="Times New Roman"/>
                <w:sz w:val="22"/>
                <w:szCs w:val="22"/>
                <w:color w:val="auto"/>
              </w:rPr>
              <w:t>- 32 -</w:t>
            </w:r>
          </w:p>
        </w:tc>
      </w:tr>
      <w:tr>
        <w:trPr>
          <w:trHeight w:val="549"/>
        </w:trPr>
        <w:tc>
          <w:tcPr>
            <w:tcW w:w="28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138" w:name="page139"/>
    <w:bookmarkEnd w:id="138"/>
    <w:p>
      <w:pPr>
        <w:jc w:val="both"/>
        <w:ind w:left="840"/>
        <w:spacing w:after="0" w:line="239" w:lineRule="auto"/>
        <w:rPr>
          <w:sz w:val="20"/>
          <w:szCs w:val="20"/>
          <w:color w:val="auto"/>
        </w:rPr>
      </w:pPr>
      <w:r>
        <w:rPr>
          <w:rFonts w:ascii="Times New Roman" w:cs="Times New Roman" w:eastAsia="Times New Roman" w:hAnsi="Times New Roman"/>
          <w:sz w:val="22"/>
          <w:szCs w:val="22"/>
          <w:color w:val="auto"/>
        </w:rPr>
        <w:t>Redemption may not be submitted for Optional Conversion after the Close of Business on the Business Day immediately before the related Redemption Date (or, if the Company fails to pay the Redemption Price due on such Redemption Date in full, at any time until such time as the Company pays such Redemption Price in full); and</w:t>
      </w:r>
    </w:p>
    <w:p>
      <w:pPr>
        <w:spacing w:after="0" w:line="180" w:lineRule="exact"/>
        <w:rPr>
          <w:sz w:val="20"/>
          <w:szCs w:val="20"/>
          <w:color w:val="auto"/>
        </w:rPr>
      </w:pPr>
    </w:p>
    <w:p>
      <w:pPr>
        <w:jc w:val="both"/>
        <w:ind w:left="840" w:firstLine="648"/>
        <w:spacing w:after="0" w:line="244" w:lineRule="auto"/>
        <w:rPr>
          <w:sz w:val="20"/>
          <w:szCs w:val="20"/>
          <w:color w:val="auto"/>
        </w:rPr>
      </w:pPr>
      <w:r>
        <w:rPr>
          <w:rFonts w:ascii="Times New Roman" w:cs="Times New Roman" w:eastAsia="Times New Roman" w:hAnsi="Times New Roman"/>
          <w:sz w:val="22"/>
          <w:szCs w:val="22"/>
          <w:color w:val="auto"/>
        </w:rPr>
        <w:t>(3) shares of Convertible Preferred Stock that are subject to Mandatory Conversion may not be submitted for Optional Conversion after the Close of Business on the Business Day immediately before the related Mandatory Conversion Date.</w:t>
      </w:r>
    </w:p>
    <w:p>
      <w:pPr>
        <w:spacing w:after="0" w:line="169" w:lineRule="exact"/>
        <w:rPr>
          <w:sz w:val="20"/>
          <w:szCs w:val="20"/>
          <w:color w:val="auto"/>
        </w:rPr>
      </w:pPr>
    </w:p>
    <w:p>
      <w:pPr>
        <w:jc w:val="both"/>
        <w:ind w:left="200" w:firstLine="644"/>
        <w:spacing w:after="0" w:line="246" w:lineRule="auto"/>
        <w:tabs>
          <w:tab w:leader="none" w:pos="149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of Fractional Shares Not Permitted</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Certificate of Designations, in no event will any Holder be entitled to convert a number of shares of Convertible Preferred Stock that is not a whole number.</w:t>
      </w:r>
    </w:p>
    <w:p>
      <w:pPr>
        <w:spacing w:after="0" w:line="167"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Conversion at the Company’s Election.</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35" w:lineRule="auto"/>
        <w:tabs>
          <w:tab w:leader="none" w:pos="149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Conversion Right</w:t>
      </w:r>
      <w:r>
        <w:rPr>
          <w:rFonts w:ascii="Times New Roman" w:cs="Times New Roman" w:eastAsia="Times New Roman" w:hAnsi="Times New Roman"/>
          <w:sz w:val="22"/>
          <w:szCs w:val="22"/>
          <w:color w:val="auto"/>
        </w:rPr>
        <w:t>. Subject to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right (the “</w:t>
      </w:r>
      <w:r>
        <w:rPr>
          <w:rFonts w:ascii="Times New Roman" w:cs="Times New Roman" w:eastAsia="Times New Roman" w:hAnsi="Times New Roman"/>
          <w:sz w:val="22"/>
          <w:szCs w:val="22"/>
          <w:b w:val="1"/>
          <w:bCs w:val="1"/>
          <w:color w:val="auto"/>
        </w:rPr>
        <w:t>Mandatory Conversion Right</w:t>
      </w:r>
      <w:r>
        <w:rPr>
          <w:rFonts w:ascii="Times New Roman" w:cs="Times New Roman" w:eastAsia="Times New Roman" w:hAnsi="Times New Roman"/>
          <w:sz w:val="22"/>
          <w:szCs w:val="22"/>
          <w:color w:val="auto"/>
        </w:rPr>
        <w:t>”), exercisable at its election from and after the Antitrust Clearance Date, to designate any Business Day after the Initial Issue Date as a Conversion Date for the conversion (such a conversion, a “</w:t>
      </w:r>
      <w:r>
        <w:rPr>
          <w:rFonts w:ascii="Times New Roman" w:cs="Times New Roman" w:eastAsia="Times New Roman" w:hAnsi="Times New Roman"/>
          <w:sz w:val="22"/>
          <w:szCs w:val="22"/>
          <w:b w:val="1"/>
          <w:bCs w:val="1"/>
          <w:color w:val="auto"/>
        </w:rPr>
        <w:t>Mandatory Conversion</w:t>
      </w:r>
      <w:r>
        <w:rPr>
          <w:rFonts w:ascii="Times New Roman" w:cs="Times New Roman" w:eastAsia="Times New Roman" w:hAnsi="Times New Roman"/>
          <w:sz w:val="22"/>
          <w:szCs w:val="22"/>
          <w:color w:val="auto"/>
        </w:rPr>
        <w:t>”) of all, but not less than all, of the outstanding shares of Convertible Preferred Stock, but only if the Last Reported Sale Price per share of Common Stock exceeds the product of the Mandatory Conversion Threshold Price Percentage and the Conversion Price on each of at least twenty (20) Trading Days (whether or not consecutive) during the thirty (30) consecutive Trading Days ending on, and including, the Trading Day immediately before the Mandatory Conversion Notice Date for such Mandatory Conversion.</w:t>
      </w:r>
    </w:p>
    <w:p>
      <w:pPr>
        <w:spacing w:after="0" w:line="174" w:lineRule="exact"/>
        <w:rPr>
          <w:sz w:val="20"/>
          <w:szCs w:val="20"/>
          <w:color w:val="auto"/>
        </w:rPr>
      </w:pPr>
    </w:p>
    <w:p>
      <w:pPr>
        <w:jc w:val="both"/>
        <w:ind w:left="200" w:firstLine="644"/>
        <w:spacing w:after="0" w:line="235"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Conversion Prohibited in Certain Circumstances</w:t>
      </w:r>
      <w:r>
        <w:rPr>
          <w:rFonts w:ascii="Times New Roman" w:cs="Times New Roman" w:eastAsia="Times New Roman" w:hAnsi="Times New Roman"/>
          <w:sz w:val="22"/>
          <w:szCs w:val="22"/>
          <w:color w:val="auto"/>
        </w:rPr>
        <w:t>. The Company will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exercise its Mandatory Conversion Right, or otherwise send a Mandatory Conversion Notice, with respect to any Convertible Preferred Stock pursuant to this </w:t>
      </w:r>
      <w:r>
        <w:rPr>
          <w:rFonts w:ascii="Times New Roman" w:cs="Times New Roman" w:eastAsia="Times New Roman" w:hAnsi="Times New Roman"/>
          <w:sz w:val="22"/>
          <w:szCs w:val="22"/>
          <w:b w:val="1"/>
          <w:bCs w:val="1"/>
          <w:color w:val="auto"/>
        </w:rPr>
        <w:t>Section 10(c)</w:t>
      </w:r>
      <w:r>
        <w:rPr>
          <w:rFonts w:ascii="Times New Roman" w:cs="Times New Roman" w:eastAsia="Times New Roman" w:hAnsi="Times New Roman"/>
          <w:sz w:val="22"/>
          <w:szCs w:val="22"/>
          <w:color w:val="auto"/>
        </w:rPr>
        <w:t xml:space="preserve"> unless the Common Stock Liquidity Conditions are satisfied with respect to the Mandatory Conversion. Notwithstanding anything to the contrary in this </w:t>
      </w:r>
      <w:r>
        <w:rPr>
          <w:rFonts w:ascii="Times New Roman" w:cs="Times New Roman" w:eastAsia="Times New Roman" w:hAnsi="Times New Roman"/>
          <w:sz w:val="22"/>
          <w:szCs w:val="22"/>
          <w:b w:val="1"/>
          <w:bCs w:val="1"/>
          <w:color w:val="auto"/>
        </w:rPr>
        <w:t>Section 10(c)</w:t>
      </w:r>
      <w:r>
        <w:rPr>
          <w:rFonts w:ascii="Times New Roman" w:cs="Times New Roman" w:eastAsia="Times New Roman" w:hAnsi="Times New Roman"/>
          <w:sz w:val="22"/>
          <w:szCs w:val="22"/>
          <w:color w:val="auto"/>
        </w:rPr>
        <w:t xml:space="preserve">, the Company’s exercise of its Mandatory Conversion Right, and any related Mandatory Conversion Notice, will not apply to any share of Convertible Preferred Stock as to which a Change of Control Repurchase Notice has been duly delivered, and not withdrawn,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8(f)</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63" w:lineRule="auto"/>
        <w:tabs>
          <w:tab w:leader="none" w:pos="149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Mandatory Conversion Date</w:t>
      </w:r>
      <w:r>
        <w:rPr>
          <w:rFonts w:ascii="Times New Roman" w:cs="Times New Roman" w:eastAsia="Times New Roman" w:hAnsi="Times New Roman"/>
          <w:sz w:val="21"/>
          <w:szCs w:val="21"/>
          <w:color w:val="auto"/>
        </w:rPr>
        <w:t>. The Mandatory Conversion Date for any Mandatory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Conversion will be a Business Day of the Company’s choosing that is no more than fifteen (15), nor less than ten (10), Business Days after the Mandatory Conversion Notice Date for such Mandatory Conversion.</w:t>
      </w:r>
    </w:p>
    <w:p>
      <w:pPr>
        <w:spacing w:after="0" w:line="151" w:lineRule="exact"/>
        <w:rPr>
          <w:rFonts w:ascii="Times New Roman" w:cs="Times New Roman" w:eastAsia="Times New Roman" w:hAnsi="Times New Roman"/>
          <w:sz w:val="21"/>
          <w:szCs w:val="21"/>
          <w:color w:val="auto"/>
        </w:rPr>
      </w:pPr>
    </w:p>
    <w:p>
      <w:pPr>
        <w:jc w:val="both"/>
        <w:ind w:left="200" w:firstLine="644"/>
        <w:spacing w:after="0" w:line="246"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Conversion Notice</w:t>
      </w:r>
      <w:r>
        <w:rPr>
          <w:rFonts w:ascii="Times New Roman" w:cs="Times New Roman" w:eastAsia="Times New Roman" w:hAnsi="Times New Roman"/>
          <w:sz w:val="22"/>
          <w:szCs w:val="22"/>
          <w:color w:val="auto"/>
        </w:rPr>
        <w:t>. To exercise its Mandatory Conversion Right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shares of Convertible Preferred Stock, the Company must send to each Holder of such shares a written notice of such exercise (a “</w:t>
      </w:r>
      <w:r>
        <w:rPr>
          <w:rFonts w:ascii="Times New Roman" w:cs="Times New Roman" w:eastAsia="Times New Roman" w:hAnsi="Times New Roman"/>
          <w:sz w:val="22"/>
          <w:szCs w:val="22"/>
          <w:b w:val="1"/>
          <w:bCs w:val="1"/>
          <w:color w:val="auto"/>
        </w:rPr>
        <w:t>Mandatory Conversion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39" w:name="page140"/>
    <w:bookmarkEnd w:id="139"/>
    <w:p>
      <w:pPr>
        <w:ind w:left="200"/>
        <w:spacing w:after="0"/>
        <w:rPr>
          <w:sz w:val="20"/>
          <w:szCs w:val="20"/>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Such Mandatory Conversion Notice must state:</w:t>
      </w:r>
    </w:p>
    <w:p>
      <w:pPr>
        <w:spacing w:after="0" w:line="196"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8"/>
              </w:rPr>
              <w:t>that the Company has exercised its Mandatory Conversion Right to cause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Mandatory Conversion of the shares;</w:t>
            </w:r>
          </w:p>
        </w:tc>
      </w:tr>
      <w:tr>
        <w:trPr>
          <w:trHeight w:val="420"/>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Mandatory Conversion Date for such Mandatory Conversion and the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scheduled for the settlement of such Mandatory Conversion;</w:t>
            </w:r>
          </w:p>
        </w:tc>
      </w:tr>
      <w:tr>
        <w:trPr>
          <w:trHeight w:val="444"/>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that  shares  of  Convertible  Preferred  Stock  subject  to  Mandatory</w:t>
            </w:r>
          </w:p>
        </w:tc>
      </w:tr>
    </w:tbl>
    <w:p>
      <w:pPr>
        <w:jc w:val="both"/>
        <w:ind w:left="840"/>
        <w:spacing w:after="0" w:line="235" w:lineRule="auto"/>
        <w:rPr>
          <w:sz w:val="20"/>
          <w:szCs w:val="20"/>
          <w:color w:val="auto"/>
        </w:rPr>
      </w:pPr>
      <w:r>
        <w:rPr>
          <w:rFonts w:ascii="Times New Roman" w:cs="Times New Roman" w:eastAsia="Times New Roman" w:hAnsi="Times New Roman"/>
          <w:sz w:val="22"/>
          <w:szCs w:val="22"/>
          <w:color w:val="auto"/>
        </w:rPr>
        <w:t>Conversion may be converted earlier at the option of the Holders thereof pursuant to an Optional Conversion at any time before the Close of Business on the Business Day immediately before the Mandatory Conversion Date; and</w:t>
      </w:r>
    </w:p>
    <w:p>
      <w:pPr>
        <w:spacing w:after="0" w:line="178" w:lineRule="exact"/>
        <w:rPr>
          <w:sz w:val="20"/>
          <w:szCs w:val="20"/>
          <w:color w:val="auto"/>
        </w:rPr>
      </w:pPr>
    </w:p>
    <w:p>
      <w:pPr>
        <w:jc w:val="both"/>
        <w:ind w:left="840" w:right="20" w:firstLine="648"/>
        <w:spacing w:after="0" w:line="258" w:lineRule="auto"/>
        <w:rPr>
          <w:sz w:val="20"/>
          <w:szCs w:val="20"/>
          <w:color w:val="auto"/>
        </w:rPr>
      </w:pPr>
      <w:r>
        <w:rPr>
          <w:rFonts w:ascii="Times New Roman" w:cs="Times New Roman" w:eastAsia="Times New Roman" w:hAnsi="Times New Roman"/>
          <w:sz w:val="22"/>
          <w:szCs w:val="22"/>
          <w:color w:val="auto"/>
        </w:rPr>
        <w:t>(4) the Conversion Price and the Conversion Rate in effect on the Mandatory Conversion Notice Date for such Mandatory Conversion.</w:t>
      </w:r>
    </w:p>
    <w:p>
      <w:pPr>
        <w:spacing w:after="0" w:line="154" w:lineRule="exact"/>
        <w:rPr>
          <w:sz w:val="20"/>
          <w:szCs w:val="20"/>
          <w:color w:val="auto"/>
        </w:rPr>
      </w:pPr>
    </w:p>
    <w:p>
      <w:pPr>
        <w:ind w:left="840" w:hanging="644"/>
        <w:spacing w:after="0"/>
        <w:tabs>
          <w:tab w:leader="none" w:pos="8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Procedures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firstLine="644"/>
        <w:spacing w:after="0" w:line="236" w:lineRule="auto"/>
        <w:tabs>
          <w:tab w:leader="none" w:pos="149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Conversion</w:t>
      </w:r>
      <w:r>
        <w:rPr>
          <w:rFonts w:ascii="Times New Roman" w:cs="Times New Roman" w:eastAsia="Times New Roman" w:hAnsi="Times New Roman"/>
          <w:sz w:val="22"/>
          <w:szCs w:val="22"/>
          <w:color w:val="auto"/>
        </w:rPr>
        <w:t>. If the Company duly exercises, in accordance with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10(c)</w:t>
      </w:r>
      <w:r>
        <w:rPr>
          <w:rFonts w:ascii="Times New Roman" w:cs="Times New Roman" w:eastAsia="Times New Roman" w:hAnsi="Times New Roman"/>
          <w:sz w:val="22"/>
          <w:szCs w:val="22"/>
          <w:color w:val="auto"/>
        </w:rPr>
        <w:t>, its Mandatory Conversion Right with respect to any share of Convertible Preferred Stock, then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Mandatory Conversion of such share will occur automatically and without the need for any action on the part of the Holder(s) thereof; and (2) the shares of Common Stock due upon such Mandatory Conversion will be registered in the name of, and, if applicable, the cash due upon such Mandatory Conversion will be delivered to, the Holder(s) of such share of Convertible Preferred Stock as of the Close of Business on the related Mandatory Conversion Date.</w:t>
      </w:r>
    </w:p>
    <w:p>
      <w:pPr>
        <w:spacing w:after="0" w:line="175"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Requirements for Holders to Exercise Optional Conversion Right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xml:space="preserve">. To convert any share of Convertible Preferred Stock pursuant to an Optional Conversion, the Holder of such share must (w) complete, manually sign and deliver to the Company a Conversion Notice; (x) deliver any Physical Certificate representing such Convertible Preferred Stock to the Company (at which time such Optional Conversion will become irrevocable); (y) furnish any endorsements and transfer documents that the Company may reasonably require; and (z) if applicable, pay any documentary or other taxes as pursuant to </w:t>
      </w:r>
      <w:r>
        <w:rPr>
          <w:rFonts w:ascii="Times New Roman" w:cs="Times New Roman" w:eastAsia="Times New Roman" w:hAnsi="Times New Roman"/>
          <w:sz w:val="22"/>
          <w:szCs w:val="22"/>
          <w:b w:val="1"/>
          <w:bCs w:val="1"/>
          <w:color w:val="auto"/>
        </w:rPr>
        <w:t>Section 11(d)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500"/>
        <w:spacing w:after="0"/>
        <w:tabs>
          <w:tab w:leader="none" w:pos="3020" w:val="left"/>
        </w:tabs>
        <w:rPr>
          <w:sz w:val="20"/>
          <w:szCs w:val="20"/>
          <w:color w:val="auto"/>
        </w:rPr>
      </w:pP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1"/>
          <w:szCs w:val="21"/>
          <w:i w:val="1"/>
          <w:iCs w:val="1"/>
          <w:color w:val="auto"/>
        </w:rPr>
        <w:t>Optional Conversion Permitted only During Business Hours</w:t>
      </w:r>
      <w:r>
        <w:rPr>
          <w:rFonts w:ascii="Times New Roman" w:cs="Times New Roman" w:eastAsia="Times New Roman" w:hAnsi="Times New Roman"/>
          <w:sz w:val="21"/>
          <w:szCs w:val="21"/>
          <w:color w:val="auto"/>
        </w:rPr>
        <w:t>. Convertible</w:t>
      </w:r>
    </w:p>
    <w:p>
      <w:pPr>
        <w:spacing w:after="0" w:line="30" w:lineRule="exact"/>
        <w:rPr>
          <w:sz w:val="20"/>
          <w:szCs w:val="20"/>
          <w:color w:val="auto"/>
        </w:rPr>
      </w:pPr>
    </w:p>
    <w:p>
      <w:pPr>
        <w:jc w:val="both"/>
        <w:ind w:left="840"/>
        <w:spacing w:after="0" w:line="237" w:lineRule="auto"/>
        <w:rPr>
          <w:sz w:val="20"/>
          <w:szCs w:val="20"/>
          <w:color w:val="auto"/>
        </w:rPr>
      </w:pPr>
      <w:r>
        <w:rPr>
          <w:rFonts w:ascii="Times New Roman" w:cs="Times New Roman" w:eastAsia="Times New Roman" w:hAnsi="Times New Roman"/>
          <w:sz w:val="22"/>
          <w:szCs w:val="22"/>
          <w:color w:val="auto"/>
        </w:rPr>
        <w:t>Preferred Stock may be surrendered for Optional Conversion only after the Open of Business and before the Close of Business on a day that is a Business Day.</w:t>
      </w:r>
    </w:p>
    <w:p>
      <w:pPr>
        <w:spacing w:after="0" w:line="174" w:lineRule="exact"/>
        <w:rPr>
          <w:sz w:val="20"/>
          <w:szCs w:val="20"/>
          <w:color w:val="auto"/>
        </w:rPr>
      </w:pPr>
    </w:p>
    <w:p>
      <w:pPr>
        <w:ind w:left="200" w:firstLine="644"/>
        <w:spacing w:after="0" w:line="262" w:lineRule="auto"/>
        <w:tabs>
          <w:tab w:leader="none" w:pos="14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Adjustments for Accumulated Regular Dividends</w:t>
      </w:r>
      <w:r>
        <w:rPr>
          <w:rFonts w:ascii="Times New Roman" w:cs="Times New Roman" w:eastAsia="Times New Roman" w:hAnsi="Times New Roman"/>
          <w:sz w:val="22"/>
          <w:szCs w:val="22"/>
          <w:color w:val="auto"/>
        </w:rPr>
        <w:t>. Without limiting any adjustments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Liquidation Preference required by this Certificate of Designations, the</w:t>
      </w:r>
    </w:p>
    <w:p>
      <w:pPr>
        <w:spacing w:after="0" w:line="200" w:lineRule="exact"/>
        <w:rPr>
          <w:rFonts w:ascii="Times New Roman" w:cs="Times New Roman" w:eastAsia="Times New Roman" w:hAnsi="Times New Roman"/>
          <w:sz w:val="22"/>
          <w:szCs w:val="22"/>
          <w:color w:val="auto"/>
        </w:rPr>
      </w:pPr>
    </w:p>
    <w:p>
      <w:pPr>
        <w:spacing w:after="0" w:line="291"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40" w:name="page141"/>
    <w:bookmarkEnd w:id="140"/>
    <w:p>
      <w:pPr>
        <w:ind w:left="200"/>
        <w:spacing w:after="0" w:line="258" w:lineRule="auto"/>
        <w:rPr>
          <w:sz w:val="20"/>
          <w:szCs w:val="20"/>
          <w:color w:val="auto"/>
        </w:rPr>
      </w:pPr>
      <w:r>
        <w:rPr>
          <w:rFonts w:ascii="Times New Roman" w:cs="Times New Roman" w:eastAsia="Times New Roman" w:hAnsi="Times New Roman"/>
          <w:sz w:val="22"/>
          <w:szCs w:val="22"/>
          <w:color w:val="auto"/>
        </w:rPr>
        <w:t>Conversion Rate will not be adjusted to account for any accumulated and unpaid Regular Dividends on any Convertible Preferred Stock being converted.</w:t>
      </w:r>
    </w:p>
    <w:p>
      <w:pPr>
        <w:spacing w:after="0" w:line="154" w:lineRule="exact"/>
        <w:rPr>
          <w:sz w:val="20"/>
          <w:szCs w:val="20"/>
          <w:color w:val="auto"/>
        </w:rPr>
      </w:pPr>
    </w:p>
    <w:p>
      <w:pPr>
        <w:jc w:val="both"/>
        <w:ind w:left="200" w:firstLine="644"/>
        <w:spacing w:after="0" w:line="241" w:lineRule="auto"/>
        <w:tabs>
          <w:tab w:leader="none" w:pos="149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When Holders Become Stockholders of Record of the Shares of Common Stock Issuable Upon Conversion</w:t>
      </w:r>
      <w:r>
        <w:rPr>
          <w:rFonts w:ascii="Times New Roman" w:cs="Times New Roman" w:eastAsia="Times New Roman" w:hAnsi="Times New Roman"/>
          <w:sz w:val="22"/>
          <w:szCs w:val="22"/>
          <w:color w:val="auto"/>
        </w:rPr>
        <w:t>. The Person in whose name any share of Common Stock is issuable upon conversion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Convertible Preferred Stock will be deemed to become the holder of record of such share as of the Close of Business on the Conversion Date for such conversion.</w:t>
      </w:r>
    </w:p>
    <w:p>
      <w:pPr>
        <w:spacing w:after="0" w:line="171"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upon Conversion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firstLine="644"/>
        <w:spacing w:after="0" w:line="234" w:lineRule="auto"/>
        <w:tabs>
          <w:tab w:leader="none" w:pos="14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10(e)(ii)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14(b)</w:t>
      </w:r>
      <w:r>
        <w:rPr>
          <w:rFonts w:ascii="Times New Roman" w:cs="Times New Roman" w:eastAsia="Times New Roman" w:hAnsi="Times New Roman"/>
          <w:sz w:val="22"/>
          <w:szCs w:val="22"/>
          <w:color w:val="auto"/>
        </w:rPr>
        <w:t>, the consideration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due upon settlement of the conversion of each share of Convertible Preferred Stock will consist of a number of shares of Common Stock equal to the product of (A) the Conversion Rate in effect immediately before the Close of Business on the Conversion Date for such conversion; and (B) the quotient obtained by dividing (I) the sum of (x) the Liquidation Preference of such share of Convertible Preferred Stock immediately before the Close of Business on such Conversion Date and (y) an amount equal to accumulated and unpaid Regular Dividends on such share of Convertible Preferred Stock to, but excluding, such Conversion Date (but only to the extent such accumulated and unpaid Regular Dividends are not included in the Liquidation Preference referred to in the preceding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by (II) the Initial Liquidation Preference per share of Convertible Preferred Stock.</w:t>
      </w:r>
    </w:p>
    <w:p>
      <w:pPr>
        <w:spacing w:after="0" w:line="179" w:lineRule="exact"/>
        <w:rPr>
          <w:rFonts w:ascii="Times New Roman" w:cs="Times New Roman" w:eastAsia="Times New Roman" w:hAnsi="Times New Roman"/>
          <w:sz w:val="22"/>
          <w:szCs w:val="22"/>
          <w:color w:val="auto"/>
        </w:rPr>
      </w:pPr>
    </w:p>
    <w:p>
      <w:pPr>
        <w:jc w:val="both"/>
        <w:ind w:left="200" w:firstLine="644"/>
        <w:spacing w:after="0" w:line="238" w:lineRule="auto"/>
        <w:tabs>
          <w:tab w:leader="none" w:pos="14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Cash in Lieu of any Fractional Share of Common Stock</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14(b)</w:t>
      </w:r>
      <w:r>
        <w:rPr>
          <w:rFonts w:ascii="Times New Roman" w:cs="Times New Roman" w:eastAsia="Times New Roman" w:hAnsi="Times New Roman"/>
          <w:sz w:val="22"/>
          <w:szCs w:val="22"/>
          <w:color w:val="auto"/>
        </w:rPr>
        <w:t>, in lieu of delivering any fractional share of Common Stock otherwise due upon conversion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Convertible Preferred Stock, the Company will, to the extent it is legally able to do so, pay cash based on the Last Reported Sale Price per share of Common Stock on the Conversion Date for such conversion (or, if such Conversion Date is not a Trading Day, the immediately preceding Trading Day).</w:t>
      </w:r>
    </w:p>
    <w:p>
      <w:pPr>
        <w:spacing w:after="0" w:line="176"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33" w:lineRule="auto"/>
        <w:tabs>
          <w:tab w:leader="none" w:pos="149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Conversion Consideration</w:t>
      </w:r>
      <w:r>
        <w:rPr>
          <w:rFonts w:ascii="Times New Roman" w:cs="Times New Roman" w:eastAsia="Times New Roman" w:hAnsi="Times New Roman"/>
          <w:sz w:val="22"/>
          <w:szCs w:val="22"/>
          <w:color w:val="auto"/>
        </w:rPr>
        <w:t>. The Company will pay or deliver, as applicable,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Consideration due upon conversion of any Convertible Preferred Stock on or before the number of Trading Days comprising the Standard Settlement Period after the Conversion Date for such conversion (the “</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The Company understands that a delay in the delivery of the shares of Common Stock after the Share Delivery Date could result in economic loss to the Holder. As compensation to the Holder for such loss, if (i) the Company fails to deliver the number of shares of Common Stock to which the Holder is entitled upon the Holder’s conversion of the Convertible Preferred Stock within the time period specified above and (ii) the Holder has not exercised its Buy-In rights as provided below with respect to such shares, the Company agrees to pay (as liquidated damages and not as a penalty) to the Holder for late issuance of the shares of Common Stock upon exercise of the Convertible Preferred Stock the proportionate amount of $100 per Trading Day (increasing to $200 per Trading Day after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Trading Day) after the Share Delivery Date for each $10,000 of shares</w:t>
      </w: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1" w:name="page142"/>
    <w:bookmarkEnd w:id="141"/>
    <w:p>
      <w:pPr>
        <w:jc w:val="both"/>
        <w:ind w:left="200"/>
        <w:spacing w:after="0" w:line="236" w:lineRule="auto"/>
        <w:rPr>
          <w:sz w:val="20"/>
          <w:szCs w:val="20"/>
          <w:color w:val="auto"/>
        </w:rPr>
      </w:pPr>
      <w:r>
        <w:rPr>
          <w:rFonts w:ascii="Times New Roman" w:cs="Times New Roman" w:eastAsia="Times New Roman" w:hAnsi="Times New Roman"/>
          <w:sz w:val="22"/>
          <w:szCs w:val="22"/>
          <w:color w:val="auto"/>
        </w:rPr>
        <w:t xml:space="preserve">of Common Stock for which the Convertible Preferred Stock is converted which are not timely delivered. For purposes of clarification, if the Company is obligated to make payments of liquidated damages pursuant to this </w:t>
      </w:r>
      <w:r>
        <w:rPr>
          <w:rFonts w:ascii="Times New Roman" w:cs="Times New Roman" w:eastAsia="Times New Roman" w:hAnsi="Times New Roman"/>
          <w:sz w:val="22"/>
          <w:szCs w:val="22"/>
          <w:b w:val="1"/>
          <w:bCs w:val="1"/>
          <w:color w:val="auto"/>
        </w:rPr>
        <w:t>Section 10(e)(iv)</w:t>
      </w:r>
      <w:r>
        <w:rPr>
          <w:rFonts w:ascii="Times New Roman" w:cs="Times New Roman" w:eastAsia="Times New Roman" w:hAnsi="Times New Roman"/>
          <w:sz w:val="22"/>
          <w:szCs w:val="22"/>
          <w:color w:val="auto"/>
        </w:rPr>
        <w:t xml:space="preserve"> for late issuance of shares of Common Stock, then it shall not also be obligated to make Buy-In payments as described below with respect to those same shares of Common Stock. The Company shall pay any payments incurred under this </w:t>
      </w:r>
      <w:r>
        <w:rPr>
          <w:rFonts w:ascii="Times New Roman" w:cs="Times New Roman" w:eastAsia="Times New Roman" w:hAnsi="Times New Roman"/>
          <w:sz w:val="22"/>
          <w:szCs w:val="22"/>
          <w:b w:val="1"/>
          <w:bCs w:val="1"/>
          <w:color w:val="auto"/>
        </w:rPr>
        <w:t>Section 10(e)(iv)</w:t>
      </w:r>
      <w:r>
        <w:rPr>
          <w:rFonts w:ascii="Times New Roman" w:cs="Times New Roman" w:eastAsia="Times New Roman" w:hAnsi="Times New Roman"/>
          <w:sz w:val="22"/>
          <w:szCs w:val="22"/>
          <w:color w:val="auto"/>
        </w:rPr>
        <w:t xml:space="preserve"> in immediately available funds upon demand.</w:t>
      </w:r>
    </w:p>
    <w:p>
      <w:pPr>
        <w:spacing w:after="0" w:line="177" w:lineRule="exact"/>
        <w:rPr>
          <w:sz w:val="20"/>
          <w:szCs w:val="20"/>
          <w:color w:val="auto"/>
        </w:rPr>
      </w:pPr>
    </w:p>
    <w:p>
      <w:pPr>
        <w:jc w:val="both"/>
        <w:ind w:left="200" w:firstLine="644"/>
        <w:spacing w:after="0" w:line="246" w:lineRule="auto"/>
        <w:tabs>
          <w:tab w:leader="none" w:pos="149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Buy-In</w:t>
      </w:r>
      <w:r>
        <w:rPr>
          <w:rFonts w:ascii="Times New Roman" w:cs="Times New Roman" w:eastAsia="Times New Roman" w:hAnsi="Times New Roman"/>
          <w:sz w:val="21"/>
          <w:szCs w:val="21"/>
          <w:color w:val="auto"/>
        </w:rPr>
        <w:t>. In addition to any other rights available to the Holder, if the Company fails for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 to effect delivery of the shares of Common Stock to the holder by the Share Delivery Date and if after such date the Holder is required by its broker to purchase (in an open market transaction or otherwise) or the Holder or its brokerage firm otherwise purchases, shares of Common Stock to deliver in satisfaction of a sale by the Holder of the Common Stock which the holder anticipated receiving upon such exercise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Company shall (A) pay in cash to the Holder the amount, if any, by which</w:t>
      </w:r>
    </w:p>
    <w:p>
      <w:pPr>
        <w:jc w:val="both"/>
        <w:ind w:left="200" w:hanging="4"/>
        <w:spacing w:after="0" w:line="242" w:lineRule="auto"/>
        <w:tabs>
          <w:tab w:leader="none" w:pos="51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Holder’s total purchase price (including brokerage commissions, if any) for the shares of Common Stock so purchased, minus any amounts paid to the Holder by the Company as liquidated damages as described in </w:t>
      </w:r>
      <w:r>
        <w:rPr>
          <w:rFonts w:ascii="Times New Roman" w:cs="Times New Roman" w:eastAsia="Times New Roman" w:hAnsi="Times New Roman"/>
          <w:sz w:val="21"/>
          <w:szCs w:val="21"/>
          <w:b w:val="1"/>
          <w:bCs w:val="1"/>
          <w:color w:val="auto"/>
        </w:rPr>
        <w:t>Section 10(e)(iv)</w:t>
      </w:r>
      <w:r>
        <w:rPr>
          <w:rFonts w:ascii="Times New Roman" w:cs="Times New Roman" w:eastAsia="Times New Roman" w:hAnsi="Times New Roman"/>
          <w:sz w:val="21"/>
          <w:szCs w:val="21"/>
          <w:color w:val="auto"/>
        </w:rPr>
        <w:t xml:space="preserve"> above, exceeds (y) the amount obtained by multiplying (1) the number of shares of Common Stock that the Company was required to deliver to the Holder in connection with the conversion at issue times (2) the price at which the sell order giving rise to such purchase obligation was executed, and (B) at the option of the Holder, either reinstate the portion of the Convertible Preferred Stock and equivalent number of shares of Common Stock for which such conversion was not honored (in which case such conversion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conversion of shares of Common Stock with an aggregate sale price giving rise to such purchase obligation of $10,000, under clause (A) of the immediately preceding sentence the Company shall be required to pay the Holder $1,000, assuming no liquidated damages.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Convertible Preferred Stock as required pursuant to the terms hereof.</w:t>
      </w:r>
    </w:p>
    <w:p>
      <w:pPr>
        <w:spacing w:after="0" w:line="179" w:lineRule="exact"/>
        <w:rPr>
          <w:sz w:val="20"/>
          <w:szCs w:val="20"/>
          <w:color w:val="auto"/>
        </w:rPr>
      </w:pPr>
    </w:p>
    <w:p>
      <w:pPr>
        <w:ind w:left="840" w:hanging="644"/>
        <w:spacing w:after="0"/>
        <w:tabs>
          <w:tab w:leader="none" w:pos="8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Rate Adjustments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00" w:firstLine="644"/>
        <w:spacing w:after="0" w:line="262" w:lineRule="auto"/>
        <w:tabs>
          <w:tab w:leader="none" w:pos="149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Events Requiring an Adjustment to the Conversion Rate</w:t>
      </w:r>
      <w:r>
        <w:rPr>
          <w:rFonts w:ascii="Times New Roman" w:cs="Times New Roman" w:eastAsia="Times New Roman" w:hAnsi="Times New Roman"/>
          <w:sz w:val="22"/>
          <w:szCs w:val="22"/>
          <w:color w:val="auto"/>
        </w:rPr>
        <w:t>. The Conversion Rate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from time to time as follows:</w:t>
      </w:r>
    </w:p>
    <w:p>
      <w:pPr>
        <w:spacing w:after="0" w:line="150" w:lineRule="exact"/>
        <w:rPr>
          <w:sz w:val="20"/>
          <w:szCs w:val="20"/>
          <w:color w:val="auto"/>
        </w:rPr>
      </w:pPr>
    </w:p>
    <w:p>
      <w:pPr>
        <w:ind w:left="1500"/>
        <w:spacing w:after="0"/>
        <w:tabs>
          <w:tab w:leader="none" w:pos="3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i w:val="1"/>
          <w:iCs w:val="1"/>
          <w:color w:val="auto"/>
        </w:rPr>
        <w:t>Stock Dividends, Splits and Combinations</w:t>
      </w:r>
      <w:r>
        <w:rPr>
          <w:rFonts w:ascii="Times New Roman" w:cs="Times New Roman" w:eastAsia="Times New Roman" w:hAnsi="Times New Roman"/>
          <w:sz w:val="22"/>
          <w:szCs w:val="22"/>
          <w:color w:val="auto"/>
        </w:rPr>
        <w:t>. If the Company issues solely</w:t>
      </w:r>
    </w:p>
    <w:p>
      <w:pPr>
        <w:spacing w:after="0" w:line="18" w:lineRule="exact"/>
        <w:rPr>
          <w:sz w:val="20"/>
          <w:szCs w:val="20"/>
          <w:color w:val="auto"/>
        </w:rPr>
      </w:pPr>
    </w:p>
    <w:p>
      <w:pPr>
        <w:ind w:left="840"/>
        <w:spacing w:after="0" w:line="237" w:lineRule="auto"/>
        <w:rPr>
          <w:sz w:val="20"/>
          <w:szCs w:val="20"/>
          <w:color w:val="auto"/>
        </w:rPr>
      </w:pPr>
      <w:r>
        <w:rPr>
          <w:rFonts w:ascii="Times New Roman" w:cs="Times New Roman" w:eastAsia="Times New Roman" w:hAnsi="Times New Roman"/>
          <w:sz w:val="22"/>
          <w:szCs w:val="22"/>
          <w:color w:val="auto"/>
        </w:rPr>
        <w:t>shares of Common Stock as a dividend or distribution on all or substantially all shares of the Common Stock, or if the Company effects a</w:t>
      </w: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2" w:name="page143"/>
    <w:bookmarkEnd w:id="142"/>
    <w:p>
      <w:pPr>
        <w:jc w:val="both"/>
        <w:ind w:left="840"/>
        <w:spacing w:after="0" w:line="244" w:lineRule="auto"/>
        <w:rPr>
          <w:sz w:val="20"/>
          <w:szCs w:val="20"/>
          <w:color w:val="auto"/>
        </w:rPr>
      </w:pPr>
      <w:r>
        <w:rPr>
          <w:rFonts w:ascii="Times New Roman" w:cs="Times New Roman" w:eastAsia="Times New Roman" w:hAnsi="Times New Roman"/>
          <w:sz w:val="22"/>
          <w:szCs w:val="22"/>
          <w:color w:val="auto"/>
        </w:rPr>
        <w:t xml:space="preserve">stock split or a stock combination of the Common Stock (in each case excluding an issuance solely pursuant to a Common Stock Change Event, as to which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127635</wp:posOffset>
            </wp:positionV>
            <wp:extent cx="908685" cy="3511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9086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where:</w:t>
      </w:r>
    </w:p>
    <w:p>
      <w:pPr>
        <w:spacing w:after="0" w:line="82" w:lineRule="exact"/>
        <w:rPr>
          <w:sz w:val="20"/>
          <w:szCs w:val="20"/>
          <w:color w:val="auto"/>
        </w:rPr>
      </w:pPr>
    </w:p>
    <w:tbl>
      <w:tblPr>
        <w:tblLayout w:type="fixed"/>
        <w:tblInd w:w="840" w:type="dxa"/>
        <w:tblCellMar>
          <w:top w:w="0" w:type="dxa"/>
          <w:left w:w="0" w:type="dxa"/>
          <w:bottom w:w="0" w:type="dxa"/>
          <w:right w:w="0" w:type="dxa"/>
        </w:tblCellMar>
      </w:tblPr>
      <w:tr>
        <w:trPr>
          <w:trHeight w:val="40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32"/>
                <w:szCs w:val="32"/>
                <w:i w:val="1"/>
                <w:iCs w:val="1"/>
                <w:color w:val="auto"/>
                <w:vertAlign w:val="subscript"/>
              </w:rPr>
              <w:t>0</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Conversion Rate in effect immediately before the Close of Business on the</w:t>
            </w:r>
          </w:p>
        </w:tc>
      </w:tr>
      <w:tr>
        <w:trPr>
          <w:trHeight w:val="243"/>
        </w:trPr>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Record Date for such dividend or distribution, or immediately before the Close of</w:t>
            </w:r>
          </w:p>
        </w:tc>
      </w:tr>
      <w:tr>
        <w:trPr>
          <w:trHeight w:val="243"/>
        </w:trPr>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Business on the effective date of such stock split or stock combination, as</w:t>
            </w:r>
          </w:p>
        </w:tc>
      </w:tr>
      <w:tr>
        <w:trPr>
          <w:trHeight w:val="282"/>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applicable;</w:t>
            </w:r>
          </w:p>
        </w:tc>
      </w:tr>
      <w:tr>
        <w:trPr>
          <w:trHeight w:val="48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32"/>
                <w:szCs w:val="32"/>
                <w:i w:val="1"/>
                <w:iCs w:val="1"/>
                <w:color w:val="auto"/>
                <w:vertAlign w:val="subscript"/>
              </w:rPr>
              <w:t>1</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such</w:t>
            </w:r>
          </w:p>
        </w:tc>
      </w:tr>
      <w:tr>
        <w:trPr>
          <w:trHeight w:val="282"/>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Record Date or effective date, as applicable;</w:t>
            </w:r>
          </w:p>
        </w:tc>
      </w:tr>
      <w:tr>
        <w:trPr>
          <w:trHeight w:val="48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32"/>
                <w:szCs w:val="32"/>
                <w:i w:val="1"/>
                <w:iCs w:val="1"/>
                <w:color w:val="auto"/>
                <w:vertAlign w:val="subscript"/>
              </w:rPr>
              <w:t>0</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before the Close</w:t>
            </w:r>
          </w:p>
        </w:tc>
      </w:tr>
      <w:tr>
        <w:trPr>
          <w:trHeight w:val="243"/>
        </w:trPr>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of Business on such Record Date or effective date, as applicable, without giving</w:t>
            </w:r>
          </w:p>
        </w:tc>
      </w:tr>
      <w:tr>
        <w:trPr>
          <w:trHeight w:val="282"/>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effect to such dividend, distribution, stock split or stock combination; and</w:t>
            </w:r>
          </w:p>
        </w:tc>
      </w:tr>
      <w:tr>
        <w:trPr>
          <w:trHeight w:val="48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32"/>
                <w:szCs w:val="32"/>
                <w:i w:val="1"/>
                <w:iCs w:val="1"/>
                <w:color w:val="auto"/>
                <w:vertAlign w:val="subscript"/>
              </w:rPr>
              <w:t>1</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the number of shares of Common Stock outstanding immediately after giving effect</w:t>
            </w:r>
          </w:p>
        </w:tc>
      </w:tr>
      <w:tr>
        <w:trPr>
          <w:trHeight w:val="282"/>
        </w:trPr>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 such dividend, distribution, stock split or stock combination.</w:t>
            </w:r>
          </w:p>
        </w:tc>
      </w:tr>
    </w:tbl>
    <w:p>
      <w:pPr>
        <w:spacing w:after="0" w:line="200" w:lineRule="exact"/>
        <w:rPr>
          <w:sz w:val="20"/>
          <w:szCs w:val="20"/>
          <w:color w:val="auto"/>
        </w:rPr>
      </w:pPr>
    </w:p>
    <w:p>
      <w:pPr>
        <w:jc w:val="both"/>
        <w:ind w:left="840"/>
        <w:spacing w:after="0" w:line="236" w:lineRule="auto"/>
        <w:rPr>
          <w:sz w:val="20"/>
          <w:szCs w:val="20"/>
          <w:color w:val="auto"/>
        </w:rPr>
      </w:pPr>
      <w:r>
        <w:rPr>
          <w:rFonts w:ascii="Times New Roman" w:cs="Times New Roman" w:eastAsia="Times New Roman" w:hAnsi="Times New Roman"/>
          <w:sz w:val="22"/>
          <w:szCs w:val="22"/>
          <w:color w:val="auto"/>
        </w:rPr>
        <w:t xml:space="preserve">If any dividend, distribution, stock split or stock combination of the type described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10(f)(i)(1) </w:t>
      </w:r>
      <w:r>
        <w:rPr>
          <w:rFonts w:ascii="Times New Roman" w:cs="Times New Roman" w:eastAsia="Times New Roman" w:hAnsi="Times New Roman"/>
          <w:sz w:val="22"/>
          <w:szCs w:val="22"/>
          <w:color w:val="auto"/>
        </w:rPr>
        <w:t>is declared or announced, but not so paid or made, then the Conversion Rate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readjusted, effective as of the date the Board of Directors, or any Officer acting pursuant to authority conferred by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203" w:lineRule="exact"/>
        <w:rPr>
          <w:sz w:val="20"/>
          <w:szCs w:val="20"/>
          <w:color w:val="auto"/>
        </w:rPr>
      </w:pPr>
    </w:p>
    <w:p>
      <w:pPr>
        <w:jc w:val="both"/>
        <w:ind w:left="8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i w:val="1"/>
          <w:iCs w:val="1"/>
          <w:color w:val="auto"/>
        </w:rPr>
        <w:t>Degressive Issuances</w:t>
      </w:r>
      <w:r>
        <w:rPr>
          <w:rFonts w:ascii="Times New Roman" w:cs="Times New Roman" w:eastAsia="Times New Roman" w:hAnsi="Times New Roman"/>
          <w:sz w:val="22"/>
          <w:szCs w:val="22"/>
          <w:color w:val="auto"/>
        </w:rPr>
        <w:t xml:space="preserve">. If, at any time during the period from, and including, the Initial Issue Date to, and including, the Degressive Issuance Sunset Date, the Company or any of its Subsidiaries issues or otherwise sells any shares of Common Stock, or any Equity-Linked Securities, in each case at an Effective Price per share of Common Stock that is less than the Conversion Price in effect (before giving effect to the adjustment required by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10(f)(i)(2)</w:t>
      </w:r>
      <w:r>
        <w:rPr>
          <w:rFonts w:ascii="Times New Roman" w:cs="Times New Roman" w:eastAsia="Times New Roman" w:hAnsi="Times New Roman"/>
          <w:sz w:val="22"/>
          <w:szCs w:val="22"/>
          <w:color w:val="auto"/>
        </w:rPr>
        <w:t>) as of the date of the issuance or sale of such shares or Equity-Linked Securities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issuance or sale, a “</w:t>
      </w:r>
      <w:r>
        <w:rPr>
          <w:rFonts w:ascii="Times New Roman" w:cs="Times New Roman" w:eastAsia="Times New Roman" w:hAnsi="Times New Roman"/>
          <w:sz w:val="22"/>
          <w:szCs w:val="22"/>
          <w:b w:val="1"/>
          <w:bCs w:val="1"/>
          <w:color w:val="auto"/>
        </w:rPr>
        <w:t>Degressive Issuance</w:t>
      </w:r>
      <w:r>
        <w:rPr>
          <w:rFonts w:ascii="Times New Roman" w:cs="Times New Roman" w:eastAsia="Times New Roman" w:hAnsi="Times New Roman"/>
          <w:sz w:val="22"/>
          <w:szCs w:val="22"/>
          <w:color w:val="auto"/>
        </w:rPr>
        <w:t>”), then, effective as of the Close of Business on such date, the Conversion Rate will be increased to an amount equal to (x) the Initial Liquidation Preference per share of Convertible</w:t>
      </w:r>
    </w:p>
    <w:p>
      <w:pPr>
        <w:spacing w:after="0" w:line="3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3" w:name="page144"/>
    <w:bookmarkEnd w:id="143"/>
    <w:p>
      <w:pPr>
        <w:jc w:val="both"/>
        <w:ind w:left="840"/>
        <w:spacing w:after="0" w:line="235" w:lineRule="auto"/>
        <w:rPr>
          <w:sz w:val="20"/>
          <w:szCs w:val="20"/>
          <w:color w:val="auto"/>
        </w:rPr>
      </w:pPr>
      <w:r>
        <w:rPr>
          <w:rFonts w:ascii="Times New Roman" w:cs="Times New Roman" w:eastAsia="Times New Roman" w:hAnsi="Times New Roman"/>
          <w:sz w:val="22"/>
          <w:szCs w:val="22"/>
          <w:color w:val="auto"/>
        </w:rPr>
        <w:t xml:space="preserve">Preferred Stock,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product of (i) such Effective Price per share of Common Stock,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(ii) 1.2;</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the Conversion Rate will not be adjusted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pursuant to this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 xml:space="preserve"> as a result of an Exempt Issuance; (B) the issuance of shares of Common Stock pursuant to any such Equity-Linked Securities will not constitute an additional issuance or sale of shares of Common Stock for purposes of this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 xml:space="preserve"> (it being understood, for the avoidance of doubt, that the issuance or sale of such Equity-Linked Securities, or any re-pricing or amendment thereof, will be subject to this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 xml:space="preserve">); and (C) in no event will the Conversion Rate be decreased pursuant to this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both"/>
        <w:ind w:left="840"/>
        <w:spacing w:after="0" w:line="24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10(f)(i)(2)</w:t>
      </w:r>
      <w:r>
        <w:rPr>
          <w:rFonts w:ascii="Times New Roman" w:cs="Times New Roman" w:eastAsia="Times New Roman" w:hAnsi="Times New Roman"/>
          <w:sz w:val="22"/>
          <w:szCs w:val="22"/>
          <w:color w:val="auto"/>
        </w:rPr>
        <w:t>, any re-pricing or amendment of any Equity-Linked Securities (including, for the avoidance of doubt, any Equity-Linked Securities existing as of the Initial Issue Date) will be deemed to be the issuance of additional Equity-Linked Securities, without affecting any prior adjustments theretofore made to the Conversion Rate.</w:t>
      </w:r>
    </w:p>
    <w:p>
      <w:pPr>
        <w:spacing w:after="0" w:line="145" w:lineRule="exact"/>
        <w:rPr>
          <w:sz w:val="20"/>
          <w:szCs w:val="20"/>
          <w:color w:val="auto"/>
        </w:rPr>
      </w:pPr>
    </w:p>
    <w:p>
      <w:pPr>
        <w:jc w:val="both"/>
        <w:ind w:left="200" w:firstLine="644"/>
        <w:spacing w:after="0" w:line="255" w:lineRule="auto"/>
        <w:tabs>
          <w:tab w:leader="none" w:pos="149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Other Required Adjustments</w:t>
      </w:r>
      <w:r>
        <w:rPr>
          <w:rFonts w:ascii="Times New Roman" w:cs="Times New Roman" w:eastAsia="Times New Roman" w:hAnsi="Times New Roman"/>
          <w:sz w:val="21"/>
          <w:szCs w:val="21"/>
          <w:color w:val="auto"/>
        </w:rPr>
        <w:t>. Without limiting the operation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Sections 5(a)(ii)(1)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10(e)(i)</w:t>
      </w:r>
      <w:r>
        <w:rPr>
          <w:rFonts w:ascii="Times New Roman" w:cs="Times New Roman" w:eastAsia="Times New Roman" w:hAnsi="Times New Roman"/>
          <w:sz w:val="21"/>
          <w:szCs w:val="21"/>
          <w:color w:val="auto"/>
        </w:rPr>
        <w:t>, the Company will not be required to adjust the Conversion Rate except pursuant to</w:t>
      </w:r>
      <w:r>
        <w:rPr>
          <w:rFonts w:ascii="Times New Roman" w:cs="Times New Roman" w:eastAsia="Times New Roman" w:hAnsi="Times New Roman"/>
          <w:sz w:val="21"/>
          <w:szCs w:val="21"/>
          <w:b w:val="1"/>
          <w:bCs w:val="1"/>
          <w:color w:val="auto"/>
        </w:rPr>
        <w:t xml:space="preserve"> Section 10(f)</w:t>
      </w:r>
    </w:p>
    <w:p>
      <w:pPr>
        <w:spacing w:after="0"/>
        <w:tabs>
          <w:tab w:leader="none" w:pos="0" w:val="left"/>
        </w:tabs>
        <w:numPr>
          <w:ilvl w:val="0"/>
          <w:numId w:val="122"/>
        </w:numPr>
        <w:rPr>
          <w:rFonts w:ascii="Times New Roman" w:cs="Times New Roman" w:eastAsia="Times New Roman" w:hAnsi="Times New Roman"/>
          <w:sz w:val="22"/>
          <w:szCs w:val="22"/>
          <w:b w:val="1"/>
          <w:bCs w:val="1"/>
          <w:color w:val="auto"/>
        </w:rPr>
      </w:pPr>
    </w:p>
    <w:p>
      <w:pPr>
        <w:spacing w:after="0" w:line="137" w:lineRule="exact"/>
        <w:rPr>
          <w:rFonts w:ascii="Times New Roman" w:cs="Times New Roman" w:eastAsia="Times New Roman" w:hAnsi="Times New Roman"/>
          <w:sz w:val="22"/>
          <w:szCs w:val="22"/>
          <w:b w:val="1"/>
          <w:bCs w:val="1"/>
          <w:color w:val="auto"/>
        </w:rPr>
      </w:pPr>
    </w:p>
    <w:p>
      <w:pPr>
        <w:jc w:val="both"/>
        <w:ind w:left="200" w:firstLine="644"/>
        <w:spacing w:after="0" w:line="238" w:lineRule="auto"/>
        <w:tabs>
          <w:tab w:leader="none" w:pos="149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Determination of the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10(f)(i)</w:t>
      </w:r>
      <w:r>
        <w:rPr>
          <w:rFonts w:ascii="Times New Roman" w:cs="Times New Roman" w:eastAsia="Times New Roman" w:hAnsi="Times New Roman"/>
          <w:sz w:val="22"/>
          <w:szCs w:val="22"/>
          <w:color w:val="auto"/>
        </w:rPr>
        <w:t>, the number of shares of Common Stock outstanding at any time will (1) include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in respect of scrip certificates issued in lieu of fractions of shares of Common Stock; and (2) exclude shares of Common Stock held in the Company’s treasury (unless the Company pays any dividend or makes any distribution on shares of Common Stock held in its treasury).</w:t>
      </w:r>
    </w:p>
    <w:p>
      <w:pPr>
        <w:spacing w:after="0" w:line="136" w:lineRule="exact"/>
        <w:rPr>
          <w:rFonts w:ascii="Times New Roman" w:cs="Times New Roman" w:eastAsia="Times New Roman" w:hAnsi="Times New Roman"/>
          <w:sz w:val="22"/>
          <w:szCs w:val="22"/>
          <w:color w:val="auto"/>
        </w:rPr>
      </w:pPr>
    </w:p>
    <w:p>
      <w:pPr>
        <w:ind w:left="200" w:right="20" w:firstLine="644"/>
        <w:spacing w:after="0" w:line="286" w:lineRule="auto"/>
        <w:tabs>
          <w:tab w:leader="none" w:pos="149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Calculations</w:t>
      </w:r>
      <w:r>
        <w:rPr>
          <w:rFonts w:ascii="Times New Roman" w:cs="Times New Roman" w:eastAsia="Times New Roman" w:hAnsi="Times New Roman"/>
          <w:sz w:val="21"/>
          <w:szCs w:val="21"/>
          <w:color w:val="auto"/>
        </w:rPr>
        <w:t>. All calculations with respect to the Conversion Rate and adjustments thereto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be made to the nearest 1/10,000th of a share of Common Stock (with 5/100,000ths rounded upward).</w:t>
      </w:r>
    </w:p>
    <w:p>
      <w:pPr>
        <w:spacing w:after="0" w:line="99" w:lineRule="exact"/>
        <w:rPr>
          <w:rFonts w:ascii="Times New Roman" w:cs="Times New Roman" w:eastAsia="Times New Roman" w:hAnsi="Times New Roman"/>
          <w:sz w:val="21"/>
          <w:szCs w:val="21"/>
          <w:color w:val="auto"/>
        </w:rPr>
      </w:pPr>
    </w:p>
    <w:p>
      <w:pPr>
        <w:jc w:val="both"/>
        <w:ind w:left="200" w:firstLine="644"/>
        <w:spacing w:after="0" w:line="238" w:lineRule="auto"/>
        <w:tabs>
          <w:tab w:leader="none" w:pos="149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Conversion Rate Adjustments</w:t>
      </w:r>
      <w:r>
        <w:rPr>
          <w:rFonts w:ascii="Times New Roman" w:cs="Times New Roman" w:eastAsia="Times New Roman" w:hAnsi="Times New Roman"/>
          <w:sz w:val="22"/>
          <w:szCs w:val="22"/>
          <w:color w:val="auto"/>
        </w:rPr>
        <w:t>. Upon the effectiveness of any adjustment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Conversion Rate pursuant to </w:t>
      </w:r>
      <w:r>
        <w:rPr>
          <w:rFonts w:ascii="Times New Roman" w:cs="Times New Roman" w:eastAsia="Times New Roman" w:hAnsi="Times New Roman"/>
          <w:sz w:val="22"/>
          <w:szCs w:val="22"/>
          <w:b w:val="1"/>
          <w:bCs w:val="1"/>
          <w:color w:val="auto"/>
        </w:rPr>
        <w:t>Section 10(f)(i)</w:t>
      </w:r>
      <w:r>
        <w:rPr>
          <w:rFonts w:ascii="Times New Roman" w:cs="Times New Roman" w:eastAsia="Times New Roman" w:hAnsi="Times New Roman"/>
          <w:sz w:val="22"/>
          <w:szCs w:val="22"/>
          <w:color w:val="auto"/>
        </w:rPr>
        <w:t>, the Company will promptly send notice to the Holders containing (1) a brief description of the transaction or other event on account of which such adjustment was made; (2) the Conversion Rate in effect immediately after such adjustment; and (3) the effective time of such adjustment.</w:t>
      </w:r>
    </w:p>
    <w:p>
      <w:pPr>
        <w:spacing w:after="0" w:line="136"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Voluntary Conversion Rate Increases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left="200" w:firstLine="644"/>
        <w:spacing w:after="0" w:line="243" w:lineRule="auto"/>
        <w:tabs>
          <w:tab w:leader="none" w:pos="1496"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from time to time, may (but is not required to) increase the Conversion Rate by any amount if</w:t>
      </w:r>
    </w:p>
    <w:p>
      <w:pPr>
        <w:spacing w:after="0" w:line="1" w:lineRule="exact"/>
        <w:rPr>
          <w:rFonts w:ascii="Times New Roman" w:cs="Times New Roman" w:eastAsia="Times New Roman" w:hAnsi="Times New Roman"/>
          <w:sz w:val="22"/>
          <w:szCs w:val="22"/>
          <w:color w:val="auto"/>
        </w:rPr>
      </w:pPr>
    </w:p>
    <w:p>
      <w:pPr>
        <w:jc w:val="both"/>
        <w:ind w:left="20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Board of Directors determines that such increase is in the Company’s best interest or that such increase is advisable to avoid or diminish any income tax imposed on holders of Common Stock or rights to purchase Common Stock as a result of any dividend or distribution of shares (or rights to acquire shares) of Common Stock or any similar event; (2) such increase is in effect for a period of at least twenty (20) Business</w:t>
      </w:r>
    </w:p>
    <w:p>
      <w:pPr>
        <w:spacing w:after="0" w:line="395"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4" w:right="999" w:bottom="1440" w:gutter="0" w:footer="0" w:header="0"/>
        </w:sectPr>
      </w:pPr>
    </w:p>
    <w:bookmarkStart w:id="144" w:name="page145"/>
    <w:bookmarkEnd w:id="144"/>
    <w:p>
      <w:pPr>
        <w:ind w:left="200"/>
        <w:spacing w:after="0"/>
        <w:rPr>
          <w:sz w:val="20"/>
          <w:szCs w:val="20"/>
          <w:color w:val="auto"/>
        </w:rPr>
      </w:pPr>
      <w:r>
        <w:rPr>
          <w:rFonts w:ascii="Times New Roman" w:cs="Times New Roman" w:eastAsia="Times New Roman" w:hAnsi="Times New Roman"/>
          <w:sz w:val="22"/>
          <w:szCs w:val="22"/>
          <w:color w:val="auto"/>
        </w:rPr>
        <w:t>Days; and (3) such increase is irrevocable during such period.</w:t>
      </w:r>
    </w:p>
    <w:p>
      <w:pPr>
        <w:spacing w:after="0" w:line="202" w:lineRule="exact"/>
        <w:rPr>
          <w:sz w:val="20"/>
          <w:szCs w:val="20"/>
          <w:color w:val="auto"/>
        </w:rPr>
      </w:pPr>
    </w:p>
    <w:p>
      <w:pPr>
        <w:jc w:val="both"/>
        <w:ind w:left="200" w:firstLine="644"/>
        <w:spacing w:after="0" w:line="238" w:lineRule="auto"/>
        <w:tabs>
          <w:tab w:leader="none" w:pos="149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Increase</w:t>
      </w:r>
      <w:r>
        <w:rPr>
          <w:rFonts w:ascii="Times New Roman" w:cs="Times New Roman" w:eastAsia="Times New Roman" w:hAnsi="Times New Roman"/>
          <w:sz w:val="22"/>
          <w:szCs w:val="22"/>
          <w:color w:val="auto"/>
        </w:rPr>
        <w:t>. If the Board of Directors determines to increase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Conversion Rate pursuant to </w:t>
      </w:r>
      <w:r>
        <w:rPr>
          <w:rFonts w:ascii="Times New Roman" w:cs="Times New Roman" w:eastAsia="Times New Roman" w:hAnsi="Times New Roman"/>
          <w:sz w:val="22"/>
          <w:szCs w:val="22"/>
          <w:b w:val="1"/>
          <w:bCs w:val="1"/>
          <w:color w:val="auto"/>
        </w:rPr>
        <w:t>Section 10(g)(i)</w:t>
      </w:r>
      <w:r>
        <w:rPr>
          <w:rFonts w:ascii="Times New Roman" w:cs="Times New Roman" w:eastAsia="Times New Roman" w:hAnsi="Times New Roman"/>
          <w:sz w:val="22"/>
          <w:szCs w:val="22"/>
          <w:color w:val="auto"/>
        </w:rPr>
        <w:t xml:space="preserve">, then, no later than the first Business Day of the related twenty (20) Business Day period referred to in </w:t>
      </w:r>
      <w:r>
        <w:rPr>
          <w:rFonts w:ascii="Times New Roman" w:cs="Times New Roman" w:eastAsia="Times New Roman" w:hAnsi="Times New Roman"/>
          <w:sz w:val="22"/>
          <w:szCs w:val="22"/>
          <w:b w:val="1"/>
          <w:bCs w:val="1"/>
          <w:color w:val="auto"/>
        </w:rPr>
        <w:t>Section 10(g)(i)</w:t>
      </w:r>
      <w:r>
        <w:rPr>
          <w:rFonts w:ascii="Times New Roman" w:cs="Times New Roman" w:eastAsia="Times New Roman" w:hAnsi="Times New Roman"/>
          <w:sz w:val="22"/>
          <w:szCs w:val="22"/>
          <w:color w:val="auto"/>
        </w:rPr>
        <w:t>, the Company will send notice to each Holder of such increase to the Conversion Rate, the amount thereof and the period during which such increase will be in effect.</w:t>
      </w:r>
    </w:p>
    <w:p>
      <w:pPr>
        <w:spacing w:after="0" w:line="176"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 on Conversions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200" w:firstLine="644"/>
        <w:spacing w:after="0" w:line="234" w:lineRule="auto"/>
        <w:tabs>
          <w:tab w:leader="none" w:pos="149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Conversion Right</w:t>
      </w:r>
      <w:r>
        <w:rPr>
          <w:rFonts w:ascii="Times New Roman" w:cs="Times New Roman" w:eastAsia="Times New Roman" w:hAnsi="Times New Roman"/>
          <w:sz w:val="22"/>
          <w:szCs w:val="22"/>
          <w:color w:val="auto"/>
        </w:rPr>
        <w:t>. Notwithstanding anything to the contrary in this Certificate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Designations, unless and until the Requisite Stockholder Approval is obtained, no shares of Common Stock will be issued or delivered upon conversion of any Convertible Preferred Stock of any Holder, and no Convertible Preferred Stock of any Holder will be convertible, in each case to the extent, and only to the extent, that such issuance, delivery, conversion or convertibility would result in such Holder or a “person” or “group” (within the meaning of Section 13(d)(3) of the Exchange Act) beneficially owning in excess of nineteen and ninety-nine-one-hundredths percent (19.99%) of the then-outstanding Stockholder Voting Power (the restrictions set forth in this sentence, the “</w:t>
      </w:r>
      <w:r>
        <w:rPr>
          <w:rFonts w:ascii="Times New Roman" w:cs="Times New Roman" w:eastAsia="Times New Roman" w:hAnsi="Times New Roman"/>
          <w:sz w:val="22"/>
          <w:szCs w:val="22"/>
          <w:b w:val="1"/>
          <w:bCs w:val="1"/>
          <w:color w:val="auto"/>
        </w:rPr>
        <w:t>Ownership Limitation</w:t>
      </w:r>
      <w:r>
        <w:rPr>
          <w:rFonts w:ascii="Times New Roman" w:cs="Times New Roman" w:eastAsia="Times New Roman" w:hAnsi="Times New Roman"/>
          <w:sz w:val="22"/>
          <w:szCs w:val="22"/>
          <w:color w:val="auto"/>
        </w:rPr>
        <w:t>”). For these purposes, beneficial ownership and calculations of percentage ownership will be determined in accordance with Rule 13d-3 under the Exchange Act.</w:t>
      </w:r>
    </w:p>
    <w:p>
      <w:pPr>
        <w:spacing w:after="0" w:line="183" w:lineRule="exact"/>
        <w:rPr>
          <w:sz w:val="20"/>
          <w:szCs w:val="20"/>
          <w:color w:val="auto"/>
        </w:rPr>
      </w:pPr>
    </w:p>
    <w:p>
      <w:pPr>
        <w:jc w:val="both"/>
        <w:ind w:left="200"/>
        <w:spacing w:after="0" w:line="232" w:lineRule="auto"/>
        <w:rPr>
          <w:sz w:val="20"/>
          <w:szCs w:val="20"/>
          <w:color w:val="auto"/>
        </w:rPr>
      </w:pPr>
      <w:r>
        <w:rPr>
          <w:rFonts w:ascii="Times New Roman" w:cs="Times New Roman" w:eastAsia="Times New Roman" w:hAnsi="Times New Roman"/>
          <w:sz w:val="22"/>
          <w:szCs w:val="22"/>
          <w:color w:val="auto"/>
        </w:rPr>
        <w:t>Notwithstanding anything to the contrary herein, upon the written election of a holder of shares of Convertible Preferred Stock, no such holder of Convertible Preferred Stock shall be entitled to effect a conversion of any portion of its shares of Convertible Preferred Stock, to vote in its capacity as a holder of shares of Convertible Preferred Stock with respect to matters submitted to holders of the Common Stock or take delivery of shares of Common Stock upon conversion of such shares of Convertible Preferred Stock, in each case, to the extent that, after giving effect to such conversion, action or delivery, as applicable, such holder, together with all other Attribution Parties (as defined below), collectively would beneficially own in excess of 9.99% of the number of shares of Common Stock outstanding immediately after giving effect to such exercise (such percentage, subject to such modifications in accordance with, and subject to the limitations set forth in, this paragraph, the “</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For purposes of the foregoing sentence, the aggregate number of shares of Common Stock beneficially owned by such holder and the other Attribution Parties shall include the number of shares of Common Stock held by the holder and all other Attribution Parties plus the number of shares of Common Stock issuable upon conversion of such shares of Convertible Preferred Stock with respect to which the determination of such sentence is being made, but shall exclude shares of Common Stock which would be issuable upon (i) conversion of the remaining, unconverted portion of such shares of Convertible Preferred Stock beneficially owned by such holder or any other Attribution Party and (ii) exercise or conversion of the unexercised or unconverted portion of any other securities of the Company beneficially owned by such holder or any other Attribution Party subject to a limitation on conversion or exercise analogous to the limitation contained in this paragraph. For purposes of determining the number of shares of Common Stock the holder may acquire upon the conversion of shares of its Convertible</w:t>
      </w:r>
    </w:p>
    <w:p>
      <w:pPr>
        <w:spacing w:after="0" w:line="4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5" w:name="page146"/>
    <w:bookmarkEnd w:id="145"/>
    <w:p>
      <w:pPr>
        <w:jc w:val="both"/>
        <w:ind w:left="200"/>
        <w:spacing w:after="0" w:line="242" w:lineRule="auto"/>
        <w:rPr>
          <w:sz w:val="20"/>
          <w:szCs w:val="20"/>
          <w:color w:val="auto"/>
        </w:rPr>
      </w:pPr>
      <w:r>
        <w:rPr>
          <w:rFonts w:ascii="Times New Roman" w:cs="Times New Roman" w:eastAsia="Times New Roman" w:hAnsi="Times New Roman"/>
          <w:sz w:val="21"/>
          <w:szCs w:val="21"/>
          <w:color w:val="auto"/>
        </w:rPr>
        <w:t>Preferred Stock without exceeding the Maximum Percentage, such holder may rely on the number of outstanding shares of Common Stock as reflected in (1) the Company’s most recent Annual Report on Form 10-K, Quarterly Report on Form 10-Q, Current Report on Form 8-K or other public filing with the Securities and Exchange Commission, as the case may be, (2) a more recent public announcement by the Company or (3) any other written notice by the Company or the transfer agent setting forth the number of shares of Common Stock outstanding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If the Company receives a Conversion Notice from a holder of Convertible Preferred Stock at a time when the actual number of outstanding shares of Common Stock is less than the Reported Outstanding Share Number, the Company shall (i) notify such holder in writing of the number of shares of Common Stock then outstanding and, to the extent that such Conversion Notice would otherwise cause such holder’s beneficial ownership, as determined pursuant to this paragraph, to exceed the Maximum Percentage, such holder must notify the Company of a reduced number of shares of Convertible Preferred Stock to be converted pursuant to such Conversion Notice. For any reason at any time, upon the written or oral request of a holder of Convertible Preferred Stock, where such request indicates that it is being made pursuant to this Certificate of Designation, the Company shall within two (2) business days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by such holder and any other Attribution Party since the date as of which the Reported Outstanding Share Number was reported. In the event that the issuance of shares of Common Stock to the Holder upon the conversion of any of such holder’s shares of Convertible Preferred Stock results in the Holder and the other Attribution Parties being deemed to beneficially own, in the aggregate, more than the Maximum Percentage of the number of outstanding shares of Common Stock, the number of shares so issued by which such holder’s and the other Attribution Parties’ aggregate beneficial ownership exceeds the Maximum Percentage (the “</w:t>
      </w:r>
      <w:r>
        <w:rPr>
          <w:rFonts w:ascii="Times New Roman" w:cs="Times New Roman" w:eastAsia="Times New Roman" w:hAnsi="Times New Roman"/>
          <w:sz w:val="21"/>
          <w:szCs w:val="21"/>
          <w:b w:val="1"/>
          <w:bCs w:val="1"/>
          <w:color w:val="auto"/>
        </w:rPr>
        <w:t>Excess Shares</w:t>
      </w:r>
      <w:r>
        <w:rPr>
          <w:rFonts w:ascii="Times New Roman" w:cs="Times New Roman" w:eastAsia="Times New Roman" w:hAnsi="Times New Roman"/>
          <w:sz w:val="21"/>
          <w:szCs w:val="21"/>
          <w:color w:val="auto"/>
        </w:rPr>
        <w:t xml:space="preserve">”) shall be deemed null and void and shall be cancelled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and such holder shall not have the power to vote or to transfer the Excess Shares. As soon as reasonably practicable after the issuance of the Excess Shares has been deemed null and void and/or any other shares of Convertible Preferred Stock have been purported to be converted or mandatorily converted in excess of the limitations set forth in this paragraph, the Company shall return to the Holder the number of shares of Convertible Preferred Stock corresponding to such excess. Upon delivery of a written notice to the Company, a holder of Convertible Preferred Stock may from time to time increase (with such increase not effective until the sixty-first (61st) day after delivery of such notice) or decrease the Maximum Percentage to any other percentage that is not in excess of 19.99% (except that such increased percentage may exceed 19.99% in the event that (x) the Requisite Stockholder Approval is obtained or (y) the Company is not subject to rules of the relevant trading market limiting issuances of shares of Common Stock in excess of such amount) as specified in such notice; provided that</w:t>
      </w:r>
    </w:p>
    <w:p>
      <w:pPr>
        <w:spacing w:after="0" w:line="7" w:lineRule="exact"/>
        <w:rPr>
          <w:sz w:val="20"/>
          <w:szCs w:val="20"/>
          <w:color w:val="auto"/>
        </w:rPr>
      </w:pPr>
    </w:p>
    <w:p>
      <w:pPr>
        <w:jc w:val="both"/>
        <w:ind w:left="200" w:hanging="4"/>
        <w:spacing w:after="0" w:line="234" w:lineRule="auto"/>
        <w:tabs>
          <w:tab w:leader="none" w:pos="46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increase in the Maximum Percentage will not be effective until the sixty-first (61st) day after such notice is delivered to the Company, and (ii) any such increase or decrease will apply only to such holder of shares of Convertible Preferred Stock and the other Attribution Parties and not to any other holder of Convertible Preferred Stock. For purposes of clarity, the shares of Common Stock</w:t>
      </w:r>
    </w:p>
    <w:p>
      <w:pPr>
        <w:spacing w:after="0" w:line="39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6" w:name="page147"/>
    <w:bookmarkEnd w:id="146"/>
    <w:p>
      <w:pPr>
        <w:jc w:val="both"/>
        <w:ind w:left="200"/>
        <w:spacing w:after="0" w:line="243" w:lineRule="auto"/>
        <w:rPr>
          <w:sz w:val="20"/>
          <w:szCs w:val="20"/>
          <w:color w:val="auto"/>
        </w:rPr>
      </w:pPr>
      <w:r>
        <w:rPr>
          <w:rFonts w:ascii="Times New Roman" w:cs="Times New Roman" w:eastAsia="Times New Roman" w:hAnsi="Times New Roman"/>
          <w:sz w:val="21"/>
          <w:szCs w:val="21"/>
          <w:color w:val="auto"/>
        </w:rPr>
        <w:t>underlying such holder’s shares of Convertible Preferred Stock in excess of the Maximum Percentage shall not be deemed to be beneficially owned by such holder for any purpose including for purposes of Section 13(d) or Rule 16a-1(a)(1) of the Exchange Act. The provisions of this paragraph shall be construed and implemented in a manner otherwise than in strict conformity with the terms of this paragraph to the extent necessary to correct this paragraph or any portion of this paragraph which may be defective or inconsistent with the intended beneficial ownership limitation contained in this paragraph or to make changes or supplements necessary or desirable to properly give effect to such limitation. The limitation as contained in this paragraph may not be waived and shall apply to a successor holder of the Convertible Preferred Stock. The limitation contained in this paragraph shall apply to a holder from and after the delivery of such written election to the Company and shall cease to apply thereafter only upon sixty-one</w:t>
      </w:r>
    </w:p>
    <w:p>
      <w:pPr>
        <w:spacing w:after="0" w:line="9" w:lineRule="exact"/>
        <w:rPr>
          <w:sz w:val="20"/>
          <w:szCs w:val="20"/>
          <w:color w:val="auto"/>
        </w:rPr>
      </w:pPr>
    </w:p>
    <w:p>
      <w:pPr>
        <w:jc w:val="both"/>
        <w:ind w:left="200" w:hanging="4"/>
        <w:spacing w:after="0" w:line="231" w:lineRule="auto"/>
        <w:tabs>
          <w:tab w:leader="none" w:pos="65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written notice from such holder to the Company of an election to increase or decrease or remove such limitation;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election to be subject to such limitation shall be irrevocable if the holder so electing specifies in writing to the Company that such election is irrevocable. For the avoidance of doubt, the limitation contained in this paragraph shall not apply to any holder that has not elected in writing to be subject to such limitation. As used in this Certificate of Designation with respect to any holder of Convertible Preferred Stock, “</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and entities: such holder, any of its Affiliates or principals, any person acting or who could be deemed to be acting as a group together with such holder or any of the foregoing for purposes of Section 13(d) of the Exchange Act, and any other persons whose beneficial ownership of the Common Stock would or could be aggregated with such holder’s and the other Attribution Parties’ for purposes of Section 13(d) of the Exchange Act.</w:t>
      </w:r>
    </w:p>
    <w:p>
      <w:pPr>
        <w:spacing w:after="0" w:line="214" w:lineRule="exact"/>
        <w:rPr>
          <w:sz w:val="20"/>
          <w:szCs w:val="20"/>
          <w:color w:val="auto"/>
        </w:rPr>
      </w:pPr>
    </w:p>
    <w:p>
      <w:pPr>
        <w:jc w:val="both"/>
        <w:ind w:left="200"/>
        <w:spacing w:after="0" w:line="234" w:lineRule="auto"/>
        <w:rPr>
          <w:sz w:val="20"/>
          <w:szCs w:val="20"/>
          <w:color w:val="auto"/>
        </w:rPr>
      </w:pPr>
      <w:r>
        <w:rPr>
          <w:rFonts w:ascii="Times New Roman" w:cs="Times New Roman" w:eastAsia="Times New Roman" w:hAnsi="Times New Roman"/>
          <w:sz w:val="22"/>
          <w:szCs w:val="22"/>
          <w:color w:val="auto"/>
        </w:rPr>
        <w:t>Any purported delivery of shares of Common Stock upon conversion of the Convertible Preferred Stock will be void and have no effect to the extent, but only to the extent, that such delivery would result in any Holder becoming the beneficial owner of shares of Common Stock outstanding at such time in excess of the Ownership Limitation or, if applicable, the Maximum Percentage. For the avoidance of doubt, a Holder may effect an Optional Conversion, and the Company may, upon exercise of its Mandatory Conversion Right, force conversion of, such Holder’s Convertible Preferred Stock, up to the Ownership Limitation or, if applicable, the Maximum Percentage, in each case subject to the immediately following paragraph and the other requirements of this Certificate of Designations applicable to such Optional Conversion or Mandatory Conversion, as applicable.</w:t>
      </w:r>
    </w:p>
    <w:p>
      <w:pPr>
        <w:spacing w:after="0" w:line="210"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If any Conversion Consideration otherwise due upon the conversion of any Convertible Preferred Stock (whether upon Redemption, Mandatory Conversion or otherwise) is not delivered as a result of the Ownership Limitation or, if applicable, the Maximum Percentage, then the Company’s obligation to deliver such Conversion Consideration (the “</w:t>
      </w:r>
      <w:r>
        <w:rPr>
          <w:rFonts w:ascii="Times New Roman" w:cs="Times New Roman" w:eastAsia="Times New Roman" w:hAnsi="Times New Roman"/>
          <w:sz w:val="22"/>
          <w:szCs w:val="22"/>
          <w:b w:val="1"/>
          <w:bCs w:val="1"/>
          <w:color w:val="auto"/>
        </w:rPr>
        <w:t>Abeyance Shares</w:t>
      </w:r>
      <w:r>
        <w:rPr>
          <w:rFonts w:ascii="Times New Roman" w:cs="Times New Roman" w:eastAsia="Times New Roman" w:hAnsi="Times New Roman"/>
          <w:sz w:val="22"/>
          <w:szCs w:val="22"/>
          <w:color w:val="auto"/>
        </w:rPr>
        <w:t>”) will not be extinguished, and the Company will deliver the Abeyance Shares as soon as reasonably practicable after the Holder of such Convertible Preferred Stock provides written evidence satisfactory to the Company that such delivery will not contravene the Ownership Limitation or, if applicable, the Maximum Percentage. A Holder will provide such evidence as soon as reasonably practicable after its beneficial ownership</w:t>
      </w:r>
    </w:p>
    <w:p>
      <w:pPr>
        <w:spacing w:after="0" w:line="3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7" w:name="page148"/>
    <w:bookmarkEnd w:id="147"/>
    <w:p>
      <w:pPr>
        <w:ind w:left="200"/>
        <w:spacing w:after="0" w:line="258" w:lineRule="auto"/>
        <w:rPr>
          <w:sz w:val="20"/>
          <w:szCs w:val="20"/>
          <w:color w:val="auto"/>
        </w:rPr>
      </w:pPr>
      <w:r>
        <w:rPr>
          <w:rFonts w:ascii="Times New Roman" w:cs="Times New Roman" w:eastAsia="Times New Roman" w:hAnsi="Times New Roman"/>
          <w:sz w:val="22"/>
          <w:szCs w:val="22"/>
          <w:color w:val="auto"/>
        </w:rPr>
        <w:t>is such that the Abeyance Shares may be delivered without contravening the Ownership Limitation or, if applicable, the Maximum Percentage. Until the Abeyance Shares have been delivered:</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w:t>
            </w:r>
          </w:p>
        </w:tc>
        <w:tc>
          <w:tcPr>
            <w:tcW w:w="7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 number of Abeyance Shares shall be subject to adjustment as set</w:t>
            </w:r>
          </w:p>
        </w:tc>
      </w:tr>
      <w:tr>
        <w:trPr>
          <w:trHeight w:val="282"/>
        </w:trPr>
        <w:tc>
          <w:tcPr>
            <w:tcW w:w="8620" w:type="dxa"/>
            <w:vAlign w:val="bottom"/>
            <w:gridSpan w:val="2"/>
          </w:tcPr>
          <w:p>
            <w:pPr>
              <w:jc w:val="right"/>
              <w:ind w:right="6172"/>
              <w:spacing w:after="0"/>
              <w:rPr>
                <w:sz w:val="20"/>
                <w:szCs w:val="20"/>
                <w:color w:val="auto"/>
              </w:rPr>
            </w:pPr>
            <w:r>
              <w:rPr>
                <w:rFonts w:ascii="Times New Roman" w:cs="Times New Roman" w:eastAsia="Times New Roman" w:hAnsi="Times New Roman"/>
                <w:sz w:val="22"/>
                <w:szCs w:val="22"/>
                <w:color w:val="auto"/>
                <w:w w:val="97"/>
              </w:rPr>
              <w:t>forth in Section 10(f)(i)(1).</w:t>
            </w:r>
          </w:p>
        </w:tc>
      </w:tr>
      <w:tr>
        <w:trPr>
          <w:trHeight w:val="444"/>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 dividend or other distribution on the Common Stock (whether in</w:t>
            </w:r>
          </w:p>
        </w:tc>
      </w:tr>
    </w:tbl>
    <w:p>
      <w:pPr>
        <w:jc w:val="both"/>
        <w:ind w:left="840"/>
        <w:spacing w:after="0" w:line="232" w:lineRule="auto"/>
        <w:rPr>
          <w:sz w:val="20"/>
          <w:szCs w:val="20"/>
          <w:color w:val="auto"/>
        </w:rPr>
      </w:pPr>
      <w:r>
        <w:rPr>
          <w:rFonts w:ascii="Times New Roman" w:cs="Times New Roman" w:eastAsia="Times New Roman" w:hAnsi="Times New Roman"/>
          <w:sz w:val="22"/>
          <w:szCs w:val="22"/>
          <w:color w:val="auto"/>
        </w:rPr>
        <w:t>cash, securities or other property, or any combination of the foregoing) will be declared or paid on the Common Stock unless, at the time of such declaration and payment, an equivalent dividend or distribution is declared and paid, respectively, on the Abeyance Shares (such a dividend or distribution on the Abeyance Shares, an “</w:t>
      </w:r>
      <w:r>
        <w:rPr>
          <w:rFonts w:ascii="Times New Roman" w:cs="Times New Roman" w:eastAsia="Times New Roman" w:hAnsi="Times New Roman"/>
          <w:sz w:val="22"/>
          <w:szCs w:val="22"/>
          <w:b w:val="1"/>
          <w:bCs w:val="1"/>
          <w:color w:val="auto"/>
        </w:rPr>
        <w:t>Abeyance Dividend</w:t>
      </w:r>
      <w:r>
        <w:rPr>
          <w:rFonts w:ascii="Times New Roman" w:cs="Times New Roman" w:eastAsia="Times New Roman" w:hAnsi="Times New Roman"/>
          <w:sz w:val="22"/>
          <w:szCs w:val="22"/>
          <w:color w:val="auto"/>
        </w:rPr>
        <w:t>,” and such corresponding dividend or distribution on the Common Stock, the “</w:t>
      </w:r>
      <w:r>
        <w:rPr>
          <w:rFonts w:ascii="Times New Roman" w:cs="Times New Roman" w:eastAsia="Times New Roman" w:hAnsi="Times New Roman"/>
          <w:sz w:val="22"/>
          <w:szCs w:val="22"/>
          <w:b w:val="1"/>
          <w:bCs w:val="1"/>
          <w:color w:val="auto"/>
        </w:rPr>
        <w:t>Common Stock Abeyance Dividend</w:t>
      </w:r>
      <w:r>
        <w:rPr>
          <w:rFonts w:ascii="Times New Roman" w:cs="Times New Roman" w:eastAsia="Times New Roman" w:hAnsi="Times New Roman"/>
          <w:sz w:val="22"/>
          <w:szCs w:val="22"/>
          <w:color w:val="auto"/>
        </w:rPr>
        <w:t>”), such that (1) the Record Date and the payment date for such Abeyance Dividend occur on the same dates as the Record Date and payment date, respectively, for such Common Stock Abeyance Dividend and (2) the kind and amount of consideration payable per Abeyance Share in such Abeyance Dividend is the same kind and amount of consideration that would be payable in the Common Stock Abeyance Dividend.</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provisions of Section 10(e)(iv) and (v) will apply to the delivery of</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Abeyance Shares, mutatis mutandis.</w:t>
            </w:r>
          </w:p>
        </w:tc>
      </w:tr>
      <w:tr>
        <w:trPr>
          <w:trHeight w:val="444"/>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Company will reserve, out of its authorized, unreserved and not</w:t>
            </w:r>
          </w:p>
        </w:tc>
      </w:tr>
    </w:tbl>
    <w:p>
      <w:pPr>
        <w:jc w:val="both"/>
        <w:ind w:left="840"/>
        <w:spacing w:after="0" w:line="237" w:lineRule="auto"/>
        <w:rPr>
          <w:sz w:val="20"/>
          <w:szCs w:val="20"/>
          <w:color w:val="auto"/>
        </w:rPr>
      </w:pPr>
      <w:r>
        <w:rPr>
          <w:rFonts w:ascii="Times New Roman" w:cs="Times New Roman" w:eastAsia="Times New Roman" w:hAnsi="Times New Roman"/>
          <w:sz w:val="22"/>
          <w:szCs w:val="22"/>
          <w:color w:val="auto"/>
        </w:rPr>
        <w:t>outstanding shares of Common Stock, for delivery a number of shares of Common Stock that would be sufficient to settle the obligation to delivery of the Abeyance Shares.</w:t>
      </w:r>
    </w:p>
    <w:p>
      <w:pPr>
        <w:spacing w:after="0" w:line="178" w:lineRule="exact"/>
        <w:rPr>
          <w:sz w:val="20"/>
          <w:szCs w:val="20"/>
          <w:color w:val="auto"/>
        </w:rPr>
      </w:pPr>
    </w:p>
    <w:p>
      <w:pPr>
        <w:jc w:val="both"/>
        <w:ind w:left="840" w:firstLine="648"/>
        <w:spacing w:after="0" w:line="244" w:lineRule="auto"/>
        <w:rPr>
          <w:sz w:val="20"/>
          <w:szCs w:val="20"/>
          <w:color w:val="auto"/>
        </w:rPr>
      </w:pPr>
      <w:r>
        <w:rPr>
          <w:rFonts w:ascii="Times New Roman" w:cs="Times New Roman" w:eastAsia="Times New Roman" w:hAnsi="Times New Roman"/>
          <w:sz w:val="22"/>
          <w:szCs w:val="22"/>
          <w:color w:val="auto"/>
        </w:rPr>
        <w:t>(5) In the event of any Common Stock Change Event, the Company’s obligation to deliver Abeyance Shares will be replaced by an obligation to deliver an equal number of Reference Property Units.</w:t>
      </w:r>
    </w:p>
    <w:p>
      <w:pPr>
        <w:spacing w:after="0" w:line="173"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22"/>
          <w:szCs w:val="22"/>
          <w:color w:val="auto"/>
        </w:rPr>
        <w:t>For the avoidance of doubt, such converted Convertible Preferred Stock will be extinguished, will no longer accrue Regular Dividends and will not benefit from any Liquidation Preference.</w:t>
      </w:r>
    </w:p>
    <w:p>
      <w:pPr>
        <w:spacing w:after="0" w:line="181" w:lineRule="exact"/>
        <w:rPr>
          <w:sz w:val="20"/>
          <w:szCs w:val="20"/>
          <w:color w:val="auto"/>
        </w:rPr>
      </w:pPr>
    </w:p>
    <w:p>
      <w:pPr>
        <w:ind w:left="840" w:hanging="644"/>
        <w:spacing w:after="0"/>
        <w:tabs>
          <w:tab w:leader="none" w:pos="8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Common Stock Change Event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500" w:hanging="656"/>
        <w:spacing w:after="0"/>
        <w:tabs>
          <w:tab w:leader="none" w:pos="15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210" w:lineRule="exact"/>
        <w:rPr>
          <w:sz w:val="20"/>
          <w:szCs w:val="20"/>
          <w:color w:val="auto"/>
        </w:rPr>
      </w:pPr>
    </w:p>
    <w:p>
      <w:pPr>
        <w:jc w:val="both"/>
        <w:ind w:left="840" w:firstLine="648"/>
        <w:spacing w:after="0"/>
        <w:rPr>
          <w:sz w:val="20"/>
          <w:szCs w:val="20"/>
          <w:color w:val="auto"/>
        </w:rPr>
      </w:pPr>
      <w:r>
        <w:rPr>
          <w:rFonts w:ascii="Times New Roman" w:cs="Times New Roman" w:eastAsia="Times New Roman" w:hAnsi="Times New Roman"/>
          <w:sz w:val="22"/>
          <w:szCs w:val="22"/>
          <w:color w:val="auto"/>
        </w:rPr>
        <w:t>(1)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148" w:name="page149"/>
    <w:bookmarkEnd w:id="148"/>
    <w:tbl>
      <w:tblPr>
        <w:tblLayout w:type="fixed"/>
        <w:tblInd w:w="840" w:type="dxa"/>
        <w:tblCellMar>
          <w:top w:w="0" w:type="dxa"/>
          <w:left w:w="0" w:type="dxa"/>
          <w:bottom w:w="0" w:type="dxa"/>
          <w:right w:w="0" w:type="dxa"/>
        </w:tblCellMar>
      </w:tblPr>
      <w:tr>
        <w:trPr>
          <w:trHeight w:val="253"/>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consolidation,  merger,  combination  or  binding  or  statutory  share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exchange involving the Company;</w:t>
            </w:r>
          </w:p>
        </w:tc>
      </w:tr>
      <w:tr>
        <w:trPr>
          <w:trHeight w:val="420"/>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sale, lease or other transfer of all or substantially all of the assets of the</w:t>
            </w:r>
          </w:p>
        </w:tc>
      </w:tr>
      <w:tr>
        <w:trPr>
          <w:trHeight w:val="282"/>
        </w:trPr>
        <w:tc>
          <w:tcPr>
            <w:tcW w:w="8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 and its Subsidiaries, taken as a whole, to any Person; or</w:t>
            </w:r>
          </w:p>
        </w:tc>
      </w:tr>
      <w:tr>
        <w:trPr>
          <w:trHeight w:val="459"/>
        </w:trPr>
        <w:tc>
          <w:tcPr>
            <w:tcW w:w="15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w:t>
            </w:r>
          </w:p>
        </w:tc>
        <w:tc>
          <w:tcPr>
            <w:tcW w:w="7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other similar event,</w:t>
            </w:r>
          </w:p>
        </w:tc>
      </w:tr>
    </w:tbl>
    <w:p>
      <w:pPr>
        <w:spacing w:after="0" w:line="177"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and the amount and kind of Reference Property that a holder of one (1)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then, notwithstanding anything to the contrary in this Certificate of Designations,</w:t>
      </w:r>
    </w:p>
    <w:p>
      <w:pPr>
        <w:spacing w:after="0" w:line="178" w:lineRule="exact"/>
        <w:rPr>
          <w:sz w:val="20"/>
          <w:szCs w:val="20"/>
          <w:color w:val="auto"/>
        </w:rPr>
      </w:pPr>
    </w:p>
    <w:p>
      <w:pPr>
        <w:jc w:val="both"/>
        <w:ind w:left="840" w:firstLine="652"/>
        <w:spacing w:after="0" w:line="234" w:lineRule="auto"/>
        <w:tabs>
          <w:tab w:leader="none" w:pos="213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(I) the consideration due upon conversion of any Convertible Preferred Stock will be determined in the same manner as if each reference to any number of shares of Common Stock in this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22"/>
          <w:szCs w:val="22"/>
          <w:b w:val="1"/>
          <w:bCs w:val="1"/>
          <w:color w:val="auto"/>
        </w:rPr>
        <w:t>Section 10(c)</w:t>
      </w:r>
      <w:r>
        <w:rPr>
          <w:rFonts w:ascii="Times New Roman" w:cs="Times New Roman" w:eastAsia="Times New Roman" w:hAnsi="Times New Roman"/>
          <w:sz w:val="22"/>
          <w:szCs w:val="22"/>
          <w:color w:val="auto"/>
        </w:rPr>
        <w:t>, each reference to any number of shares of Common Stock in such Section (or in any related definitions) will instead be deemed to be a reference to the same number of Reference Property Units; and (III) for purposes of the definition of “Change of Control,” the terms “Common Stock” and “common equity” will be deemed to mean the common equity (including depositary receipts representing common equity), if any, forming part of such Reference Property; and</w:t>
      </w:r>
    </w:p>
    <w:p>
      <w:pPr>
        <w:spacing w:after="0" w:line="206" w:lineRule="exact"/>
        <w:rPr>
          <w:rFonts w:ascii="Times New Roman" w:cs="Times New Roman" w:eastAsia="Times New Roman" w:hAnsi="Times New Roman"/>
          <w:sz w:val="22"/>
          <w:szCs w:val="22"/>
          <w:color w:val="auto"/>
        </w:rPr>
      </w:pPr>
    </w:p>
    <w:p>
      <w:pPr>
        <w:jc w:val="both"/>
        <w:ind w:left="840" w:firstLine="652"/>
        <w:spacing w:after="0" w:line="239" w:lineRule="auto"/>
        <w:tabs>
          <w:tab w:leader="none" w:pos="213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207" w:lineRule="exact"/>
        <w:rPr>
          <w:sz w:val="20"/>
          <w:szCs w:val="20"/>
          <w:color w:val="auto"/>
        </w:rPr>
      </w:pPr>
    </w:p>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Holders of such weighted average as soon as practicable after such determination is made.</w:t>
      </w:r>
    </w:p>
    <w:p>
      <w:pPr>
        <w:spacing w:after="0" w:line="200" w:lineRule="exact"/>
        <w:rPr>
          <w:sz w:val="20"/>
          <w:szCs w:val="20"/>
          <w:color w:val="auto"/>
        </w:rPr>
      </w:pPr>
    </w:p>
    <w:p>
      <w:pPr>
        <w:ind w:left="200" w:right="20" w:firstLine="644"/>
        <w:spacing w:after="0" w:line="262" w:lineRule="auto"/>
        <w:tabs>
          <w:tab w:leader="none" w:pos="14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Event unless its terms are consistent with this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w:t>
      </w:r>
    </w:p>
    <w:p>
      <w:pPr>
        <w:spacing w:after="0" w:line="369"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58" w:right="999" w:bottom="1440" w:gutter="0" w:footer="0" w:header="0"/>
        </w:sectPr>
      </w:pPr>
    </w:p>
    <w:bookmarkStart w:id="149" w:name="page150"/>
    <w:bookmarkEnd w:id="149"/>
    <w:p>
      <w:pPr>
        <w:jc w:val="both"/>
        <w:ind w:left="200" w:firstLine="644"/>
        <w:spacing w:after="0" w:line="257" w:lineRule="auto"/>
        <w:tabs>
          <w:tab w:leader="none" w:pos="149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Execution of Supplemental Instruments</w:t>
      </w:r>
      <w:r>
        <w:rPr>
          <w:rFonts w:ascii="Times New Roman" w:cs="Times New Roman" w:eastAsia="Times New Roman" w:hAnsi="Times New Roman"/>
          <w:sz w:val="20"/>
          <w:szCs w:val="20"/>
          <w:color w:val="auto"/>
        </w:rPr>
        <w:t>. On or before the date the Common Stock 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Event becomes effective, the Company and, if applicable, the resulting, surviving or transferee Person (if not the Company) of such Common Stock Change Event (the “</w:t>
      </w:r>
      <w:r>
        <w:rPr>
          <w:rFonts w:ascii="Times New Roman" w:cs="Times New Roman" w:eastAsia="Times New Roman" w:hAnsi="Times New Roman"/>
          <w:sz w:val="20"/>
          <w:szCs w:val="20"/>
          <w:b w:val="1"/>
          <w:bCs w:val="1"/>
          <w:color w:val="auto"/>
        </w:rPr>
        <w:t>Successor Person</w:t>
      </w:r>
      <w:r>
        <w:rPr>
          <w:rFonts w:ascii="Times New Roman" w:cs="Times New Roman" w:eastAsia="Times New Roman" w:hAnsi="Times New Roman"/>
          <w:sz w:val="20"/>
          <w:szCs w:val="20"/>
          <w:color w:val="auto"/>
        </w:rPr>
        <w:t xml:space="preserve">”) will execute and deliver such supplemental instruments, if any, as the Company reasonably determines are necessary or desirable to (1) provide for subsequent adjustments to the Conversion Rate pursuant to </w:t>
      </w:r>
      <w:r>
        <w:rPr>
          <w:rFonts w:ascii="Times New Roman" w:cs="Times New Roman" w:eastAsia="Times New Roman" w:hAnsi="Times New Roman"/>
          <w:sz w:val="20"/>
          <w:szCs w:val="20"/>
          <w:b w:val="1"/>
          <w:bCs w:val="1"/>
          <w:color w:val="auto"/>
        </w:rPr>
        <w:t>Section 10(f)(i)</w:t>
      </w:r>
      <w:r>
        <w:rPr>
          <w:rFonts w:ascii="Times New Roman" w:cs="Times New Roman" w:eastAsia="Times New Roman" w:hAnsi="Times New Roman"/>
          <w:sz w:val="20"/>
          <w:szCs w:val="20"/>
          <w:color w:val="auto"/>
        </w:rPr>
        <w:t xml:space="preserve"> in a manner consistent with this </w:t>
      </w:r>
      <w:r>
        <w:rPr>
          <w:rFonts w:ascii="Times New Roman" w:cs="Times New Roman" w:eastAsia="Times New Roman" w:hAnsi="Times New Roman"/>
          <w:sz w:val="20"/>
          <w:szCs w:val="20"/>
          <w:b w:val="1"/>
          <w:bCs w:val="1"/>
          <w:color w:val="auto"/>
        </w:rPr>
        <w:t>Section 10(i)</w:t>
      </w:r>
      <w:r>
        <w:rPr>
          <w:rFonts w:ascii="Times New Roman" w:cs="Times New Roman" w:eastAsia="Times New Roman" w:hAnsi="Times New Roman"/>
          <w:sz w:val="20"/>
          <w:szCs w:val="20"/>
          <w:color w:val="auto"/>
        </w:rPr>
        <w:t xml:space="preserve">; and (2) give effect to such other provisions, if any, as the Company reasonably determines are appropriate to preserve the economic interests of the Holders and to give effect to </w:t>
      </w:r>
      <w:r>
        <w:rPr>
          <w:rFonts w:ascii="Times New Roman" w:cs="Times New Roman" w:eastAsia="Times New Roman" w:hAnsi="Times New Roman"/>
          <w:sz w:val="20"/>
          <w:szCs w:val="20"/>
          <w:b w:val="1"/>
          <w:bCs w:val="1"/>
          <w:color w:val="auto"/>
        </w:rPr>
        <w:t>Section 10(i)</w:t>
      </w:r>
    </w:p>
    <w:p>
      <w:pPr>
        <w:spacing w:after="0" w:line="3" w:lineRule="exact"/>
        <w:rPr>
          <w:rFonts w:ascii="Times New Roman" w:cs="Times New Roman" w:eastAsia="Times New Roman" w:hAnsi="Times New Roman"/>
          <w:sz w:val="20"/>
          <w:szCs w:val="20"/>
          <w:color w:val="auto"/>
        </w:rPr>
      </w:pPr>
    </w:p>
    <w:p>
      <w:pPr>
        <w:jc w:val="both"/>
        <w:ind w:left="200" w:hanging="4"/>
        <w:spacing w:after="0" w:line="243" w:lineRule="auto"/>
        <w:tabs>
          <w:tab w:leader="none" w:pos="519"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Reference Property includes shares of stock or other securities or assets of a Person other than the Successor Person, then such other Person will also execute such supplemental instrument(s) and such supplemental instrument(s) will contain such additional provisions, if any, that the Company reasonably determines are appropriate to preserve the economic interests of Holders.</w:t>
      </w:r>
    </w:p>
    <w:p>
      <w:pPr>
        <w:spacing w:after="0" w:line="143" w:lineRule="exact"/>
        <w:rPr>
          <w:rFonts w:ascii="Times New Roman" w:cs="Times New Roman" w:eastAsia="Times New Roman" w:hAnsi="Times New Roman"/>
          <w:sz w:val="21"/>
          <w:szCs w:val="21"/>
          <w:b w:val="1"/>
          <w:bCs w:val="1"/>
          <w:color w:val="auto"/>
        </w:rPr>
      </w:pPr>
    </w:p>
    <w:p>
      <w:pPr>
        <w:ind w:left="200" w:firstLine="644"/>
        <w:spacing w:after="0" w:line="272" w:lineRule="auto"/>
        <w:tabs>
          <w:tab w:leader="none" w:pos="1496"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of Common Stock Change Event</w:t>
      </w:r>
      <w:r>
        <w:rPr>
          <w:rFonts w:ascii="Times New Roman" w:cs="Times New Roman" w:eastAsia="Times New Roman" w:hAnsi="Times New Roman"/>
          <w:sz w:val="21"/>
          <w:szCs w:val="21"/>
          <w:color w:val="auto"/>
        </w:rPr>
        <w:t>. The Company will provide notice of each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Stock Change Event to Holders no later than the effective date of the Common Stock Change Event.</w:t>
      </w:r>
    </w:p>
    <w:p>
      <w:pPr>
        <w:spacing w:after="0" w:line="127" w:lineRule="exact"/>
        <w:rPr>
          <w:rFonts w:ascii="Times New Roman" w:cs="Times New Roman" w:eastAsia="Times New Roman" w:hAnsi="Times New Roman"/>
          <w:sz w:val="21"/>
          <w:szCs w:val="21"/>
          <w:color w:val="auto"/>
        </w:rPr>
      </w:pPr>
    </w:p>
    <w:p>
      <w:pPr>
        <w:jc w:val="both"/>
        <w:ind w:left="-460" w:firstLine="656"/>
        <w:spacing w:after="0" w:line="243" w:lineRule="auto"/>
        <w:tabs>
          <w:tab w:leader="none" w:pos="836"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Limitation on Share Issuances. </w:t>
      </w:r>
      <w:r>
        <w:rPr>
          <w:rFonts w:ascii="Times New Roman" w:cs="Times New Roman" w:eastAsia="Times New Roman" w:hAnsi="Times New Roman"/>
          <w:sz w:val="21"/>
          <w:szCs w:val="21"/>
          <w:color w:val="auto"/>
        </w:rPr>
        <w:t>In no event shall the number of shares of Common Stock issuable upon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conversion of the Convertible Preferred Stock exceed the Share Cap unless the Requisite Stockholder Approval has been obtained or the Share Cap Fall Away has occurred. If at any time the number of shares of Common Stock issuable upon conversion of the Convertible Preferred Stock, together with the shares of Common Stock previously issued upon conversion of the Convertible Preferred Stock, exceeds the Share Cap, unless the Share Cap Fall Away has occurred, the Company will use its reasonable best efforts to obtain the Requisite Stockholder Approval, including by seeking such approval, if not previously obtained, at each future regular annual meeting of its stockholders and endorsing its approval in the related proxy materials. The Company will promptly notify the Holders if the Requisite Stockholder Approval is obtained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If, prior to the receipt of the Requisite Stockholder Approval or the Share Cap Fall Away, the number of shares of Common Stock issuable upon conversion of the Convertible Preferred Stock, together with the shares of Common Stock previously issued upon conversion of the Convertible Preferred Stock, would exceed the Share Cap, each Holder shall be entitled to convert up to a number of shares of Convertible Preferred Stock that are convertible into its pro rata amount of such Share Cap, calculated based on the number of shares of Convertible Preferred Stock held by each such Holder.</w:t>
      </w:r>
    </w:p>
    <w:p>
      <w:pPr>
        <w:spacing w:after="0" w:line="156"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1"/>
          <w:szCs w:val="21"/>
          <w:color w:val="auto"/>
        </w:rPr>
        <w:t>Section 11.</w:t>
      </w:r>
      <w:r>
        <w:rPr>
          <w:sz w:val="20"/>
          <w:szCs w:val="20"/>
          <w:color w:val="auto"/>
        </w:rPr>
        <w:tab/>
      </w:r>
      <w:r>
        <w:rPr>
          <w:rFonts w:ascii="Times New Roman" w:cs="Times New Roman" w:eastAsia="Times New Roman" w:hAnsi="Times New Roman"/>
          <w:sz w:val="20"/>
          <w:szCs w:val="20"/>
          <w:color w:val="auto"/>
        </w:rPr>
        <w:t>CERTAIN PROVISIONS RELATING TO THE ISSUANCE OF COMMON STOCK.</w:t>
      </w:r>
    </w:p>
    <w:p>
      <w:pPr>
        <w:spacing w:after="0" w:line="175" w:lineRule="exact"/>
        <w:rPr>
          <w:sz w:val="20"/>
          <w:szCs w:val="20"/>
          <w:color w:val="auto"/>
        </w:rPr>
      </w:pPr>
    </w:p>
    <w:p>
      <w:pPr>
        <w:jc w:val="both"/>
        <w:ind w:left="-460" w:firstLine="656"/>
        <w:spacing w:after="0" w:line="247" w:lineRule="auto"/>
        <w:tabs>
          <w:tab w:leader="none" w:pos="83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Equitable Adjustments to Prices</w:t>
      </w:r>
      <w:r>
        <w:rPr>
          <w:rFonts w:ascii="Times New Roman" w:cs="Times New Roman" w:eastAsia="Times New Roman" w:hAnsi="Times New Roman"/>
          <w:sz w:val="21"/>
          <w:szCs w:val="21"/>
          <w:color w:val="auto"/>
        </w:rPr>
        <w:t>. Whenever this Certificate of Designations requires the Company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calculate the average of the Last Reported Sale Prices, or any function thereof, over a period of multiple days (including to calculate an adjustment to the Conversion Rate), the Company will make appropriate adjustments, if any, to those calculations to account for any adjustment to the Conversion Rate pursuant to </w:t>
      </w:r>
      <w:r>
        <w:rPr>
          <w:rFonts w:ascii="Times New Roman" w:cs="Times New Roman" w:eastAsia="Times New Roman" w:hAnsi="Times New Roman"/>
          <w:sz w:val="21"/>
          <w:szCs w:val="21"/>
          <w:b w:val="1"/>
          <w:bCs w:val="1"/>
          <w:color w:val="auto"/>
        </w:rPr>
        <w:t>Section 10(f)(i)</w:t>
      </w:r>
      <w:r>
        <w:rPr>
          <w:rFonts w:ascii="Times New Roman" w:cs="Times New Roman" w:eastAsia="Times New Roman" w:hAnsi="Times New Roman"/>
          <w:sz w:val="21"/>
          <w:szCs w:val="21"/>
          <w:color w:val="auto"/>
        </w:rPr>
        <w:t xml:space="preserve"> that becomes effective, or any event requiring such an adjustment to the Conversion Rate where the Ex-Dividend Date, effective date or Expiration Date, as applicable, of such event occurs, at any time during such period.</w:t>
      </w:r>
    </w:p>
    <w:p>
      <w:pPr>
        <w:spacing w:after="0" w:line="155" w:lineRule="exact"/>
        <w:rPr>
          <w:rFonts w:ascii="Times New Roman" w:cs="Times New Roman" w:eastAsia="Times New Roman" w:hAnsi="Times New Roman"/>
          <w:sz w:val="21"/>
          <w:szCs w:val="21"/>
          <w:color w:val="auto"/>
        </w:rPr>
      </w:pPr>
    </w:p>
    <w:p>
      <w:pPr>
        <w:ind w:left="840" w:hanging="644"/>
        <w:spacing w:after="0"/>
        <w:tabs>
          <w:tab w:leader="none" w:pos="84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Reservation of Shares of Common Stock</w:t>
      </w:r>
      <w:r>
        <w:rPr>
          <w:rFonts w:ascii="Times New Roman" w:cs="Times New Roman" w:eastAsia="Times New Roman" w:hAnsi="Times New Roman"/>
          <w:sz w:val="21"/>
          <w:szCs w:val="21"/>
          <w:color w:val="auto"/>
        </w:rPr>
        <w:t>. The Company will reserve, out of its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0" w:lineRule="exact"/>
        <w:rPr>
          <w:rFonts w:ascii="Times New Roman" w:cs="Times New Roman" w:eastAsia="Times New Roman" w:hAnsi="Times New Roman"/>
          <w:sz w:val="21"/>
          <w:szCs w:val="21"/>
          <w:color w:val="auto"/>
        </w:rPr>
      </w:pPr>
    </w:p>
    <w:p>
      <w:pPr>
        <w:ind w:left="4400" w:hanging="130"/>
        <w:spacing w:after="0"/>
        <w:tabs>
          <w:tab w:leader="none" w:pos="44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1"/>
          <w:szCs w:val="21"/>
          <w:color w:val="auto"/>
        </w:rPr>
        <w:t>authorized, unreserved and not outstanding shares of Common Stock, for delivery upon conversion of the Convertible Preferred Stock, a number of shares of Common Stock that would be sufficient to settle the conversion of all shares of Convertible Preferred Stock then outstanding, if any. To the extent the Company delivers shares of Common Stock held in the Company’s treasury in settlement of any obligation under this Certificate of Designations to deliver shares of Common Stock, each reference in this Certificate of Designations to the issuance of shares of Common Stock in connection therewith will be deemed to include such delivery.</w:t>
      </w:r>
    </w:p>
    <w:p>
      <w:pPr>
        <w:spacing w:after="0" w:line="126" w:lineRule="exact"/>
        <w:rPr>
          <w:sz w:val="20"/>
          <w:szCs w:val="20"/>
          <w:color w:val="auto"/>
        </w:rPr>
      </w:pPr>
    </w:p>
    <w:p>
      <w:pPr>
        <w:jc w:val="both"/>
        <w:ind w:firstLine="656"/>
        <w:spacing w:after="0" w:line="236"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Shares of Common Stock</w:t>
      </w:r>
      <w:r>
        <w:rPr>
          <w:rFonts w:ascii="Times New Roman" w:cs="Times New Roman" w:eastAsia="Times New Roman" w:hAnsi="Times New Roman"/>
          <w:sz w:val="22"/>
          <w:szCs w:val="22"/>
          <w:color w:val="auto"/>
        </w:rPr>
        <w:t>. Each share of Common Stock delivered upon conversion of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Convertible Preferred Stock of any Holder will be a newly issued or treasury share and will be duly and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Company will cause each such share of Common Stock, when so delivered, to be admitted for listing on such exchange or quotation on such system.</w:t>
      </w:r>
    </w:p>
    <w:p>
      <w:pPr>
        <w:spacing w:after="0" w:line="148"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Upon Issuance of Common Stock</w:t>
      </w:r>
      <w:r>
        <w:rPr>
          <w:rFonts w:ascii="Times New Roman" w:cs="Times New Roman" w:eastAsia="Times New Roman" w:hAnsi="Times New Roman"/>
          <w:sz w:val="22"/>
          <w:szCs w:val="22"/>
          <w:color w:val="auto"/>
        </w:rPr>
        <w:t>. The Company will pay any documentary, stamp or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issue or transfer tax or duty due on the issue of any shares of Common Stock upon conversion of the Convertible Preferred Stock of any Holder, except any tax or duty that is due because such Holder requests those shares to be registered in a name other than such Holder’s name.</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Section 12. NO PREEMPTIVE RIGHTS. Without limiting the rights of any Holder set forth in this Certificate of Designations (including in connection with the issuance of Common Stock or Reference Property upon conversion of the Convertible Preferred Stock) or the Investment Agreement, the Holders of the Convertible Preferred Stock will not have any preemptive rights to subscribe for or purchase any of the Company’s securities.</w:t>
      </w:r>
    </w:p>
    <w:p>
      <w:pPr>
        <w:spacing w:after="0" w:line="12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13. TAX TREATMENT. Notwithstanding anything to the contrary in this Certificate of Designations, for U.S. federal and other applicable state and local income tax purposes, it is intended that the Convertible Preferred Stock will not be treated as “preferred stock” within the meaning of Section 305(b)(4) of Code and Treasury Regulations Section 1.305-5(a). The Company will, and will cause its Subsidiaries and agents to, report consistently with, and take no positions or actions inconsistent with, the foregoing treatment (including by way of withholding) unless otherwise required by a change in law, a determination within the meaning of Section 1313(a) of the Code, or any other settlement on audit that is binding on the Company. Each Holder agrees to provide, at the time it becomes a party hereto and thereinafter upon reasonable request or as required under applicable law (including if such form becomes inaccurate, expired, or obsolete), a valid and duly completed Internal Revenue Service Form W-9.</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CALCULATIONS.</w:t>
      </w:r>
    </w:p>
    <w:p>
      <w:pPr>
        <w:spacing w:after="0" w:line="162" w:lineRule="exact"/>
        <w:rPr>
          <w:sz w:val="20"/>
          <w:szCs w:val="20"/>
          <w:color w:val="auto"/>
        </w:rPr>
      </w:pPr>
    </w:p>
    <w:p>
      <w:pPr>
        <w:jc w:val="both"/>
        <w:ind w:firstLine="656"/>
        <w:spacing w:after="0" w:line="246" w:lineRule="auto"/>
        <w:tabs>
          <w:tab w:leader="none" w:pos="12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Responsibility; Schedule of Calculations</w:t>
      </w:r>
      <w:r>
        <w:rPr>
          <w:rFonts w:ascii="Times New Roman" w:cs="Times New Roman" w:eastAsia="Times New Roman" w:hAnsi="Times New Roman"/>
          <w:sz w:val="22"/>
          <w:szCs w:val="22"/>
          <w:color w:val="auto"/>
        </w:rPr>
        <w:t>. Except as otherwise provided in this Certificate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Designations, the Company will be responsible for making all calculations called for under this Certificate of Designations or the Convertible Preferred Stock, including determinations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1" w:name="page152"/>
    <w:bookmarkEnd w:id="151"/>
    <w:p>
      <w:pPr>
        <w:jc w:val="both"/>
        <w:spacing w:after="0" w:line="239" w:lineRule="auto"/>
        <w:rPr>
          <w:sz w:val="20"/>
          <w:szCs w:val="20"/>
          <w:color w:val="auto"/>
        </w:rPr>
      </w:pPr>
      <w:r>
        <w:rPr>
          <w:rFonts w:ascii="Times New Roman" w:cs="Times New Roman" w:eastAsia="Times New Roman" w:hAnsi="Times New Roman"/>
          <w:sz w:val="22"/>
          <w:szCs w:val="22"/>
          <w:color w:val="auto"/>
        </w:rPr>
        <w:t>of the Conversion Rate, the Last Reported Sale Prices and accumulated Regular Dividends on the Convertible Preferred Stock. The Company will make all calculations in good faith, and, absent manifest error, its calculations will be final and binding on all Holders. The Company will provide a schedule of such calculations to any Holder upon written request.</w:t>
      </w:r>
    </w:p>
    <w:p>
      <w:pPr>
        <w:spacing w:after="0" w:line="203" w:lineRule="exact"/>
        <w:rPr>
          <w:sz w:val="20"/>
          <w:szCs w:val="20"/>
          <w:color w:val="auto"/>
        </w:rPr>
      </w:pPr>
    </w:p>
    <w:p>
      <w:pPr>
        <w:jc w:val="both"/>
        <w:ind w:firstLine="656"/>
        <w:spacing w:after="0" w:line="241"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 Aggregated for Each Holder</w:t>
      </w:r>
      <w:r>
        <w:rPr>
          <w:rFonts w:ascii="Times New Roman" w:cs="Times New Roman" w:eastAsia="Times New Roman" w:hAnsi="Times New Roman"/>
          <w:sz w:val="22"/>
          <w:szCs w:val="22"/>
          <w:color w:val="auto"/>
        </w:rPr>
        <w:t>. The composition of the Conversion Consideration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conversion of the Convertible Preferred Stock of any Holder will be computed based on the total number of shares of Convertible Preferred Stock of such Holder being converted with the same Conversion Date. For these purposes, any cash amounts due to such Holder in respect thereof will be rounded to the nearest cent.</w:t>
      </w:r>
    </w:p>
    <w:p>
      <w:pPr>
        <w:spacing w:after="0" w:line="20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Section 15. NOTICES. The Company will send all notices or communications to Holders pursuant to this Certificate of Designations in writing and delivered personally, by facsimile or e-mail (with confirmation of receipt from the recipient, in the case of e-mail), or sent by a nationally recognized overnight courier service to the Holders’ respective addresses shown on the Register. Notwithstanding anything in the Certificate of Designations to the contrary, any defect in the delivery of any such notice or communication will not impair or affect the validity of such notice or communication and the failure to give any such notice or communication to all the Holders will not impair or affect the validity of such notice or communication to whom such notice is sent.</w:t>
      </w:r>
    </w:p>
    <w:p>
      <w:pPr>
        <w:spacing w:after="0" w:line="19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16. LEGALLY AVAILABLE FUNDS. Without limiting the rights of any Holder (including pursuant to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if the Company does not have sufficient funds legally available to fully pay any cash amount otherwise due on the Convertible Preferred Stock, then the Company will pay the deficiency promptly after funds thereafter become legally available therefor.</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Section 17. NO OTHER RIGHTS. The Convertible Preferred Stock will have no rights, preferences or voting powers except as provided in this Certificate of Designations or the Certificate of Incorporation or as required by applicable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2" w:name="page153"/>
    <w:bookmarkEnd w:id="152"/>
    <w:p>
      <w:pPr>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Amended and Restated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Designations to be duly executed as of the date first written above.</w:t>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00" w:lineRule="exact"/>
        <w:rPr>
          <w:sz w:val="20"/>
          <w:szCs w:val="20"/>
          <w:color w:val="auto"/>
        </w:rPr>
      </w:pPr>
    </w:p>
    <w:p>
      <w:pPr>
        <w:spacing w:after="0" w:line="27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 /s/ Hunter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10795</wp:posOffset>
            </wp:positionV>
            <wp:extent cx="2905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22"/>
          <w:szCs w:val="22"/>
          <w:color w:val="auto"/>
        </w:rPr>
        <w:t>Name: Hunter Smith</w:t>
      </w:r>
    </w:p>
    <w:p>
      <w:pPr>
        <w:ind w:left="5340"/>
        <w:spacing w:after="0"/>
        <w:tabs>
          <w:tab w:leader="none" w:pos="5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1058545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540" w:type="dxa"/>
            <w:vAlign w:val="bottom"/>
            <w:gridSpan w:val="3"/>
          </w:tcPr>
          <w:p>
            <w:pPr>
              <w:jc w:val="center"/>
              <w:ind w:right="1912"/>
              <w:spacing w:after="0"/>
              <w:rPr>
                <w:sz w:val="20"/>
                <w:szCs w:val="20"/>
                <w:color w:val="auto"/>
              </w:rPr>
            </w:pPr>
            <w:r>
              <w:rPr>
                <w:rFonts w:ascii="Times New Roman" w:cs="Times New Roman" w:eastAsia="Times New Roman" w:hAnsi="Times New Roman"/>
                <w:sz w:val="22"/>
                <w:szCs w:val="22"/>
                <w:color w:val="auto"/>
                <w:w w:val="97"/>
              </w:rPr>
              <w:t>FORM OF CONVERTIBLE PREFERRED STOCK</w:t>
            </w:r>
          </w:p>
        </w:tc>
        <w:tc>
          <w:tcPr>
            <w:tcW w:w="680" w:type="dxa"/>
            <w:vAlign w:val="bottom"/>
          </w:tcPr>
          <w:p>
            <w:pPr>
              <w:spacing w:after="0"/>
              <w:rPr>
                <w:sz w:val="22"/>
                <w:szCs w:val="22"/>
                <w:color w:val="auto"/>
              </w:rPr>
            </w:pPr>
          </w:p>
        </w:tc>
      </w:tr>
      <w:tr>
        <w:trPr>
          <w:trHeight w:val="518"/>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Insert Restricted Stock Legend, if applicable</w:t>
            </w:r>
            <w:r>
              <w:rPr>
                <w:rFonts w:ascii="Times New Roman" w:cs="Times New Roman" w:eastAsia="Times New Roman" w:hAnsi="Times New Roman"/>
                <w:sz w:val="22"/>
                <w:szCs w:val="22"/>
                <w:color w:val="auto"/>
                <w:w w:val="98"/>
              </w:rPr>
              <w:t>]</w:t>
            </w:r>
          </w:p>
        </w:tc>
        <w:tc>
          <w:tcPr>
            <w:tcW w:w="20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r>
      <w:tr>
        <w:trPr>
          <w:trHeight w:val="486"/>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gridSpan w:val="3"/>
          </w:tcPr>
          <w:p>
            <w:pPr>
              <w:jc w:val="center"/>
              <w:ind w:right="1912"/>
              <w:spacing w:after="0"/>
              <w:rPr>
                <w:sz w:val="20"/>
                <w:szCs w:val="20"/>
                <w:color w:val="auto"/>
              </w:rPr>
            </w:pPr>
            <w:r>
              <w:rPr>
                <w:rFonts w:ascii="Times New Roman" w:cs="Times New Roman" w:eastAsia="Times New Roman" w:hAnsi="Times New Roman"/>
                <w:sz w:val="22"/>
                <w:szCs w:val="22"/>
                <w:b w:val="1"/>
                <w:bCs w:val="1"/>
                <w:color w:val="auto"/>
                <w:w w:val="97"/>
              </w:rPr>
              <w:t>Rhythm Pharmaceuticals, Inc.</w:t>
            </w:r>
          </w:p>
        </w:tc>
        <w:tc>
          <w:tcPr>
            <w:tcW w:w="680" w:type="dxa"/>
            <w:vAlign w:val="bottom"/>
          </w:tcPr>
          <w:p>
            <w:pPr>
              <w:spacing w:after="0"/>
              <w:rPr>
                <w:sz w:val="24"/>
                <w:szCs w:val="24"/>
                <w:color w:val="auto"/>
              </w:rPr>
            </w:pPr>
          </w:p>
        </w:tc>
      </w:tr>
      <w:tr>
        <w:trPr>
          <w:trHeight w:val="486"/>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gridSpan w:val="3"/>
          </w:tcPr>
          <w:p>
            <w:pPr>
              <w:jc w:val="center"/>
              <w:ind w:right="1892"/>
              <w:spacing w:after="0"/>
              <w:rPr>
                <w:sz w:val="20"/>
                <w:szCs w:val="20"/>
                <w:color w:val="auto"/>
              </w:rPr>
            </w:pPr>
            <w:r>
              <w:rPr>
                <w:rFonts w:ascii="Times New Roman" w:cs="Times New Roman" w:eastAsia="Times New Roman" w:hAnsi="Times New Roman"/>
                <w:sz w:val="22"/>
                <w:szCs w:val="22"/>
                <w:b w:val="1"/>
                <w:bCs w:val="1"/>
                <w:color w:val="auto"/>
                <w:w w:val="97"/>
              </w:rPr>
              <w:t>Series A Convertible Preferred Stock</w:t>
            </w:r>
          </w:p>
        </w:tc>
        <w:tc>
          <w:tcPr>
            <w:tcW w:w="680" w:type="dxa"/>
            <w:vAlign w:val="bottom"/>
          </w:tcPr>
          <w:p>
            <w:pPr>
              <w:spacing w:after="0"/>
              <w:rPr>
                <w:sz w:val="24"/>
                <w:szCs w:val="24"/>
                <w:color w:val="auto"/>
              </w:rPr>
            </w:pPr>
          </w:p>
        </w:tc>
      </w:tr>
      <w:tr>
        <w:trPr>
          <w:trHeight w:val="434"/>
        </w:trPr>
        <w:tc>
          <w:tcPr>
            <w:tcW w:w="19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Certificate No.[   ]</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66"/>
        </w:trPr>
        <w:tc>
          <w:tcPr>
            <w:tcW w:w="868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Rhythm Pharmaceuticals,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certifies that [</w:t>
            </w:r>
          </w:p>
        </w:tc>
        <w:tc>
          <w:tcPr>
            <w:tcW w:w="560" w:type="dxa"/>
            <w:vAlign w:val="bottom"/>
            <w:tcBorders>
              <w:bottom w:val="single" w:sz="8" w:color="auto"/>
            </w:tcBorders>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is the</w:t>
            </w:r>
          </w:p>
        </w:tc>
      </w:tr>
      <w:tr>
        <w:trPr>
          <w:trHeight w:val="223"/>
        </w:trPr>
        <w:tc>
          <w:tcPr>
            <w:tcW w:w="19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registered owner of [</w:t>
            </w:r>
          </w:p>
        </w:tc>
        <w:tc>
          <w:tcPr>
            <w:tcW w:w="500" w:type="dxa"/>
            <w:vAlign w:val="bottom"/>
            <w:tcBorders>
              <w:bottom w:val="single" w:sz="8" w:color="auto"/>
            </w:tcBorders>
          </w:tcPr>
          <w:p>
            <w:pPr>
              <w:spacing w:after="0"/>
              <w:rPr>
                <w:sz w:val="19"/>
                <w:szCs w:val="19"/>
                <w:color w:val="auto"/>
              </w:rPr>
            </w:pPr>
          </w:p>
        </w:tc>
        <w:tc>
          <w:tcPr>
            <w:tcW w:w="628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 shares of the Company’s Series A Convertible Preferred Stock (the</w:t>
            </w:r>
          </w:p>
        </w:tc>
        <w:tc>
          <w:tcPr>
            <w:tcW w:w="1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w:t>
            </w:r>
          </w:p>
        </w:tc>
      </w:tr>
    </w:tbl>
    <w:p>
      <w:pPr>
        <w:jc w:val="both"/>
        <w:spacing w:after="0" w:line="239" w:lineRule="auto"/>
        <w:rPr>
          <w:sz w:val="20"/>
          <w:szCs w:val="20"/>
          <w:color w:val="auto"/>
        </w:rPr>
      </w:pP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represented by this certificate (this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The special rights, preferences and voting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of the Convertible Preferred Stock are set forth in the Certificate of Designations of the Company establishing the Convertible Preferred Stock (the “</w:t>
      </w:r>
      <w:r>
        <w:rPr>
          <w:rFonts w:ascii="Times New Roman" w:cs="Times New Roman" w:eastAsia="Times New Roman" w:hAnsi="Times New Roman"/>
          <w:sz w:val="22"/>
          <w:szCs w:val="22"/>
          <w:b w:val="1"/>
          <w:bCs w:val="1"/>
          <w:color w:val="auto"/>
        </w:rPr>
        <w:t>Certificate of Designations</w:t>
      </w:r>
      <w:r>
        <w:rPr>
          <w:rFonts w:ascii="Times New Roman" w:cs="Times New Roman" w:eastAsia="Times New Roman" w:hAnsi="Times New Roman"/>
          <w:sz w:val="22"/>
          <w:szCs w:val="22"/>
          <w:color w:val="auto"/>
        </w:rPr>
        <w:t>”). Capitalized terms used in this Certificate without definition have the respective meanings ascribed to them in the Certificate of Designations.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Additional terms of this Certificate are set forth on the other side of this Certificate.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54" w:name="page155"/>
    <w:bookmarkEnd w:id="154"/>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Rhythm Pharmaceuticals, Inc. has caused this instrument to be duly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set forth below.</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33"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58889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22"/>
          <w:szCs w:val="22"/>
          <w:color w:val="auto"/>
        </w:rPr>
        <w:t>Name:</w:t>
      </w:r>
    </w:p>
    <w:p>
      <w:pPr>
        <w:ind w:left="560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58889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22"/>
          <w:szCs w:val="22"/>
          <w:color w:val="auto"/>
        </w:rPr>
        <w:t>Name:</w:t>
      </w:r>
    </w:p>
    <w:p>
      <w:pPr>
        <w:ind w:left="56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22"/>
          <w:szCs w:val="22"/>
          <w:color w:val="auto"/>
        </w:rPr>
        <w:t>TRANSFER AGENT’S COUNTERSIGNATURE</w:t>
      </w: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legal name of Transfer Agent</w:t>
      </w:r>
      <w:r>
        <w:rPr>
          <w:rFonts w:ascii="Times New Roman" w:cs="Times New Roman" w:eastAsia="Times New Roman" w:hAnsi="Times New Roman"/>
          <w:sz w:val="22"/>
          <w:szCs w:val="22"/>
          <w:color w:val="auto"/>
        </w:rPr>
        <w:t>], as Transfer Agent, certifies that this Certificate represents shares of Convertible Preferred Stock referred to in the within-mentioned Certificate of Designations.</w:t>
      </w:r>
    </w:p>
    <w:p>
      <w:pPr>
        <w:spacing w:after="0" w:line="181"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58889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2"/>
          <w:szCs w:val="22"/>
          <w:b w:val="1"/>
          <w:bCs w:val="1"/>
          <w:color w:val="auto"/>
        </w:rPr>
        <w:t>RHYTHM PHARMACEUTICALS,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A Convertible Preferred Stock</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Certificate represents duly authorized, issued and outstanding shares of Convertible Preferred Stock. Certain terms of the Convertible Preferred Stock are summarized below. Notwithstanding anything to the contrary in this Certificate, to the extent that any provision of this Certificate conflicts with the provisions of the Certificate of Designations or the Certificate of Incorporation, the provisions of the of the Certificate of Designations or the Certificate of Incorporation, as applicable, will control.</w:t>
      </w:r>
    </w:p>
    <w:p>
      <w:pPr>
        <w:spacing w:after="0" w:line="200" w:lineRule="exact"/>
        <w:rPr>
          <w:sz w:val="20"/>
          <w:szCs w:val="20"/>
          <w:color w:val="auto"/>
        </w:rPr>
      </w:pPr>
    </w:p>
    <w:p>
      <w:pPr>
        <w:ind w:right="20" w:firstLine="656"/>
        <w:spacing w:after="0" w:line="262"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the Convertible Preferred Stock represented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will be paid in the manner set forth in Section 3(d) of the Certificate of Designations.</w:t>
      </w:r>
    </w:p>
    <w:p>
      <w:pPr>
        <w:spacing w:after="0" w:line="176"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Person in whose name this Certificate is registered will be treated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owner of the Convertible Preferred Stock represented by this Certificate for all purposes, subject to Section 3(k) of the Certificate of Designations.</w:t>
      </w:r>
    </w:p>
    <w:p>
      <w:pPr>
        <w:spacing w:after="0" w:line="194"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Denominations; Transfers and Exchanges</w:t>
      </w:r>
      <w:r>
        <w:rPr>
          <w:rFonts w:ascii="Times New Roman" w:cs="Times New Roman" w:eastAsia="Times New Roman" w:hAnsi="Times New Roman"/>
          <w:sz w:val="22"/>
          <w:szCs w:val="22"/>
          <w:color w:val="auto"/>
        </w:rPr>
        <w:t>. All shares of Convertible Preferred Stock will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form and in denominations equal to any whole number of shares. Subject to the terms of the Certificate of Designations, the Holder of the Convertible Preferred Stock represented by this Certificate may transfer or exchange this Convertible Preferred Stock by presenting this Certificate to the Company and delivering any required documentation or other materials.</w:t>
      </w:r>
    </w:p>
    <w:p>
      <w:pPr>
        <w:spacing w:after="0" w:line="203"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Dividends on the Convertible Preferred Stock will accumulate and will be paid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and subject to the terms, set forth in Section 5 of the Certificate of Designations.</w:t>
      </w:r>
    </w:p>
    <w:p>
      <w:pPr>
        <w:spacing w:after="0" w:line="176"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Liquidation Preference</w:t>
      </w:r>
      <w:r>
        <w:rPr>
          <w:rFonts w:ascii="Times New Roman" w:cs="Times New Roman" w:eastAsia="Times New Roman" w:hAnsi="Times New Roman"/>
          <w:sz w:val="22"/>
          <w:szCs w:val="22"/>
          <w:color w:val="auto"/>
        </w:rPr>
        <w:t>. The Liquidation Preference per share of Convertible Preferred Stock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initially equal to the Initial Liquidation Preference per share of Convertible Preferred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Liquidation Preference is subject to adjustment pursuant to Section 5(a)(ii)(1) of the Certificate of Designations. The rights of Holders upon the Company’s liquidation, dissolution or winding up are set forth in Section 6 of the Certificate of Designations.</w:t>
      </w:r>
    </w:p>
    <w:p>
      <w:pPr>
        <w:spacing w:after="0" w:line="20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the Company to Redeem the Convertible Preferred Stock</w:t>
      </w:r>
      <w:r>
        <w:rPr>
          <w:rFonts w:ascii="Times New Roman" w:cs="Times New Roman" w:eastAsia="Times New Roman" w:hAnsi="Times New Roman"/>
          <w:sz w:val="22"/>
          <w:szCs w:val="22"/>
          <w:color w:val="auto"/>
        </w:rPr>
        <w:t>. The Company will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redeem the Convertible Preferred Stock in the manner, and subject to the terms, set forth in Section 7 of the Certificate of Designations.</w:t>
      </w:r>
    </w:p>
    <w:p>
      <w:pPr>
        <w:spacing w:after="0" w:line="194"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Holders of the Convertible Preferred Stock have the voting rights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 of the Certificate of Designations.</w:t>
      </w:r>
    </w:p>
    <w:p>
      <w:pPr>
        <w:spacing w:after="0" w:line="176" w:lineRule="exact"/>
        <w:rPr>
          <w:rFonts w:ascii="Times New Roman" w:cs="Times New Roman" w:eastAsia="Times New Roman" w:hAnsi="Times New Roman"/>
          <w:sz w:val="22"/>
          <w:szCs w:val="22"/>
          <w:color w:val="auto"/>
        </w:rPr>
      </w:pPr>
    </w:p>
    <w:p>
      <w:pPr>
        <w:ind w:right="20" w:firstLine="656"/>
        <w:spacing w:after="0" w:line="262"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The Convertible Preferred Stock will be convertible into Conversion Consideration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manner, and subject to the terms, set forth in Section 10 of the Certificate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Designations.</w:t>
      </w:r>
    </w:p>
    <w:p>
      <w:pPr>
        <w:spacing w:after="0" w:line="229" w:lineRule="exact"/>
        <w:rPr>
          <w:sz w:val="20"/>
          <w:szCs w:val="20"/>
          <w:color w:val="auto"/>
        </w:rPr>
      </w:pPr>
    </w:p>
    <w:p>
      <w:pPr>
        <w:ind w:firstLine="656"/>
        <w:spacing w:after="0" w:line="262"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Countersignature</w:t>
      </w:r>
      <w:r>
        <w:rPr>
          <w:rFonts w:ascii="Times New Roman" w:cs="Times New Roman" w:eastAsia="Times New Roman" w:hAnsi="Times New Roman"/>
          <w:sz w:val="22"/>
          <w:szCs w:val="22"/>
          <w:color w:val="auto"/>
        </w:rPr>
        <w:t>. The Convertible Preferred Stock represented by this Certificate will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until this Certificate is countersigned by the Transfer Agent.</w:t>
      </w:r>
    </w:p>
    <w:p>
      <w:pPr>
        <w:spacing w:after="0" w:line="176"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TEN COM (tenants in common), TEN ENT (tenants by the entireties), JT TEN (joint tenants with right of survivorship and not as tenants in common), CUST (custodian), and U/G/M/A (Uniform Gift to Minors Act).</w:t>
      </w:r>
    </w:p>
    <w:p>
      <w:pPr>
        <w:spacing w:after="0" w:line="198" w:lineRule="exact"/>
        <w:rPr>
          <w:rFonts w:ascii="Times New Roman" w:cs="Times New Roman" w:eastAsia="Times New Roman" w:hAnsi="Times New Roman"/>
          <w:sz w:val="22"/>
          <w:szCs w:val="22"/>
          <w:color w:val="auto"/>
        </w:rPr>
      </w:pPr>
    </w:p>
    <w:p>
      <w:pPr>
        <w:ind w:left="4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To request a copy of the Certificate of Designations, which the Company will provide to any Holder at no charge, please send a written request to the following address: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222 Berkeley Street, 12th Floor</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Boston, MA 02116</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Series A Convertible Preferred Stock</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Subject to the terms of the Certificate of Designations, by executing and delivering this Conversion Notice, the undersigned Holder of the Convertible Preferred Stock identified below directs the Company to convert (check one):</w:t>
      </w:r>
    </w:p>
    <w:p>
      <w:pPr>
        <w:spacing w:after="0" w:line="173" w:lineRule="exact"/>
        <w:rPr>
          <w:sz w:val="20"/>
          <w:szCs w:val="20"/>
          <w:color w:val="auto"/>
        </w:rPr>
      </w:pPr>
    </w:p>
    <w:p>
      <w:pPr>
        <w:ind w:left="340" w:hanging="332"/>
        <w:spacing w:after="0"/>
        <w:tabs>
          <w:tab w:leader="none" w:pos="340" w:val="left"/>
        </w:tabs>
        <w:numPr>
          <w:ilvl w:val="0"/>
          <w:numId w:val="14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all of the shares of Convertible Preferred Stock</w:t>
      </w:r>
    </w:p>
    <w:p>
      <w:pPr>
        <w:spacing w:after="0" w:line="246" w:lineRule="exact"/>
        <w:rPr>
          <w:rFonts w:ascii="MS PGothic" w:cs="MS PGothic" w:eastAsia="MS PGothic" w:hAnsi="MS PGothic"/>
          <w:sz w:val="22"/>
          <w:szCs w:val="22"/>
          <w:color w:val="auto"/>
        </w:rPr>
      </w:pPr>
    </w:p>
    <w:p>
      <w:pPr>
        <w:ind w:left="1460" w:hanging="1452"/>
        <w:spacing w:after="0"/>
        <w:tabs>
          <w:tab w:leader="none" w:pos="1460" w:val="left"/>
        </w:tabs>
        <w:numPr>
          <w:ilvl w:val="0"/>
          <w:numId w:val="14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rPr>
        <w:t>shares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7200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38"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identified by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-13970</wp:posOffset>
            </wp:positionV>
            <wp:extent cx="7200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10795</wp:posOffset>
            </wp:positionV>
            <wp:extent cx="58807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10795</wp:posOffset>
            </wp:positionV>
            <wp:extent cx="27946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22"/>
          <w:szCs w:val="22"/>
          <w:color w:val="auto"/>
        </w:rPr>
        <w:t>Name:</w:t>
      </w:r>
    </w:p>
    <w:p>
      <w:pPr>
        <w:ind w:left="552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90"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-151130</wp:posOffset>
            </wp:positionV>
            <wp:extent cx="30689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jc w:val="center"/>
        <w:ind w:left="506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10795</wp:posOffset>
            </wp:positionV>
            <wp:extent cx="27946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568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2"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 whole number.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REPURCHASE NOTICE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A Convertible Preferred Stock</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Subject to the terms of the Certificate of Designations, by executing and delivering this Change of Control Repurchase Notice, the undersigned Holder of the Convertible Preferred Stock identified below is exercising its Change of Control Repurchase Right with respect to (check one):</w:t>
      </w:r>
    </w:p>
    <w:p>
      <w:pPr>
        <w:spacing w:after="0" w:line="173" w:lineRule="exact"/>
        <w:rPr>
          <w:sz w:val="20"/>
          <w:szCs w:val="20"/>
          <w:color w:val="auto"/>
        </w:rPr>
      </w:pPr>
    </w:p>
    <w:p>
      <w:pPr>
        <w:ind w:left="340" w:hanging="332"/>
        <w:spacing w:after="0"/>
        <w:tabs>
          <w:tab w:leader="none" w:pos="340" w:val="left"/>
        </w:tabs>
        <w:numPr>
          <w:ilvl w:val="0"/>
          <w:numId w:val="14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all of the shares of Convertible Preferred Stock</w:t>
      </w:r>
    </w:p>
    <w:p>
      <w:pPr>
        <w:spacing w:after="0" w:line="246" w:lineRule="exact"/>
        <w:rPr>
          <w:rFonts w:ascii="MS PGothic" w:cs="MS PGothic" w:eastAsia="MS PGothic" w:hAnsi="MS PGothic"/>
          <w:sz w:val="22"/>
          <w:szCs w:val="22"/>
          <w:color w:val="auto"/>
        </w:rPr>
      </w:pPr>
    </w:p>
    <w:p>
      <w:pPr>
        <w:ind w:left="1460" w:hanging="1452"/>
        <w:spacing w:after="0"/>
        <w:tabs>
          <w:tab w:leader="none" w:pos="1460" w:val="left"/>
        </w:tabs>
        <w:numPr>
          <w:ilvl w:val="0"/>
          <w:numId w:val="143"/>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21"/>
          <w:szCs w:val="21"/>
          <w:color w:val="auto"/>
        </w:rPr>
        <w:t>shares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7200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38"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identified by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-13970</wp:posOffset>
            </wp:positionV>
            <wp:extent cx="7200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acknowledges that the Certificate identified above, duly endorsed for transfer, must be delivered to the Company before the Change of Control Repurchase Price will be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58889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10795</wp:posOffset>
            </wp:positionV>
            <wp:extent cx="2802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22"/>
          <w:szCs w:val="22"/>
          <w:color w:val="auto"/>
        </w:rPr>
        <w:t>Name:</w:t>
      </w:r>
    </w:p>
    <w:p>
      <w:pPr>
        <w:ind w:left="550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90"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-151130</wp:posOffset>
            </wp:positionV>
            <wp:extent cx="30772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jc w:val="center"/>
        <w:ind w:left="506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10795</wp:posOffset>
            </wp:positionV>
            <wp:extent cx="2802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218440</wp:posOffset>
            </wp:positionV>
            <wp:extent cx="15684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2"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 whole number.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STOCK LEGEND</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OFFER AND SALE OF THIS SECURITY AND THE SHARES OF COMMON STOCK ISSUABLE UPON CONVERSION OF THIS SECURITY HAVE NOT BEEN REGISTERED UNDER THE SECURITIES ACT OF 1933, AS AMENDED (THE “SECURITIES ACT”), AND THIS SECURITY AND SUCH SHARES MAY NOT BE OFFERED, SOLD OR OTHERWISE TRANSFERRED EXCEPT (A) PURSUANT TO A REGISTRATION STATEMENT THAT IS EFFECTIVE UNDER THE SECURITIES ACT; OR (B) PURSUANT TO AN EXEMPTION FROM, OR IN A TRANSACTION NOT SUBJECT TO, THE REGISTRATION REQUIREMENTS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61" w:name="page162"/>
    <w:bookmarkEnd w:id="1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Non-Employee Director Compensation Policy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non-employee director compensation policy, all non-employee directors will be paid an annual retainer fee of $50,000 and such additional fees as are set forth in the following table. All payments will be made quarterly in arrears.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Director</w:t>
            </w: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Annual Fee</w:t>
            </w:r>
          </w:p>
        </w:tc>
      </w:tr>
      <w:tr>
        <w:trPr>
          <w:trHeight w:val="209"/>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Director</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Non-Executive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audit committee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the audit committee (other than chairman)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compensation committee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the compensation committee (other than chairman)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governance and nominating committee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the governance and nominating committee (other than chairman)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-1116965</wp:posOffset>
            </wp:positionV>
            <wp:extent cx="1289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policy, each individual who is initially appointed or elected to the board of directors will be eligible to receive an option to purchase 34,000 shares of our common stock under the 2017 Equity Incentive Plan on the date he or she first becomes a non-employee director. These option grants will vest annually over a three-year period from the date of grant, subject to continued service as a non-employee director through that vesting date. In addition, on the date of the annual meeting of stockholders, each continuing non-employee director who has served on the board of directors for a minimum of six months will be eligible to receive an option grant to purchase 14,000 shares of our common stock and 3,000 restricted stock units, both of which will vest in full upon the earlier of the first anniversary of the date of grant or the date of the next annual meeting of stockholders. The exercise price for each of the option grants will be equal to the fair market value of our common stock on the date of grant. These new director grants and annual grants will be subject to approval by our board of directors at the time of grant. The share numbers set forth herein will be appropriately adjusted for any split or recapitalization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201930</wp:posOffset>
            </wp:positionV>
            <wp:extent cx="14141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RHYTHM PHARMACEUTICALS, INC.</w:t>
      </w:r>
    </w:p>
    <w:p>
      <w:pPr>
        <w:spacing w:after="0" w:line="1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2017 EQUITY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Agreement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This Performance Unit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6"/>
          <w:szCs w:val="26"/>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Rhythm Pharmaceuticals, Inc., a corporation organized under the laws of the State of Delaware (the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 </w:t>
      </w:r>
      <w:r>
        <w:rPr>
          <w:rFonts w:ascii="Times New Roman" w:cs="Times New Roman" w:eastAsia="Times New Roman" w:hAnsi="Times New Roman"/>
          <w:sz w:val="26"/>
          <w:szCs w:val="26"/>
          <w:color w:val="auto"/>
        </w:rPr>
        <w:t>●</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Capitalized terms used in this Agreement without definition shall have the respective meaning ascribed to such capitalized terms in the Rhythm Pharmaceuticals, Inc. 2017 Equity Incentive Plan (as the same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Grant of Performance Units</w:t>
      </w:r>
      <w:r>
        <w:rPr>
          <w:rFonts w:ascii="Times New Roman" w:cs="Times New Roman" w:eastAsia="Times New Roman" w:hAnsi="Times New Roman"/>
          <w:sz w:val="21"/>
          <w:szCs w:val="21"/>
          <w:color w:val="auto"/>
        </w:rPr>
        <w:t>. Subject to the terms and conditions set forth in this Agreement and</w:t>
      </w:r>
    </w:p>
    <w:p>
      <w:pPr>
        <w:spacing w:after="0" w:line="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 the Plan, the Company hereby grants the Participant [ </w:t>
      </w:r>
      <w:r>
        <w:rPr>
          <w:rFonts w:ascii="Times New Roman" w:cs="Times New Roman" w:eastAsia="Times New Roman" w:hAnsi="Times New Roman"/>
          <w:sz w:val="26"/>
          <w:szCs w:val="26"/>
          <w:color w:val="auto"/>
        </w:rPr>
        <w:t>●</w:t>
      </w:r>
      <w:r>
        <w:rPr>
          <w:rFonts w:ascii="Times New Roman" w:cs="Times New Roman" w:eastAsia="Times New Roman" w:hAnsi="Times New Roman"/>
          <w:sz w:val="22"/>
          <w:szCs w:val="22"/>
          <w:color w:val="auto"/>
        </w:rPr>
        <w:t xml:space="preserve"> ] Performance Units, subject to the restrictions set forth below and in the Plan (the “</w:t>
      </w:r>
      <w:r>
        <w:rPr>
          <w:rFonts w:ascii="Times New Roman" w:cs="Times New Roman" w:eastAsia="Times New Roman" w:hAnsi="Times New Roman"/>
          <w:sz w:val="22"/>
          <w:szCs w:val="22"/>
          <w:u w:val="single" w:color="auto"/>
          <w:color w:val="auto"/>
        </w:rPr>
        <w:t>Stock Units</w:t>
      </w:r>
      <w:r>
        <w:rPr>
          <w:rFonts w:ascii="Times New Roman" w:cs="Times New Roman" w:eastAsia="Times New Roman" w:hAnsi="Times New Roman"/>
          <w:sz w:val="22"/>
          <w:szCs w:val="22"/>
          <w:color w:val="auto"/>
        </w:rPr>
        <w:t xml:space="preserve">”). The Stock Units shall be eligible to be earned based on the Company’s achievement of the performance milestones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during the Performance Period (as defined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Each Stock Unit represents the right of the Participant to receive a number of shares of common stock of the Company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xml:space="preserve">”) as determined in accordance with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an equivalent amount of cash based on the value of a share of Stock, or any combination of the foregoing, as determined by the Committee, if and when the specified conditions are met in Section 3 below, and on the applicable settlement date set forth in Section 5 below.</w:t>
      </w:r>
    </w:p>
    <w:p>
      <w:pPr>
        <w:spacing w:after="0" w:line="176" w:lineRule="exact"/>
        <w:rPr>
          <w:sz w:val="20"/>
          <w:szCs w:val="20"/>
          <w:color w:val="auto"/>
        </w:rPr>
      </w:pPr>
    </w:p>
    <w:p>
      <w:pPr>
        <w:jc w:val="both"/>
        <w:ind w:firstLine="656"/>
        <w:spacing w:after="0" w:line="238" w:lineRule="auto"/>
        <w:tabs>
          <w:tab w:leader="none" w:pos="1296"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Prior to Settlement</w:t>
      </w:r>
      <w:r>
        <w:rPr>
          <w:rFonts w:ascii="Times New Roman" w:cs="Times New Roman" w:eastAsia="Times New Roman" w:hAnsi="Times New Roman"/>
          <w:sz w:val="22"/>
          <w:szCs w:val="22"/>
          <w:color w:val="auto"/>
        </w:rPr>
        <w:t>. Stock Units represent hypothetical shares of Stock, and not 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Stock. No shares of Stock shall be issued to the Participant at the time the grant of the Stock Units is made, and the Participant shall not be, and shall not have any of the rights or privileges of, a stockholder of the Company with respect to any Stock Units. The Participant shall not have any interest in any fund or specific assets of the Company by reason of this award.</w:t>
      </w:r>
    </w:p>
    <w:p>
      <w:pPr>
        <w:spacing w:after="0" w:line="17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ind w:firstLine="1304"/>
        <w:spacing w:after="0" w:line="258" w:lineRule="auto"/>
        <w:tabs>
          <w:tab w:leader="none" w:pos="19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all of the Stock Units shall be unvested and subject to a Risk of Forfeiture pursuant to Section 4 below.</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Section 3, the Stock Units shall vest in a single installment on the date that the Committee determines the Total Achievement Percentage (as defined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 for the Performance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continues his or her employment or other association with the Company or one of its Affiliates from the Date of Grant until such vesting date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 Change of Control occurs before the Vesting Date, 100% of the Stock Units that have not terminated under Section 4 (or, to the extent the Committee determines sufficient milestones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have been attained, or if the Committee elects in its discretion to determine that it is probable such milestones will be attained, in either case, so as to result in more than 100% of the Stock Units that have not been terminated being scheduled to vest on the Vesting Date, such larger number of Stock Units as so determined by the Committee) will vest upon the occurrence of the Change of Control, and the Committee may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3" w:name="page164"/>
    <w:bookmarkEnd w:id="163"/>
    <w:p>
      <w:pPr>
        <w:jc w:val="both"/>
        <w:spacing w:after="0" w:line="246" w:lineRule="auto"/>
        <w:rPr>
          <w:sz w:val="20"/>
          <w:szCs w:val="20"/>
          <w:color w:val="auto"/>
        </w:rPr>
      </w:pPr>
      <w:r>
        <w:rPr>
          <w:rFonts w:ascii="Times New Roman" w:cs="Times New Roman" w:eastAsia="Times New Roman" w:hAnsi="Times New Roman"/>
          <w:sz w:val="21"/>
          <w:szCs w:val="21"/>
          <w:color w:val="auto"/>
        </w:rPr>
        <w:t>such actions as it deems appropriate pursuant to the Plan. This Section 3(c) shall be applied to the Stock Units regardless of and shall supersede any Change of Control vesting terms (including any “double trigger” vesting terms) provided in an employment agreement, offer letter, severance agreement or other contract entered into by and between the Participant and the Company or an Affiliate (in any case, an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except that to the extent such Employment Agreement provides for the Participant to remain eligible to vest in the Stock Units upon a Change in Control that occurs during a period of up to three months following termination of the Participant’s employment, the Participant shall remain eligible to vest in Stock Units under this Section 3(c) during such period, subject to any terms or conditions of the Employment Agreement that apply to such Change in Control vesting (including any requirement to timely execute and not revoke a release of claims).</w:t>
      </w:r>
    </w:p>
    <w:p>
      <w:pPr>
        <w:spacing w:after="0" w:line="176" w:lineRule="exact"/>
        <w:rPr>
          <w:sz w:val="20"/>
          <w:szCs w:val="20"/>
          <w:color w:val="auto"/>
        </w:rPr>
      </w:pPr>
    </w:p>
    <w:p>
      <w:pPr>
        <w:ind w:firstLine="1304"/>
        <w:spacing w:after="0" w:line="282" w:lineRule="auto"/>
        <w:tabs>
          <w:tab w:leader="none" w:pos="1944"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Stock Units that vest pursuant to this Section 3 or pursuant to any action taken by the Committee pursuant to the Plan shall become free from the termination provisions pursuant to Section 4 below.</w:t>
      </w:r>
    </w:p>
    <w:p>
      <w:pPr>
        <w:spacing w:after="0" w:line="130" w:lineRule="exact"/>
        <w:rPr>
          <w:rFonts w:ascii="Times New Roman" w:cs="Times New Roman" w:eastAsia="Times New Roman" w:hAnsi="Times New Roman"/>
          <w:sz w:val="21"/>
          <w:szCs w:val="21"/>
          <w:color w:val="auto"/>
        </w:rPr>
      </w:pPr>
    </w:p>
    <w:p>
      <w:pPr>
        <w:jc w:val="both"/>
        <w:ind w:firstLine="656"/>
        <w:spacing w:after="0" w:line="235" w:lineRule="auto"/>
        <w:tabs>
          <w:tab w:leader="none" w:pos="129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Stock Units</w:t>
      </w:r>
      <w:r>
        <w:rPr>
          <w:rFonts w:ascii="Times New Roman" w:cs="Times New Roman" w:eastAsia="Times New Roman" w:hAnsi="Times New Roman"/>
          <w:sz w:val="22"/>
          <w:szCs w:val="22"/>
          <w:color w:val="auto"/>
        </w:rPr>
        <w:t>. If the Participant ceases employment or other association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its Affiliates for any reason before all of the Stock Units vest, any unvested Stock Units shall automatically terminate and shall be forfeited as of the date of the Participant’s termination of employment or other association, unless otherwise provided under Section 3(c) or determined by the Committee. In addition, in the event that the Committee determines that any of the milestones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has not or cannot be achieved during the Performance Period (including at a target or maximum level, as applicable) a number of Stock Units equal to the total number of Stock Units multiplied by the applicable Achievement Percentage for such milestone shall automatically terminate. No settlement or payment shall be made with respect to any Stock Units that terminate as described in this Section 4 or on Appendix A.</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Stock Units and Tax Withholding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4"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Stock Units vest in accordance with the provisions of Appendix A and Section 3 above, then, subject to the provisions of this Section 5(a) and Sections 5(b), 5(c) and 12 below, the Company shall issue to the Participant a number of shares equal to (i) the Total Achievement Percentage for the Performance Period multiplied by the total number of Stock Units or (ii) in the event Stock Units vest under Section 3(c), such other number of shares as corresponds to the number of Stock Units vesting under such Section, in any case, rounded down to the nearest whole share, or an equivalent amount of cash based on the value of a share of Stock, or a combination of the foregoing, as determined by the Committee, subject to applicable tax withholding obligations, as soon as reasonably practicable after the Vesting Date applicable to such vested Stock Unit. Notwithstanding anything express or implied in the foregoing provisions of this Section 5(a) to the contrary, in no event shall settlement of a vested Stock Unit occur later than the fifteenth day of the third calendar month following the calendar year in which the Vesting Date applicable to such vested Stock Unit occurs, and in no event shall Participant be permitted, directly or indirectly, to designate the calendar year of payment.</w:t>
      </w:r>
    </w:p>
    <w:p>
      <w:pPr>
        <w:spacing w:after="0" w:line="173" w:lineRule="exact"/>
        <w:rPr>
          <w:rFonts w:ascii="Times New Roman" w:cs="Times New Roman" w:eastAsia="Times New Roman" w:hAnsi="Times New Roman"/>
          <w:sz w:val="21"/>
          <w:szCs w:val="21"/>
          <w:color w:val="auto"/>
        </w:rPr>
      </w:pPr>
    </w:p>
    <w:p>
      <w:pPr>
        <w:ind w:firstLine="1304"/>
        <w:spacing w:after="0" w:line="258" w:lineRule="auto"/>
        <w:tabs>
          <w:tab w:leader="none" w:pos="194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Company under this Agreement shall be subject to the right of the Company as set forth in the Plan to collect applicable federal, state, local, foreign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4" w:name="page165"/>
    <w:bookmarkEnd w:id="164"/>
    <w:p>
      <w:pPr>
        <w:jc w:val="both"/>
        <w:spacing w:after="0" w:line="235" w:lineRule="auto"/>
        <w:rPr>
          <w:sz w:val="20"/>
          <w:szCs w:val="20"/>
          <w:color w:val="auto"/>
        </w:rPr>
      </w:pPr>
      <w:r>
        <w:rPr>
          <w:rFonts w:ascii="Times New Roman" w:cs="Times New Roman" w:eastAsia="Times New Roman" w:hAnsi="Times New Roman"/>
          <w:sz w:val="22"/>
          <w:szCs w:val="22"/>
          <w:color w:val="auto"/>
        </w:rPr>
        <w:t>other withholding taxes if, when, and to the extent required by law prior to the issuance of shares of Stock or payment in cash. The Company shall satisfy any applicable withholding requirement with respect to the issuance of shares of Stock from proceeds of a sale of a portion of the shares of Stock effected by the Company’s designated broker; the Participant’s acceptance of the Stock Units shall constitute the Participant’s authorization to the broker to effect such sale as promptly as practicable. In the event payment is to be made in a form other than shares of Stock, then the Company shall collect from the Participant the applicable withholding taxes pursuant to such procedures as the Company deems appropriate under the circumstances.</w:t>
      </w:r>
    </w:p>
    <w:p>
      <w:pPr>
        <w:spacing w:after="0" w:line="184" w:lineRule="exact"/>
        <w:rPr>
          <w:sz w:val="20"/>
          <w:szCs w:val="20"/>
          <w:color w:val="auto"/>
        </w:rPr>
      </w:pPr>
    </w:p>
    <w:p>
      <w:pPr>
        <w:jc w:val="both"/>
        <w:ind w:firstLine="1304"/>
        <w:spacing w:after="0" w:line="235" w:lineRule="auto"/>
        <w:tabs>
          <w:tab w:leader="none" w:pos="19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Company to deliver Stock shall also be subject to the condition that if at any time the Board shall determine in its discretion that the listing, registration or qualification of any shares of Stock upon any securities exchange or under any state or federal law, or the consent or approval of any governmental regulatory body is necessary or desirable as a condition of, or in connection with, the issuance of such shares, such shares may not be issued in whole or in part unless such listing, registration, qualification, consent or approval shall have been effected or obtained free of any conditions not acceptable to the Board. The issuance of shares of Stock, if any, to the Participant pursuant to this Agreement is subject to any applicable laws or regulations of the United States or of any state, municipality or other country having jurisdiction thereof.</w:t>
      </w:r>
    </w:p>
    <w:p>
      <w:pPr>
        <w:spacing w:after="0" w:line="174"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Stockholder Rights</w:t>
      </w:r>
      <w:r>
        <w:rPr>
          <w:rFonts w:ascii="Times New Roman" w:cs="Times New Roman" w:eastAsia="Times New Roman" w:hAnsi="Times New Roman"/>
          <w:sz w:val="22"/>
          <w:szCs w:val="22"/>
          <w:color w:val="auto"/>
        </w:rPr>
        <w:t>. Neither the Participant, nor any person entitled to receive Stock Units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of the Participant’s death, shall have any of the rights and privileges of a stockholder with respect to shares of Stock, including voting or dividend rights, until such shares of Stock have been issued upon settlement of Stock Units. The Participant acknowledges that no election under Section 83(b) of the Code is available with respect to Stock Units.</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Subject to Plan Provisions</w:t>
      </w:r>
      <w:r>
        <w:rPr>
          <w:rFonts w:ascii="Times New Roman" w:cs="Times New Roman" w:eastAsia="Times New Roman" w:hAnsi="Times New Roman"/>
          <w:sz w:val="22"/>
          <w:szCs w:val="22"/>
          <w:color w:val="auto"/>
        </w:rPr>
        <w:t>. This grant is made pursuant to the Plan, the terms of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by reference, and in all respects shall be interpreted in accordance with the Plan. The grant and settlement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9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Employment or Other Rights</w:t>
      </w:r>
      <w:r>
        <w:rPr>
          <w:rFonts w:ascii="Times New Roman" w:cs="Times New Roman" w:eastAsia="Times New Roman" w:hAnsi="Times New Roman"/>
          <w:sz w:val="22"/>
          <w:szCs w:val="22"/>
          <w:color w:val="auto"/>
        </w:rPr>
        <w:t>. The grant of the Stock Units shall not confer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any right to be retained by or in the employ or service of the Company or any Affiliate and shall not interfere in any way with the right of the Company or any Affiliate to terminate the Participant’s employment or other association with the Company and its Affiliates. The right of the Company and any Affiliate to terminate at will the Participant’s employment or other association at any time for any reason is specifically reserved.</w:t>
      </w:r>
    </w:p>
    <w:p>
      <w:pPr>
        <w:spacing w:after="0" w:line="176"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1296"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and Transfers</w:t>
      </w:r>
      <w:r>
        <w:rPr>
          <w:rFonts w:ascii="Times New Roman" w:cs="Times New Roman" w:eastAsia="Times New Roman" w:hAnsi="Times New Roman"/>
          <w:sz w:val="22"/>
          <w:szCs w:val="22"/>
          <w:color w:val="auto"/>
        </w:rPr>
        <w:t>. The Stock Units are not transferable, and shall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pledged, assigned, or otherwise alienated or hypothecated, other than by will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5" w:name="page166"/>
    <w:bookmarkEnd w:id="165"/>
    <w:p>
      <w:pPr>
        <w:ind w:right="20"/>
        <w:spacing w:after="0" w:line="259" w:lineRule="auto"/>
        <w:rPr>
          <w:sz w:val="20"/>
          <w:szCs w:val="20"/>
          <w:color w:val="auto"/>
        </w:rPr>
      </w:pPr>
      <w:r>
        <w:rPr>
          <w:rFonts w:ascii="Times New Roman" w:cs="Times New Roman" w:eastAsia="Times New Roman" w:hAnsi="Times New Roman"/>
          <w:sz w:val="22"/>
          <w:szCs w:val="22"/>
          <w:color w:val="auto"/>
        </w:rPr>
        <w:t>by the laws of descent and distribution. This Agreement may be assigned by the Company without the Participant’s consent.</w:t>
      </w:r>
    </w:p>
    <w:p>
      <w:pPr>
        <w:spacing w:after="0" w:line="153" w:lineRule="exact"/>
        <w:rPr>
          <w:sz w:val="20"/>
          <w:szCs w:val="20"/>
          <w:color w:val="auto"/>
        </w:rPr>
      </w:pPr>
    </w:p>
    <w:p>
      <w:pPr>
        <w:jc w:val="both"/>
        <w:ind w:firstLine="656"/>
        <w:spacing w:after="0" w:line="256" w:lineRule="auto"/>
        <w:tabs>
          <w:tab w:leader="none" w:pos="1296"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Counterparts</w:t>
      </w:r>
      <w:r>
        <w:rPr>
          <w:rFonts w:ascii="Times New Roman" w:cs="Times New Roman" w:eastAsia="Times New Roman" w:hAnsi="Times New Roman"/>
          <w:sz w:val="21"/>
          <w:szCs w:val="21"/>
          <w:color w:val="auto"/>
        </w:rPr>
        <w:t>. This Agreement shall be construed and enforced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laws of the State of Delaware, without regard to the conflict of laws principles thereof. This Agreement may be executed in one or more counterparts all of which together shall constitute but one instrument. In making proof of this Agreement it shall not be necessary to produce or account for more than one such counterpart.</w:t>
      </w:r>
    </w:p>
    <w:p>
      <w:pPr>
        <w:spacing w:after="0" w:line="157" w:lineRule="exact"/>
        <w:rPr>
          <w:rFonts w:ascii="Times New Roman" w:cs="Times New Roman" w:eastAsia="Times New Roman" w:hAnsi="Times New Roman"/>
          <w:sz w:val="21"/>
          <w:szCs w:val="21"/>
          <w:b w:val="1"/>
          <w:bCs w:val="1"/>
          <w:color w:val="auto"/>
        </w:rPr>
      </w:pPr>
    </w:p>
    <w:p>
      <w:pPr>
        <w:jc w:val="both"/>
        <w:ind w:firstLine="656"/>
        <w:spacing w:after="0" w:line="241" w:lineRule="auto"/>
        <w:tabs>
          <w:tab w:leader="none" w:pos="129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Any notice to the Company provided for in this instrument shall be addressed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at the Company’s principal place of business, addressed to the attention of the Company’s Treasurer, and any notice to the Participant shall be addressed to such Participant at his or her residence address last filed with the Company. Any notice shall be delivered in accordance with Section 18 of the Plan.</w:t>
      </w:r>
    </w:p>
    <w:p>
      <w:pPr>
        <w:spacing w:after="0" w:line="171" w:lineRule="exact"/>
        <w:rPr>
          <w:rFonts w:ascii="Times New Roman" w:cs="Times New Roman" w:eastAsia="Times New Roman" w:hAnsi="Times New Roman"/>
          <w:sz w:val="22"/>
          <w:szCs w:val="22"/>
          <w:b w:val="1"/>
          <w:bCs w:val="1"/>
          <w:color w:val="auto"/>
        </w:rPr>
      </w:pPr>
    </w:p>
    <w:p>
      <w:pPr>
        <w:jc w:val="both"/>
        <w:ind w:firstLine="656"/>
        <w:spacing w:after="0" w:line="244" w:lineRule="auto"/>
        <w:tabs>
          <w:tab w:leader="none" w:pos="1296"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Application of Section 409A of the Code</w:t>
      </w:r>
      <w:r>
        <w:rPr>
          <w:rFonts w:ascii="Times New Roman" w:cs="Times New Roman" w:eastAsia="Times New Roman" w:hAnsi="Times New Roman"/>
          <w:sz w:val="21"/>
          <w:szCs w:val="21"/>
          <w:color w:val="auto"/>
        </w:rPr>
        <w:t>. This Agreement is intended to be exempt from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comply with the provisions of Section 409A of the Code. Notwithstanding the foregoing, if any Stock Units constitute “deferred compensation” under Section 409A of the Code and such Stock Units become vested upon the Participant’s termination of employment (or other association), settlement of such vested Stock Units shall be delayed for a period of six (6) months after the Participant’s termination of employment (or other association) if the Participant is a “specified employee” as defined under Section 409A of the Code and if required pursuant to Section 409A of the Code. If settlement of any Stock Units is delayed in accordance with the foregoing provisions of this Section 12, such Stock Units shall be settled and paid within thirty (30) days after the date that is six (6) months following the Participant’s termination of employment (or other association). To the extent subject to Section 409A of the Code, settlement of the Stock Units may only be made in a manner and upon an event permitted by Section 409A of the Code, and each settlement of the Stock Units shall be treated as a separate payment, and the right to a series of installment payments under the Stock Units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 guidance issued thereunder. Notwithstanding the previous sentence, the Company may also amend the Plan or this Agreement or revoke the Stock Units to the extent permitted by the Plan.</w:t>
      </w:r>
    </w:p>
    <w:p>
      <w:pPr>
        <w:spacing w:after="0" w:line="170" w:lineRule="exact"/>
        <w:rPr>
          <w:rFonts w:ascii="Times New Roman" w:cs="Times New Roman" w:eastAsia="Times New Roman" w:hAnsi="Times New Roman"/>
          <w:sz w:val="21"/>
          <w:szCs w:val="21"/>
          <w:b w:val="1"/>
          <w:bCs w:val="1"/>
          <w:color w:val="auto"/>
        </w:rPr>
      </w:pPr>
    </w:p>
    <w:p>
      <w:pPr>
        <w:jc w:val="both"/>
        <w:ind w:firstLine="656"/>
        <w:spacing w:after="0" w:line="238" w:lineRule="auto"/>
        <w:tabs>
          <w:tab w:leader="none" w:pos="129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French Participants</w:t>
      </w:r>
      <w:r>
        <w:rPr>
          <w:rFonts w:ascii="Times New Roman" w:cs="Times New Roman" w:eastAsia="Times New Roman" w:hAnsi="Times New Roman"/>
          <w:sz w:val="22"/>
          <w:szCs w:val="22"/>
          <w:color w:val="auto"/>
        </w:rPr>
        <w:t>. If the Participant is a French Participant (as defined in the Rules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Rhythm Pharmaceuticals, Inc. 2017 Equity Incentive Plan for Stock Options, Restricted Stock Units and Performance Units Granted to Participants in France) on the Date of Grant, the terms of the attached Addendum to the Award Agreement Relating to Performance Units Granted to French Participants pursuant to the 2017 Equity Incentive Plan shall apply to this Agreement and the Stock Units granted 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6" w:name="page167"/>
    <w:bookmarkEnd w:id="166"/>
    <w:p>
      <w:pPr>
        <w:ind w:left="20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first above written.</w:t>
      </w:r>
    </w:p>
    <w:p>
      <w:pPr>
        <w:sectPr>
          <w:pgSz w:w="11900" w:h="16838" w:orient="portrait"/>
          <w:cols w:equalWidth="0" w:num="1">
            <w:col w:w="9019"/>
          </w:cols>
          <w:pgMar w:left="1440" w:top="108" w:right="1440" w:bottom="1440" w:gutter="0" w:footer="0" w:header="0"/>
        </w:sectPr>
      </w:pPr>
    </w:p>
    <w:p>
      <w:pPr>
        <w:spacing w:after="0" w:line="232" w:lineRule="exact"/>
        <w:rPr>
          <w:sz w:val="20"/>
          <w:szCs w:val="20"/>
          <w:color w:val="auto"/>
        </w:rPr>
      </w:pPr>
    </w:p>
    <w:p>
      <w:pPr>
        <w:ind w:left="540"/>
        <w:spacing w:after="0"/>
        <w:tabs>
          <w:tab w:leader="none" w:pos="4880" w:val="left"/>
        </w:tabs>
        <w:rPr>
          <w:sz w:val="20"/>
          <w:szCs w:val="20"/>
          <w:color w:val="auto"/>
        </w:rPr>
      </w:pPr>
      <w:r>
        <w:rPr>
          <w:rFonts w:ascii="Times New Roman" w:cs="Times New Roman" w:eastAsia="Times New Roman" w:hAnsi="Times New Roman"/>
          <w:sz w:val="22"/>
          <w:szCs w:val="22"/>
          <w:b w:val="1"/>
          <w:bCs w:val="1"/>
          <w:color w:val="auto"/>
        </w:rPr>
        <w:t>RHYTHM PHARMACEUTICALS, INC.</w:t>
      </w:r>
      <w:r>
        <w:rPr>
          <w:sz w:val="20"/>
          <w:szCs w:val="20"/>
          <w:color w:val="auto"/>
        </w:rPr>
        <w:tab/>
      </w:r>
      <w:r>
        <w:rPr>
          <w:rFonts w:ascii="Times New Roman" w:cs="Times New Roman" w:eastAsia="Times New Roman" w:hAnsi="Times New Roman"/>
          <w:sz w:val="21"/>
          <w:szCs w:val="21"/>
          <w:b w:val="1"/>
          <w:bCs w:val="1"/>
          <w:color w:val="auto"/>
        </w:rPr>
        <w:t>FIRST_NAME LAST_NAME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5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Signature of Participant</w:t>
      </w: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Participant’s Address:</w:t>
      </w:r>
    </w:p>
    <w:p>
      <w:pPr>
        <w:spacing w:after="0" w:line="200" w:lineRule="exact"/>
        <w:rPr>
          <w:sz w:val="20"/>
          <w:szCs w:val="20"/>
          <w:color w:val="auto"/>
        </w:rPr>
      </w:pPr>
    </w:p>
    <w:p>
      <w:pPr>
        <w:spacing w:after="0" w:line="2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ADDRESS_LINE_1</w:t>
      </w:r>
    </w:p>
    <w:p>
      <w:pPr>
        <w:spacing w:after="0" w:line="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ADDRESS_LINE_2</w:t>
      </w:r>
    </w:p>
    <w:p>
      <w:pPr>
        <w:ind w:left="4300"/>
        <w:spacing w:after="0"/>
        <w:rPr>
          <w:sz w:val="20"/>
          <w:szCs w:val="20"/>
          <w:color w:val="auto"/>
        </w:rPr>
      </w:pPr>
      <w:r>
        <w:rPr>
          <w:rFonts w:ascii="Times New Roman" w:cs="Times New Roman" w:eastAsia="Times New Roman" w:hAnsi="Times New Roman"/>
          <w:sz w:val="22"/>
          <w:szCs w:val="22"/>
          <w:color w:val="auto"/>
        </w:rPr>
        <w:t>CITY, STATE ZIPCODE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Rhythm Pharmaceuticals, Inc. Performance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363855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color w:val="auto"/>
        </w:rPr>
        <w:t>RHYTHM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THE AWARD AGREEMENT RELATING TO PERFORMANCE UNITS GRANTED</w:t>
      </w:r>
    </w:p>
    <w:p>
      <w:pPr>
        <w:jc w:val="center"/>
        <w:spacing w:after="0"/>
        <w:rPr>
          <w:sz w:val="20"/>
          <w:szCs w:val="20"/>
          <w:color w:val="auto"/>
        </w:rPr>
      </w:pPr>
      <w:r>
        <w:rPr>
          <w:rFonts w:ascii="Times New Roman" w:cs="Times New Roman" w:eastAsia="Times New Roman" w:hAnsi="Times New Roman"/>
          <w:sz w:val="22"/>
          <w:szCs w:val="22"/>
          <w:b w:val="1"/>
          <w:bCs w:val="1"/>
          <w:color w:val="auto"/>
        </w:rPr>
        <w:t>TO FRENCH PARTICIPANTS PURSUANT TO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INCENTIVE PLAN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terms of the Plan and the Agreement, the grant of Performance Units to the French Participant is subject to the following additional specific terms and conditions (the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Type of Grant</w:t>
      </w:r>
      <w:r>
        <w:rPr>
          <w:rFonts w:ascii="Times New Roman" w:cs="Times New Roman" w:eastAsia="Times New Roman" w:hAnsi="Times New Roman"/>
          <w:sz w:val="22"/>
          <w:szCs w:val="22"/>
          <w:color w:val="auto"/>
        </w:rPr>
        <w:t>. The Performance Units are granted as French-qualified Performance Units and are intended to qualify for the special tax and social security treatment applicable to shares of Stock granted for no consideration under Sections L. 225-197-1 to L. 225-197-5 and Sections L. 22-10-59 to L. 22-10-60 of the French Commercial Code, as amended. The Performance Units are granted subject to the terms and conditions of the Rules of the Rhythm Pharmaceuticals, Inc. 2017 Equity Incentive Plan for Stock Options, Restricted Stock Units and Performance Units Granted to Participants in France (the “</w:t>
      </w:r>
      <w:r>
        <w:rPr>
          <w:rFonts w:ascii="Times New Roman" w:cs="Times New Roman" w:eastAsia="Times New Roman" w:hAnsi="Times New Roman"/>
          <w:sz w:val="22"/>
          <w:szCs w:val="22"/>
          <w:u w:val="single" w:color="auto"/>
          <w:color w:val="auto"/>
        </w:rPr>
        <w:t>French Sub-Plan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events may affect the status of the Performance Units as French-qualified Performance Units or the underlying Stock, and the Performance Units or the underlying Stock may be disqualified in the future. The Company does not make any undertaking or representation to maintain the qualified status of the French-qualified Performance Units or of the underlying Stock as described in the French Sub-Plan.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Capitalized terms not defined herein, the Agreement or the Plan shall have the meanings ascribed to them in the French Sub-Plan.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Restrictions on Sale or Transfer of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60" w:hanging="328"/>
        <w:spacing w:after="0" w:line="235" w:lineRule="auto"/>
        <w:tabs>
          <w:tab w:leader="none" w:pos="6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Vesting/Issuance Period</w:t>
      </w:r>
      <w:r>
        <w:rPr>
          <w:rFonts w:ascii="Times New Roman" w:cs="Times New Roman" w:eastAsia="Times New Roman" w:hAnsi="Times New Roman"/>
          <w:sz w:val="22"/>
          <w:szCs w:val="22"/>
          <w:color w:val="auto"/>
        </w:rPr>
        <w:t>. The Performance Units will vest according to the vesting schedule as set forth in the Agreement, provided, however, that under no circumstances will the Performance Units vest and the shares of Stock underlying the Award be issued and delivered to the French Participant prior to the expiration of such period as is required to comply with the minimum mandatory period applicable to the Performance Units under Section L. 225-197-1 of the French Commercial Code, as amended, the relevant sections of the French Tax Code and/or the relevant sections of the French Social Security Code, as amended, except in the case of the Participant’s death. The minimum mandatory vesting period is currently one year from the Date of Grant.</w:t>
      </w:r>
    </w:p>
    <w:p>
      <w:pPr>
        <w:spacing w:after="0" w:line="178" w:lineRule="exact"/>
        <w:rPr>
          <w:rFonts w:ascii="Times New Roman" w:cs="Times New Roman" w:eastAsia="Times New Roman" w:hAnsi="Times New Roman"/>
          <w:sz w:val="22"/>
          <w:szCs w:val="22"/>
          <w:color w:val="auto"/>
        </w:rPr>
      </w:pPr>
    </w:p>
    <w:p>
      <w:pPr>
        <w:jc w:val="both"/>
        <w:ind w:left="660" w:hanging="328"/>
        <w:spacing w:after="0" w:line="235" w:lineRule="auto"/>
        <w:tabs>
          <w:tab w:leader="none" w:pos="6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Mandatory Holding Period</w:t>
      </w:r>
      <w:r>
        <w:rPr>
          <w:rFonts w:ascii="Times New Roman" w:cs="Times New Roman" w:eastAsia="Times New Roman" w:hAnsi="Times New Roman"/>
          <w:sz w:val="22"/>
          <w:szCs w:val="22"/>
          <w:color w:val="auto"/>
        </w:rPr>
        <w:t>. The Participant may not sell or transfer the shares of Stock acquired upon vesting of the Performance Units until such time as is required to comply with the minimum mandatory holding period applicable to the Performance Units under Section L. 225-197-1 of the French Commercial Code, as amended, the relevant sections of the French Tax Code and/or the relevant sections of the French Social Security Code, as amended, except in the case of Participant’s death or Disability (as defined in the French Sub-Plan). The minimum mandatory holding period is currently two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888365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8" w:name="page169"/>
    <w:bookmarkEnd w:id="168"/>
    <w:p>
      <w:pPr>
        <w:jc w:val="both"/>
        <w:spacing w:after="0" w:line="244" w:lineRule="auto"/>
        <w:rPr>
          <w:sz w:val="20"/>
          <w:szCs w:val="20"/>
          <w:color w:val="auto"/>
        </w:rPr>
      </w:pPr>
      <w:r>
        <w:rPr>
          <w:rFonts w:ascii="Times New Roman" w:cs="Times New Roman" w:eastAsia="Times New Roman" w:hAnsi="Times New Roman"/>
          <w:sz w:val="22"/>
          <w:szCs w:val="22"/>
          <w:color w:val="auto"/>
        </w:rPr>
        <w:t>Except in the case of the Participant’s termination of employment due to death or Disability (as defined in the French Sub-Plan), the minimum mandatory holding period restriction will continue to apply even if the Participant is no longer an Employee or a Managing Corporate Officer of the Company or any Affiliate.</w:t>
      </w:r>
    </w:p>
    <w:p>
      <w:pPr>
        <w:spacing w:after="0" w:line="174" w:lineRule="exact"/>
        <w:rPr>
          <w:sz w:val="20"/>
          <w:szCs w:val="20"/>
          <w:color w:val="auto"/>
        </w:rPr>
      </w:pPr>
    </w:p>
    <w:p>
      <w:pPr>
        <w:jc w:val="both"/>
        <w:ind w:left="660" w:hanging="328"/>
        <w:spacing w:after="0" w:line="244" w:lineRule="auto"/>
        <w:tabs>
          <w:tab w:leader="none" w:pos="6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Closed Periods</w:t>
      </w:r>
      <w:r>
        <w:rPr>
          <w:rFonts w:ascii="Times New Roman" w:cs="Times New Roman" w:eastAsia="Times New Roman" w:hAnsi="Times New Roman"/>
          <w:sz w:val="22"/>
          <w:szCs w:val="22"/>
          <w:color w:val="auto"/>
        </w:rPr>
        <w:t>. The Participant may not sell any Stock issued upon vesting of the Performance Units during certain Closed Periods, to the extent applicable to the Stock underlying the Performance Units granted by the Company, as described in the French Sub-Plan.</w:t>
      </w:r>
    </w:p>
    <w:p>
      <w:pPr>
        <w:spacing w:after="0" w:line="173" w:lineRule="exact"/>
        <w:rPr>
          <w:rFonts w:ascii="Times New Roman" w:cs="Times New Roman" w:eastAsia="Times New Roman" w:hAnsi="Times New Roman"/>
          <w:sz w:val="22"/>
          <w:szCs w:val="22"/>
          <w:color w:val="auto"/>
        </w:rPr>
      </w:pPr>
    </w:p>
    <w:p>
      <w:pPr>
        <w:jc w:val="both"/>
        <w:ind w:left="660" w:hanging="328"/>
        <w:spacing w:after="0" w:line="238" w:lineRule="auto"/>
        <w:tabs>
          <w:tab w:leader="none" w:pos="6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Periods for Managing Corporate Officers</w:t>
      </w:r>
      <w:r>
        <w:rPr>
          <w:rFonts w:ascii="Times New Roman" w:cs="Times New Roman" w:eastAsia="Times New Roman" w:hAnsi="Times New Roman"/>
          <w:sz w:val="22"/>
          <w:szCs w:val="22"/>
          <w:color w:val="auto"/>
        </w:rPr>
        <w:t>. If, on the Date of Grant, the Participant qualifies as an executive corporate officer under French law (“</w:t>
      </w:r>
      <w:r>
        <w:rPr>
          <w:rFonts w:ascii="Times New Roman" w:cs="Times New Roman" w:eastAsia="Times New Roman" w:hAnsi="Times New Roman"/>
          <w:sz w:val="22"/>
          <w:szCs w:val="22"/>
          <w:i w:val="1"/>
          <w:iCs w:val="1"/>
          <w:color w:val="auto"/>
        </w:rPr>
        <w:t>mandataires sociaux</w:t>
      </w:r>
      <w:r>
        <w:rPr>
          <w:rFonts w:ascii="Times New Roman" w:cs="Times New Roman" w:eastAsia="Times New Roman" w:hAnsi="Times New Roman"/>
          <w:sz w:val="22"/>
          <w:szCs w:val="22"/>
          <w:color w:val="auto"/>
        </w:rPr>
        <w:t>”) or any similar official capacity of the Company, the Participant may not sell a portion of the Stock acquired upon vesting of the Performance Units until the termination of such official capacity, as long as this restriction applies to Performance Units.</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Termination of Service Due to Death</w:t>
      </w:r>
      <w:r>
        <w:rPr>
          <w:rFonts w:ascii="Times New Roman" w:cs="Times New Roman" w:eastAsia="Times New Roman" w:hAnsi="Times New Roman"/>
          <w:sz w:val="22"/>
          <w:szCs w:val="22"/>
          <w:color w:val="auto"/>
        </w:rPr>
        <w:t xml:space="preserve">. In the event of the Participant’s death, the Participant’s heirs may request the issuance of the Stock underlying the Performance Units that have not vested prior to the Participant’s death subject to the Award within six months from the date of the Participant’s death, as provided for in Section III(c) of the French Sub-Plan and provided that such shares of Stock will not become transferable to the French Participant’s heirs unless, until and to the extent milestones relating to the performance-vesting conditions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the Agreement are satisfied. In any case, if the Participant’s heirs do not request the shares of Stock within six months from the date of the Participant’s death, the Award will be forfeited.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Settlement of RSUs.</w:t>
      </w:r>
      <w:r>
        <w:rPr>
          <w:rFonts w:ascii="Times New Roman" w:cs="Times New Roman" w:eastAsia="Times New Roman" w:hAnsi="Times New Roman"/>
          <w:sz w:val="22"/>
          <w:szCs w:val="22"/>
          <w:color w:val="auto"/>
        </w:rPr>
        <w:t xml:space="preserve"> Subject to Section III(d) of the French Sub-Plan, Settlement of Performance Units will only be in shares of Stock.</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Participant holds cash or shares of Stock outside of France or maintains a foreign bank or brokerage account (including accounts that were opened and closed during the tax year), the Participant is required to report such assets and accounts to the French tax authorities on an annual basis on a specified form, together with the Participant’s income tax return. Failure to complete this reporting can trigger significant penalties.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Use of English Language</w:t>
      </w:r>
      <w:r>
        <w:rPr>
          <w:rFonts w:ascii="Times New Roman" w:cs="Times New Roman" w:eastAsia="Times New Roman" w:hAnsi="Times New Roman"/>
          <w:sz w:val="22"/>
          <w:szCs w:val="22"/>
          <w:color w:val="auto"/>
        </w:rPr>
        <w:t>. The Participant acknowledges and agrees that it is the Participant’s express wish that this Agreement, as well as all documents, notices and legal proceedings entered into, given or instituted pursuant hereto or relating directly or indirectly hereto, be drawn up in English.</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Utilisation de la langue anglaise</w:t>
      </w:r>
      <w:r>
        <w:rPr>
          <w:rFonts w:ascii="Times New Roman" w:cs="Times New Roman" w:eastAsia="Times New Roman" w:hAnsi="Times New Roman"/>
          <w:sz w:val="22"/>
          <w:szCs w:val="22"/>
          <w:b w:val="1"/>
          <w:bCs w:val="1"/>
          <w:color w:val="auto"/>
        </w:rPr>
        <w:t>. Vous reconnaissez et acceptez qu’il est de votre volonté que le présent accord, ainsi que tout document, toute notification et toute procédure judiciaire conclue, reçue ou intentée en vertu des présentes ou s’y rapportant directement ou indirectement, soient rédigés en anglais.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TWO TWENTY-TWO BERKELEY STREET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Boston, MA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Amendment to Lease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Rhythm Pharmaceuticals, Inc.</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THIRD AMENDMENT TO LEASE (this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 is made as of_________________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500 BOYLSTON &amp; 222 BERKELEY OWNER (DE) LLC, a</w:t>
      </w:r>
    </w:p>
    <w:p>
      <w:pPr>
        <w:ind w:right="20"/>
        <w:spacing w:after="0" w:line="230" w:lineRule="auto"/>
        <w:rPr>
          <w:sz w:val="20"/>
          <w:szCs w:val="20"/>
          <w:color w:val="auto"/>
        </w:rPr>
      </w:pPr>
      <w:r>
        <w:rPr>
          <w:rFonts w:ascii="Times New Roman" w:cs="Times New Roman" w:eastAsia="Times New Roman" w:hAnsi="Times New Roman"/>
          <w:sz w:val="22"/>
          <w:szCs w:val="22"/>
          <w:color w:val="auto"/>
        </w:rPr>
        <w:t>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RHYTHM PHARMACEUTICALS,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182" w:lineRule="exact"/>
        <w:rPr>
          <w:sz w:val="20"/>
          <w:szCs w:val="20"/>
          <w:color w:val="auto"/>
        </w:rPr>
      </w:pPr>
    </w:p>
    <w:p>
      <w:pPr>
        <w:jc w:val="both"/>
        <w:ind w:firstLine="647"/>
        <w:spacing w:after="0" w:line="235" w:lineRule="auto"/>
        <w:tabs>
          <w:tab w:leader="none" w:pos="129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is made to that certain Lease dated as of November 25, 2015 by and between Landlord and Tenant (the “</w:t>
      </w:r>
      <w:r>
        <w:rPr>
          <w:rFonts w:ascii="Times New Roman" w:cs="Times New Roman" w:eastAsia="Times New Roman" w:hAnsi="Times New Roman"/>
          <w:sz w:val="22"/>
          <w:szCs w:val="22"/>
          <w:u w:val="single" w:color="auto"/>
          <w:color w:val="auto"/>
        </w:rPr>
        <w:t>Original Lease</w:t>
      </w:r>
      <w:r>
        <w:rPr>
          <w:rFonts w:ascii="Times New Roman" w:cs="Times New Roman" w:eastAsia="Times New Roman" w:hAnsi="Times New Roman"/>
          <w:sz w:val="22"/>
          <w:szCs w:val="22"/>
          <w:color w:val="auto"/>
        </w:rPr>
        <w:t>”), as amended by that certain First Amendment to Lease dated as of April 15, 2016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as amended by that certain Second Amendment to Lease dated as of August 6, 2018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the Original Lease, as amended by the First Amendment and the Second Amendment,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pursuant to which Tenant currently leases from Landlord approximately 13,667 rentable square feet on the twelfth (12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floor (the “</w:t>
      </w:r>
      <w:r>
        <w:rPr>
          <w:rFonts w:ascii="Times New Roman" w:cs="Times New Roman" w:eastAsia="Times New Roman" w:hAnsi="Times New Roman"/>
          <w:sz w:val="22"/>
          <w:szCs w:val="22"/>
          <w:u w:val="single" w:color="auto"/>
          <w:color w:val="auto"/>
        </w:rPr>
        <w:t>Leased Premises</w:t>
      </w:r>
      <w:r>
        <w:rPr>
          <w:rFonts w:ascii="Times New Roman" w:cs="Times New Roman" w:eastAsia="Times New Roman" w:hAnsi="Times New Roman"/>
          <w:sz w:val="22"/>
          <w:szCs w:val="22"/>
          <w:color w:val="auto"/>
        </w:rPr>
        <w:t>”) of the building located at 222 Berkeley Street, Boston, MA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as further set forth in the Lease. Capitalized terms used and not defined herein shall have the respective meanings ascribed to them in the Lease.</w:t>
      </w:r>
    </w:p>
    <w:p>
      <w:pPr>
        <w:spacing w:after="0" w:line="178"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the Lease is currently scheduled to expire on July 31, 2025.</w:t>
      </w:r>
    </w:p>
    <w:p>
      <w:pPr>
        <w:spacing w:after="0" w:line="206" w:lineRule="exact"/>
        <w:rPr>
          <w:rFonts w:ascii="Times New Roman" w:cs="Times New Roman" w:eastAsia="Times New Roman" w:hAnsi="Times New Roman"/>
          <w:sz w:val="22"/>
          <w:szCs w:val="22"/>
          <w:color w:val="auto"/>
        </w:rPr>
      </w:pPr>
    </w:p>
    <w:p>
      <w:pPr>
        <w:jc w:val="both"/>
        <w:ind w:firstLine="647"/>
        <w:spacing w:after="0" w:line="244" w:lineRule="auto"/>
        <w:tabs>
          <w:tab w:leader="none" w:pos="129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desire to enter into this Third Amendment to: (i) extend the Term of the Lease, and (ii) amend the Lease in certain other respects, all in accordance with the terms and conditions set forth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covenants contained herein,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 and Tenant hereby agree to modify and amend the Lease as follows:</w:t>
      </w:r>
    </w:p>
    <w:p>
      <w:pPr>
        <w:spacing w:after="0" w:line="182" w:lineRule="exact"/>
        <w:rPr>
          <w:sz w:val="20"/>
          <w:szCs w:val="20"/>
          <w:color w:val="auto"/>
        </w:rPr>
      </w:pPr>
    </w:p>
    <w:p>
      <w:pPr>
        <w:jc w:val="both"/>
        <w:ind w:firstLine="647"/>
        <w:spacing w:after="0" w:line="235"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Extension</w:t>
      </w:r>
      <w:r>
        <w:rPr>
          <w:rFonts w:ascii="Times New Roman" w:cs="Times New Roman" w:eastAsia="Times New Roman" w:hAnsi="Times New Roman"/>
          <w:sz w:val="22"/>
          <w:szCs w:val="22"/>
          <w:color w:val="auto"/>
        </w:rPr>
        <w:t>. The Term of the Lease is hereby extended for a period beginning on August 1, 2025 (the “</w:t>
      </w:r>
      <w:r>
        <w:rPr>
          <w:rFonts w:ascii="Times New Roman" w:cs="Times New Roman" w:eastAsia="Times New Roman" w:hAnsi="Times New Roman"/>
          <w:sz w:val="22"/>
          <w:szCs w:val="22"/>
          <w:u w:val="single" w:color="auto"/>
          <w:color w:val="auto"/>
        </w:rPr>
        <w:t>Extended Term Commencement Date</w:t>
      </w:r>
      <w:r>
        <w:rPr>
          <w:rFonts w:ascii="Times New Roman" w:cs="Times New Roman" w:eastAsia="Times New Roman" w:hAnsi="Times New Roman"/>
          <w:sz w:val="22"/>
          <w:szCs w:val="22"/>
          <w:color w:val="auto"/>
        </w:rPr>
        <w:t>”) and, unless sooner terminated in accordance with the Lease, expiring at 11:59 p.m. (Eastern) on July 31, 2030 (the “</w:t>
      </w:r>
      <w:r>
        <w:rPr>
          <w:rFonts w:ascii="Times New Roman" w:cs="Times New Roman" w:eastAsia="Times New Roman" w:hAnsi="Times New Roman"/>
          <w:sz w:val="22"/>
          <w:szCs w:val="22"/>
          <w:u w:val="single" w:color="auto"/>
          <w:color w:val="auto"/>
        </w:rPr>
        <w:t>Extended Term Expiration Date</w:t>
      </w:r>
      <w:r>
        <w:rPr>
          <w:rFonts w:ascii="Times New Roman" w:cs="Times New Roman" w:eastAsia="Times New Roman" w:hAnsi="Times New Roman"/>
          <w:sz w:val="22"/>
          <w:szCs w:val="22"/>
          <w:color w:val="auto"/>
        </w:rPr>
        <w:t>”) (such period being referred to herein as the “</w:t>
      </w:r>
      <w:r>
        <w:rPr>
          <w:rFonts w:ascii="Times New Roman" w:cs="Times New Roman" w:eastAsia="Times New Roman" w:hAnsi="Times New Roman"/>
          <w:sz w:val="22"/>
          <w:szCs w:val="22"/>
          <w:u w:val="single" w:color="auto"/>
          <w:color w:val="auto"/>
        </w:rPr>
        <w:t>Extended Term</w:t>
      </w:r>
      <w:r>
        <w:rPr>
          <w:rFonts w:ascii="Times New Roman" w:cs="Times New Roman" w:eastAsia="Times New Roman" w:hAnsi="Times New Roman"/>
          <w:sz w:val="22"/>
          <w:szCs w:val="22"/>
          <w:color w:val="auto"/>
        </w:rPr>
        <w:t>”), on the terms and conditions set forth below. All terms and provisions of the Lease, as amended hereby, shall apply to Tenant’s leasing of the Leased Premises during the Extended Term, except to the extent expressly provided otherwise in this Third Amendment, and the “Term Expiration Date” set forth in the Basic Lease Information Sheet of the Original Lease is hereby amended to be the Extended Term Expiration Date.</w:t>
      </w:r>
    </w:p>
    <w:p>
      <w:pPr>
        <w:spacing w:after="0" w:line="178" w:lineRule="exact"/>
        <w:rPr>
          <w:rFonts w:ascii="Times New Roman" w:cs="Times New Roman" w:eastAsia="Times New Roman" w:hAnsi="Times New Roman"/>
          <w:sz w:val="22"/>
          <w:szCs w:val="22"/>
          <w:color w:val="auto"/>
        </w:rPr>
      </w:pPr>
    </w:p>
    <w:p>
      <w:pPr>
        <w:jc w:val="both"/>
        <w:ind w:firstLine="647"/>
        <w:spacing w:after="0" w:line="239"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Gross Rent</w:t>
      </w:r>
      <w:r>
        <w:rPr>
          <w:rFonts w:ascii="Times New Roman" w:cs="Times New Roman" w:eastAsia="Times New Roman" w:hAnsi="Times New Roman"/>
          <w:sz w:val="22"/>
          <w:szCs w:val="22"/>
          <w:color w:val="auto"/>
        </w:rPr>
        <w:t>. Tenant shall continue to pay Net Rent due under the Lease for the Leased Premises pursuant to the terms of the Lease through July 31, 2025. Notwithstanding the preceding sentence, provided Tenant is not then in monetary or material non-monetary default of the Lease (continuing beyond any applicable notice and cure period), monthly Net Rent due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70" w:name="page171"/>
    <w:bookmarkEnd w:id="170"/>
    <w:p>
      <w:pPr>
        <w:jc w:val="both"/>
        <w:spacing w:after="0" w:line="259" w:lineRule="auto"/>
        <w:rPr>
          <w:sz w:val="20"/>
          <w:szCs w:val="20"/>
          <w:color w:val="auto"/>
        </w:rPr>
      </w:pPr>
      <w:r>
        <w:rPr>
          <w:rFonts w:ascii="Times New Roman" w:cs="Times New Roman" w:eastAsia="Times New Roman" w:hAnsi="Times New Roman"/>
          <w:sz w:val="22"/>
          <w:szCs w:val="22"/>
          <w:color w:val="auto"/>
        </w:rPr>
        <w:t>the months of January 2025, February 2025, March 2025, April 2025, May 2025, June 2025, and July 2025 (only) shall be waived.</w:t>
      </w:r>
    </w:p>
    <w:p>
      <w:pPr>
        <w:spacing w:after="0" w:line="157" w:lineRule="exact"/>
        <w:rPr>
          <w:sz w:val="20"/>
          <w:szCs w:val="20"/>
          <w:color w:val="auto"/>
        </w:rPr>
      </w:pPr>
    </w:p>
    <w:p>
      <w:pPr>
        <w:jc w:val="both"/>
        <w:ind w:firstLine="639"/>
        <w:spacing w:after="0" w:line="239" w:lineRule="auto"/>
        <w:rPr>
          <w:sz w:val="20"/>
          <w:szCs w:val="20"/>
          <w:color w:val="auto"/>
        </w:rPr>
      </w:pPr>
      <w:r>
        <w:rPr>
          <w:rFonts w:ascii="Times New Roman" w:cs="Times New Roman" w:eastAsia="Times New Roman" w:hAnsi="Times New Roman"/>
          <w:sz w:val="22"/>
          <w:szCs w:val="22"/>
          <w:color w:val="auto"/>
        </w:rPr>
        <w:t>Commencing on the Extended Term Commencement Date and continuing thereafter through the Extended Term Expiration Date, Tenant shall pay Net Rent for the Leased Premises in the monthly installments set forth in the following rent chart, in each case at the times and in the manner set forth in the Lease, as amended by this Third Amendment:</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Period</w:t>
            </w: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center"/>
              <w:ind w:right="580"/>
              <w:spacing w:after="0" w:line="216" w:lineRule="exact"/>
              <w:rPr>
                <w:sz w:val="20"/>
                <w:szCs w:val="20"/>
                <w:color w:val="auto"/>
              </w:rPr>
            </w:pPr>
            <w:r>
              <w:rPr>
                <w:rFonts w:ascii="Times New Roman" w:cs="Times New Roman" w:eastAsia="Times New Roman" w:hAnsi="Times New Roman"/>
                <w:sz w:val="22"/>
                <w:szCs w:val="22"/>
                <w:color w:val="auto"/>
                <w:w w:val="97"/>
              </w:rPr>
              <w:t>Annual Net Rent Rate Per</w:t>
            </w:r>
          </w:p>
        </w:tc>
        <w:tc>
          <w:tcPr>
            <w:tcW w:w="480" w:type="dxa"/>
            <w:vAlign w:val="bottom"/>
            <w:tcBorders>
              <w:top w:val="single" w:sz="8" w:color="auto"/>
            </w:tcBorders>
          </w:tcPr>
          <w:p>
            <w:pPr>
              <w:spacing w:after="0"/>
              <w:rPr>
                <w:sz w:val="18"/>
                <w:szCs w:val="18"/>
                <w:color w:val="auto"/>
              </w:rPr>
            </w:pPr>
          </w:p>
        </w:tc>
        <w:tc>
          <w:tcPr>
            <w:tcW w:w="2060" w:type="dxa"/>
            <w:vAlign w:val="bottom"/>
            <w:tcBorders>
              <w:top w:val="single" w:sz="8" w:color="auto"/>
              <w:right w:val="single" w:sz="8" w:color="auto"/>
            </w:tcBorders>
            <w:gridSpan w:val="2"/>
          </w:tcPr>
          <w:p>
            <w:pPr>
              <w:jc w:val="center"/>
              <w:ind w:right="500"/>
              <w:spacing w:after="0" w:line="216" w:lineRule="exact"/>
              <w:rPr>
                <w:sz w:val="20"/>
                <w:szCs w:val="20"/>
                <w:color w:val="auto"/>
              </w:rPr>
            </w:pPr>
            <w:r>
              <w:rPr>
                <w:rFonts w:ascii="Times New Roman" w:cs="Times New Roman" w:eastAsia="Times New Roman" w:hAnsi="Times New Roman"/>
                <w:sz w:val="22"/>
                <w:szCs w:val="22"/>
                <w:color w:val="auto"/>
                <w:w w:val="97"/>
              </w:rPr>
              <w:t>Monthly Net Rent</w:t>
            </w:r>
          </w:p>
        </w:tc>
      </w:tr>
      <w:tr>
        <w:trPr>
          <w:trHeight w:val="223"/>
        </w:trPr>
        <w:tc>
          <w:tcPr>
            <w:tcW w:w="1720" w:type="dxa"/>
            <w:vAlign w:val="bottom"/>
            <w:tcBorders>
              <w:lef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color w:val="auto"/>
                <w:w w:val="88"/>
              </w:rPr>
              <w:t>Square Foot of Net Rentable</w:t>
            </w:r>
          </w:p>
        </w:tc>
        <w:tc>
          <w:tcPr>
            <w:tcW w:w="140" w:type="dxa"/>
            <w:vAlign w:val="bottom"/>
            <w:tcBorders>
              <w:bottom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r>
      <w:tr>
        <w:trPr>
          <w:trHeight w:val="223"/>
        </w:trPr>
        <w:tc>
          <w:tcPr>
            <w:tcW w:w="172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4"/>
          </w:tcPr>
          <w:p>
            <w:pPr>
              <w:jc w:val="center"/>
              <w:ind w:right="160"/>
              <w:spacing w:after="0" w:line="223" w:lineRule="exact"/>
              <w:rPr>
                <w:sz w:val="20"/>
                <w:szCs w:val="20"/>
                <w:color w:val="auto"/>
              </w:rPr>
            </w:pPr>
            <w:r>
              <w:rPr>
                <w:rFonts w:ascii="Times New Roman" w:cs="Times New Roman" w:eastAsia="Times New Roman" w:hAnsi="Times New Roman"/>
                <w:sz w:val="22"/>
                <w:szCs w:val="22"/>
                <w:color w:val="auto"/>
                <w:w w:val="97"/>
              </w:rPr>
              <w:t>Floor Area</w:t>
            </w:r>
          </w:p>
        </w:tc>
        <w:tc>
          <w:tcPr>
            <w:tcW w:w="4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r>
      <w:tr>
        <w:trPr>
          <w:trHeight w:val="74"/>
        </w:trPr>
        <w:tc>
          <w:tcPr>
            <w:tcW w:w="17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r>
      <w:tr>
        <w:trPr>
          <w:trHeight w:val="263"/>
        </w:trPr>
        <w:tc>
          <w:tcPr>
            <w:tcW w:w="40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August 1, 2025 – July 31, 2026</w:t>
            </w:r>
          </w:p>
        </w:tc>
        <w:tc>
          <w:tcPr>
            <w:tcW w:w="214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22"/>
                <w:szCs w:val="22"/>
                <w:color w:val="auto"/>
                <w:w w:val="99"/>
              </w:rPr>
              <w:t>$80.00</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6"/>
              </w:rPr>
              <w:t>$91,180.00</w:t>
            </w:r>
          </w:p>
        </w:tc>
        <w:tc>
          <w:tcPr>
            <w:tcW w:w="500" w:type="dxa"/>
            <w:vAlign w:val="bottom"/>
            <w:tcBorders>
              <w:bottom w:val="single" w:sz="8" w:color="auto"/>
              <w:right w:val="single" w:sz="8" w:color="auto"/>
            </w:tcBorders>
          </w:tcPr>
          <w:p>
            <w:pPr>
              <w:spacing w:after="0"/>
              <w:rPr>
                <w:sz w:val="22"/>
                <w:szCs w:val="22"/>
                <w:color w:val="auto"/>
              </w:rPr>
            </w:pPr>
          </w:p>
        </w:tc>
      </w:tr>
      <w:tr>
        <w:trPr>
          <w:trHeight w:val="263"/>
        </w:trPr>
        <w:tc>
          <w:tcPr>
            <w:tcW w:w="40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August 1, 2026 – July 31, 2027</w:t>
            </w:r>
          </w:p>
        </w:tc>
        <w:tc>
          <w:tcPr>
            <w:tcW w:w="214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22"/>
                <w:szCs w:val="22"/>
                <w:color w:val="auto"/>
                <w:w w:val="99"/>
              </w:rPr>
              <w:t>$81.60</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6"/>
              </w:rPr>
              <w:t>$93,003.60</w:t>
            </w:r>
          </w:p>
        </w:tc>
        <w:tc>
          <w:tcPr>
            <w:tcW w:w="500" w:type="dxa"/>
            <w:vAlign w:val="bottom"/>
            <w:tcBorders>
              <w:bottom w:val="single" w:sz="8" w:color="auto"/>
              <w:right w:val="single" w:sz="8" w:color="auto"/>
            </w:tcBorders>
          </w:tcPr>
          <w:p>
            <w:pPr>
              <w:spacing w:after="0"/>
              <w:rPr>
                <w:sz w:val="22"/>
                <w:szCs w:val="22"/>
                <w:color w:val="auto"/>
              </w:rPr>
            </w:pPr>
          </w:p>
        </w:tc>
      </w:tr>
      <w:tr>
        <w:trPr>
          <w:trHeight w:val="264"/>
        </w:trPr>
        <w:tc>
          <w:tcPr>
            <w:tcW w:w="40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August 1, 2027 – July 31, 2028</w:t>
            </w:r>
          </w:p>
        </w:tc>
        <w:tc>
          <w:tcPr>
            <w:tcW w:w="214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22"/>
                <w:szCs w:val="22"/>
                <w:color w:val="auto"/>
                <w:w w:val="99"/>
              </w:rPr>
              <w:t>$83.23</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6"/>
              </w:rPr>
              <w:t>$94,863.67</w:t>
            </w:r>
          </w:p>
        </w:tc>
        <w:tc>
          <w:tcPr>
            <w:tcW w:w="500" w:type="dxa"/>
            <w:vAlign w:val="bottom"/>
            <w:tcBorders>
              <w:bottom w:val="single" w:sz="8" w:color="auto"/>
              <w:right w:val="single" w:sz="8" w:color="auto"/>
            </w:tcBorders>
          </w:tcPr>
          <w:p>
            <w:pPr>
              <w:spacing w:after="0"/>
              <w:rPr>
                <w:sz w:val="22"/>
                <w:szCs w:val="22"/>
                <w:color w:val="auto"/>
              </w:rPr>
            </w:pPr>
          </w:p>
        </w:tc>
      </w:tr>
      <w:tr>
        <w:trPr>
          <w:trHeight w:val="263"/>
        </w:trPr>
        <w:tc>
          <w:tcPr>
            <w:tcW w:w="40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August 1, 2028 – July 31, 2029</w:t>
            </w:r>
          </w:p>
        </w:tc>
        <w:tc>
          <w:tcPr>
            <w:tcW w:w="214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22"/>
                <w:szCs w:val="22"/>
                <w:color w:val="auto"/>
                <w:w w:val="99"/>
              </w:rPr>
              <w:t>$84.90</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6"/>
              </w:rPr>
              <w:t>$96,760.95</w:t>
            </w:r>
          </w:p>
        </w:tc>
        <w:tc>
          <w:tcPr>
            <w:tcW w:w="500" w:type="dxa"/>
            <w:vAlign w:val="bottom"/>
            <w:tcBorders>
              <w:bottom w:val="single" w:sz="8" w:color="auto"/>
              <w:right w:val="single" w:sz="8" w:color="auto"/>
            </w:tcBorders>
          </w:tcPr>
          <w:p>
            <w:pPr>
              <w:spacing w:after="0"/>
              <w:rPr>
                <w:sz w:val="22"/>
                <w:szCs w:val="22"/>
                <w:color w:val="auto"/>
              </w:rPr>
            </w:pPr>
          </w:p>
        </w:tc>
      </w:tr>
      <w:tr>
        <w:trPr>
          <w:trHeight w:val="263"/>
        </w:trPr>
        <w:tc>
          <w:tcPr>
            <w:tcW w:w="40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August 1, 2029 – July 31, 2030</w:t>
            </w:r>
          </w:p>
        </w:tc>
        <w:tc>
          <w:tcPr>
            <w:tcW w:w="214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22"/>
                <w:szCs w:val="22"/>
                <w:color w:val="auto"/>
                <w:w w:val="99"/>
              </w:rPr>
              <w:t>$86.59</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left="372"/>
              <w:spacing w:after="0"/>
              <w:rPr>
                <w:sz w:val="20"/>
                <w:szCs w:val="20"/>
                <w:color w:val="auto"/>
              </w:rPr>
            </w:pPr>
            <w:r>
              <w:rPr>
                <w:rFonts w:ascii="Times New Roman" w:cs="Times New Roman" w:eastAsia="Times New Roman" w:hAnsi="Times New Roman"/>
                <w:sz w:val="22"/>
                <w:szCs w:val="22"/>
                <w:color w:val="auto"/>
                <w:w w:val="96"/>
              </w:rPr>
              <w:t>$98,696.16</w:t>
            </w:r>
          </w:p>
        </w:tc>
        <w:tc>
          <w:tcPr>
            <w:tcW w:w="500" w:type="dxa"/>
            <w:vAlign w:val="bottom"/>
            <w:tcBorders>
              <w:bottom w:val="single" w:sz="8" w:color="auto"/>
              <w:right w:val="single" w:sz="8" w:color="auto"/>
            </w:tcBorders>
          </w:tcPr>
          <w:p>
            <w:pPr>
              <w:spacing w:after="0"/>
              <w:rPr>
                <w:sz w:val="22"/>
                <w:szCs w:val="22"/>
                <w:color w:val="auto"/>
              </w:rPr>
            </w:pPr>
          </w:p>
        </w:tc>
      </w:tr>
    </w:tbl>
    <w:p>
      <w:pPr>
        <w:spacing w:after="0" w:line="189" w:lineRule="exact"/>
        <w:rPr>
          <w:sz w:val="20"/>
          <w:szCs w:val="20"/>
          <w:color w:val="auto"/>
        </w:rPr>
      </w:pPr>
    </w:p>
    <w:p>
      <w:pPr>
        <w:jc w:val="both"/>
        <w:ind w:firstLine="639"/>
        <w:spacing w:after="0" w:line="239" w:lineRule="auto"/>
        <w:rPr>
          <w:sz w:val="20"/>
          <w:szCs w:val="20"/>
          <w:color w:val="auto"/>
        </w:rPr>
      </w:pPr>
      <w:r>
        <w:rPr>
          <w:rFonts w:ascii="Times New Roman" w:cs="Times New Roman" w:eastAsia="Times New Roman" w:hAnsi="Times New Roman"/>
          <w:sz w:val="22"/>
          <w:szCs w:val="22"/>
          <w:color w:val="auto"/>
        </w:rPr>
        <w:t>Tenant shall continue to pay Tenant’s Proportionate Share of Estimated Operating Cost, Tenant’s Proportionate Share of Estimated Impositions, electricity charges, and all other payments due under the Lease on account of the Leased Premises, in each case at the times and in the manner set forth in the Lease, as amended by this Third Amendment.</w:t>
      </w:r>
    </w:p>
    <w:p>
      <w:pPr>
        <w:spacing w:after="0" w:line="180" w:lineRule="exact"/>
        <w:rPr>
          <w:sz w:val="20"/>
          <w:szCs w:val="20"/>
          <w:color w:val="auto"/>
        </w:rPr>
      </w:pPr>
    </w:p>
    <w:p>
      <w:pPr>
        <w:jc w:val="both"/>
        <w:ind w:firstLine="647"/>
        <w:spacing w:after="0" w:line="248" w:lineRule="auto"/>
        <w:tabs>
          <w:tab w:leader="none" w:pos="129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 Is” Condition</w:t>
      </w:r>
      <w:r>
        <w:rPr>
          <w:rFonts w:ascii="Times New Roman" w:cs="Times New Roman" w:eastAsia="Times New Roman" w:hAnsi="Times New Roman"/>
          <w:sz w:val="21"/>
          <w:szCs w:val="21"/>
          <w:color w:val="auto"/>
        </w:rPr>
        <w:t>. Notwithstanding anything contained in the Lease to the contrary, Tenant shall lease the Leased Premises for the Extended Term “as-is, where is,” and in all respects in the condition in which the Leased Premises are in as of the Effective Date set forth above, without any obligation on the part of Landlord to prepare or construct the Leased Premises for Tenant’s occupancy, or to construct any additional work or improvements therein or in the Building, or to provide any contributions, allowances or inducements of any kind whatsoever (except as expressly set forth below in this Section 3 of this Third Amendment), and without any representation or warranty (express or implied) on the part of Landlord as to the condition of the Leased Premises.</w:t>
      </w:r>
    </w:p>
    <w:p>
      <w:pPr>
        <w:spacing w:after="0" w:line="170" w:lineRule="exact"/>
        <w:rPr>
          <w:sz w:val="20"/>
          <w:szCs w:val="20"/>
          <w:color w:val="auto"/>
        </w:rPr>
      </w:pPr>
    </w:p>
    <w:p>
      <w:pPr>
        <w:jc w:val="both"/>
        <w:ind w:firstLine="639"/>
        <w:spacing w:after="0" w:line="233" w:lineRule="auto"/>
        <w:rPr>
          <w:sz w:val="20"/>
          <w:szCs w:val="20"/>
          <w:color w:val="auto"/>
        </w:rPr>
      </w:pPr>
      <w:r>
        <w:rPr>
          <w:rFonts w:ascii="Times New Roman" w:cs="Times New Roman" w:eastAsia="Times New Roman" w:hAnsi="Times New Roman"/>
          <w:sz w:val="22"/>
          <w:szCs w:val="22"/>
          <w:color w:val="auto"/>
        </w:rPr>
        <w:t>Landlord shall provide Tenant with a tenant improvement allowance in the amount of Two Hundred Seventy-Three Thousand Five Hundred Forty and 00/100 Dollars ($273,540.00) (the “</w:t>
      </w:r>
      <w:r>
        <w:rPr>
          <w:rFonts w:ascii="Times New Roman" w:cs="Times New Roman" w:eastAsia="Times New Roman" w:hAnsi="Times New Roman"/>
          <w:sz w:val="22"/>
          <w:szCs w:val="22"/>
          <w:u w:val="single" w:color="auto"/>
          <w:color w:val="auto"/>
        </w:rPr>
        <w:t>Extended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for design and construction costs of refurbishments, alterations, and installations hereafter to be made by Tenant (the “</w:t>
      </w:r>
      <w:r>
        <w:rPr>
          <w:rFonts w:ascii="Times New Roman" w:cs="Times New Roman" w:eastAsia="Times New Roman" w:hAnsi="Times New Roman"/>
          <w:sz w:val="22"/>
          <w:szCs w:val="22"/>
          <w:u w:val="single" w:color="auto"/>
          <w:color w:val="auto"/>
        </w:rPr>
        <w:t>Extended Term Work</w:t>
      </w:r>
      <w:r>
        <w:rPr>
          <w:rFonts w:ascii="Times New Roman" w:cs="Times New Roman" w:eastAsia="Times New Roman" w:hAnsi="Times New Roman"/>
          <w:sz w:val="22"/>
          <w:szCs w:val="22"/>
          <w:color w:val="auto"/>
        </w:rPr>
        <w:t>”) in the Leased Premises from and after the Effective Date set forth above (collectively, the “</w:t>
      </w:r>
      <w:r>
        <w:rPr>
          <w:rFonts w:ascii="Times New Roman" w:cs="Times New Roman" w:eastAsia="Times New Roman" w:hAnsi="Times New Roman"/>
          <w:sz w:val="22"/>
          <w:szCs w:val="22"/>
          <w:u w:val="single" w:color="auto"/>
          <w:color w:val="auto"/>
        </w:rPr>
        <w:t>Extended Term Refurbishment Costs</w:t>
      </w:r>
      <w:r>
        <w:rPr>
          <w:rFonts w:ascii="Times New Roman" w:cs="Times New Roman" w:eastAsia="Times New Roman" w:hAnsi="Times New Roman"/>
          <w:sz w:val="22"/>
          <w:szCs w:val="22"/>
          <w:color w:val="auto"/>
        </w:rPr>
        <w:t>”). All design, construction, and other costs for the Extended Term Work in excess of the Extended Term Allowance shall be paid for entirely by Tenant, and Landlord shall not provide any reimbursement for any such excess. The Extended Term Allowance shall be disbursed as requisitioned by Tenant but in no more than four (4) disbursements. Tenant may not requisition a disbursement of the Extended Term Allowance more than once per calendar month. For each disbursement, Tenant shall submit a requisition package to Landlord prior to the first day of a calendar month, with an itemization of the costs being requisitioned, a certificate by an officer of Tenant that all such costs are Extended Term Refurbishment Costs and have been incurred and paid for by Tenant, and appropriate back-up documentation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1" w:name="page172"/>
    <w:bookmarkEnd w:id="171"/>
    <w:p>
      <w:pPr>
        <w:jc w:val="both"/>
        <w:spacing w:after="0" w:line="242" w:lineRule="auto"/>
        <w:rPr>
          <w:sz w:val="20"/>
          <w:szCs w:val="20"/>
          <w:color w:val="auto"/>
        </w:rPr>
      </w:pPr>
      <w:r>
        <w:rPr>
          <w:rFonts w:ascii="Times New Roman" w:cs="Times New Roman" w:eastAsia="Times New Roman" w:hAnsi="Times New Roman"/>
          <w:sz w:val="21"/>
          <w:szCs w:val="21"/>
          <w:color w:val="auto"/>
        </w:rPr>
        <w:t>customary AIA forms of progress payment certifications and partial lien waivers (in a customary, recordable form provided or reasonably approved by Landlord), and copies of paid invoices and bills. If the total Extended Term Refurbishment Costs are reasonably estimated to exceed the Extended Term Allowance, Landlord reserves the right to make pro-rata disbursements of the Extended Term Allowance for each requisition in the ratio that the Extended Term Allowance bears to the total estimated Extended Term Refurbishment Costs, subject to a final reconciliation of the Extended Term Allowance upon completion of the Extended Term Work. Landlord further reserves the right to fund the final ten percent (10%) of the Extended Term Allowance within thirty (30) days after Tenant’s submission to Landlord of the ET Close-Out Materials. The “</w:t>
      </w:r>
      <w:r>
        <w:rPr>
          <w:rFonts w:ascii="Times New Roman" w:cs="Times New Roman" w:eastAsia="Times New Roman" w:hAnsi="Times New Roman"/>
          <w:sz w:val="21"/>
          <w:szCs w:val="21"/>
          <w:u w:val="single" w:color="auto"/>
          <w:color w:val="auto"/>
        </w:rPr>
        <w:t>ET Close-Out Materials</w:t>
      </w:r>
      <w:r>
        <w:rPr>
          <w:rFonts w:ascii="Times New Roman" w:cs="Times New Roman" w:eastAsia="Times New Roman" w:hAnsi="Times New Roman"/>
          <w:sz w:val="21"/>
          <w:szCs w:val="21"/>
          <w:color w:val="auto"/>
        </w:rPr>
        <w:t>” shall mean the requisition package for the final amount of the Extended Term Allowance as provided above, together with (i) a final AIA certificate from Tenant’s architect evidencing substantial completion of the Extended Term Work in accordance with the construction documents for the Extended Term Work approved by Landlord, (ii) a set of “as built” or final record plans for the Extended Term Work, (iii) final lien waivers (in a customary, recordable form provided or reasonably approved by Landlord) for the Extended Term Work from all contractors, subcontractors, vendors, suppliers, and materialmen who would be entitled to a lien on the Property if not paid, (iv) a certificate of occupancy for the Leased Premises after the performance of the Extended Term Work, and (v) any other items required under Landlord’s construction rules and regulations. Tenant may, upon prior Tenant’s written request, apply all or any portion of the Extended Term Allowance as a credit against the next monthly installment(s) of Net Rent, Estimated Operating Cost, and Estimated Impositions then due for the Leased Premises; provided, however, that any remaining amount of the Extended Term Allowance not requisitioned or applied by Tenant prior to the six</w:t>
      </w:r>
    </w:p>
    <w:p>
      <w:pPr>
        <w:spacing w:after="0" w:line="15" w:lineRule="exact"/>
        <w:rPr>
          <w:sz w:val="20"/>
          <w:szCs w:val="20"/>
          <w:color w:val="auto"/>
        </w:rPr>
      </w:pPr>
    </w:p>
    <w:p>
      <w:pPr>
        <w:jc w:val="both"/>
        <w:ind w:firstLine="8"/>
        <w:spacing w:after="0" w:line="232" w:lineRule="auto"/>
        <w:tabs>
          <w:tab w:leader="none" w:pos="33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anniversary of the Extended Term Commencement Date shall thereafter be automatically applied by Landlord as a credit against the next monthly installment(s) of Net Rent, Estimated Operating Cost, and Estimated Impositions then due for the Leased Premises until fully amortized. Notwithstanding the foregoing, Landlord shall have no obligation to disburse or credit any portion of the Extended Term Allowance at any time when Tenant is in monetary or material non-monetary default of the Lease (continuing beyond any applicable notice and cure period).</w:t>
      </w:r>
    </w:p>
    <w:p>
      <w:pPr>
        <w:spacing w:after="0" w:line="183" w:lineRule="exact"/>
        <w:rPr>
          <w:sz w:val="20"/>
          <w:szCs w:val="20"/>
          <w:color w:val="auto"/>
        </w:rPr>
      </w:pPr>
    </w:p>
    <w:p>
      <w:pPr>
        <w:jc w:val="both"/>
        <w:ind w:firstLine="639"/>
        <w:spacing w:after="0" w:line="232" w:lineRule="auto"/>
        <w:rPr>
          <w:sz w:val="20"/>
          <w:szCs w:val="20"/>
          <w:color w:val="auto"/>
        </w:rPr>
      </w:pPr>
      <w:r>
        <w:rPr>
          <w:rFonts w:ascii="Times New Roman" w:cs="Times New Roman" w:eastAsia="Times New Roman" w:hAnsi="Times New Roman"/>
          <w:sz w:val="22"/>
          <w:szCs w:val="22"/>
          <w:color w:val="auto"/>
        </w:rPr>
        <w:t>Tenant shall perform all work under this Section 3 in accordance with all applicable laws, statutes, codes, ordinances, rules, by-laws, and regulations, Landlord’s construction rules and regulations, and all terms and conditions of the Lease, including, without limitation, Section 4.07 of the Original Lease and Schedule C-2 to the Second Amendment. Notwithstanding the preceding sentence, neither the provisions of Exhibit B to the Original Lease nor the provisions of Exhibit B to the Second Amendment shall apply to the Extended Term Work. Landlord shall not be responsible for any aspects of the design or construction of the Extended Term Work, the correction of any defects therein, or any delays in the completion thereof, and Landlord’s approval of the construction documents for the Extended Term Work shall not result in any responsibility of Landlord concerning compliance of the Extended Term Work with applicable, laws, statutes, ordinances, regulations, codes, rules, and by-laws, coordination of any aspect of the Extended Term Work with any component or system of the Building, or the feasibility of constructing the Extended Term Work without damage or harm to the Building, all of which shall be the sole responsibility of Tenant. After Landlord has approved the construction documents for the Extended Term Work, any change in the work shown thereon, whether material or not, shall be made only after Tenant shall have submitted revised construction documents to Landlord for its review and approval. If the Extended Term Work includes any structural or other specialty items, Tenant shall reimburse Landlord for the reasonable, out-of-pocket, third-party costs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2" w:name="page173"/>
    <w:bookmarkEnd w:id="172"/>
    <w:p>
      <w:pPr>
        <w:jc w:val="both"/>
        <w:spacing w:after="0" w:line="233" w:lineRule="auto"/>
        <w:rPr>
          <w:sz w:val="20"/>
          <w:szCs w:val="20"/>
          <w:color w:val="auto"/>
        </w:rPr>
      </w:pPr>
      <w:r>
        <w:rPr>
          <w:rFonts w:ascii="Times New Roman" w:cs="Times New Roman" w:eastAsia="Times New Roman" w:hAnsi="Times New Roman"/>
          <w:sz w:val="22"/>
          <w:szCs w:val="22"/>
          <w:color w:val="auto"/>
        </w:rPr>
        <w:t>Landlord in reviewing such items. Tenant shall pay to Landlord or its managing agent a fee for Landlord’s administrative oversight or coordination of the Extended Term Work in an amount equal to two percent (2%) of the total cost of the Extended Term Work, which Landlord may deduct from the Extended Term Allowance. Notwithstanding the immediately preceding sentence, if Tenant elects to apply the entire Extended Term Allowance as a credit against the next monthly installment(s) of Net Rent, Estimated Operating Cost, and Estimated Impositions then due for the Leased Premises as provided in this Section 3, then no administrative oversight or coordination fee shall be due to Landlord. In addition, Tenant shall pay to Landlord the costs of Building services or facilities (such as electricity, HVAC, fire alarm plug-ins/outs, freight elevator usage, and cleaning) used by Tenant in connection with its performance of the Extended Term Work, in each case at Building standard rates charged to Building tenants generally. All such costs shall constitute Extended Term Refurbishment Costs that may be requisitioned from time to time from the Extended Term Allowance as provided in this Section 3.</w:t>
      </w:r>
    </w:p>
    <w:p>
      <w:pPr>
        <w:spacing w:after="0" w:line="185" w:lineRule="exact"/>
        <w:rPr>
          <w:sz w:val="20"/>
          <w:szCs w:val="20"/>
          <w:color w:val="auto"/>
        </w:rPr>
      </w:pPr>
    </w:p>
    <w:p>
      <w:pPr>
        <w:jc w:val="both"/>
        <w:ind w:firstLine="647"/>
        <w:spacing w:after="0" w:line="239" w:lineRule="auto"/>
        <w:tabs>
          <w:tab w:leader="none" w:pos="129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The parties hereby acknowledge that Landlord is currently holding a security deposit in the form of the Letter of Credit with a face amount of $75,000.00 pursuant to Section 4.17 of the Lease, and will continue to hold the Letter of Credit throughout the Term. The Letter of Credit shall not be subject to reduction during the Term of the Lease.</w:t>
      </w:r>
    </w:p>
    <w:p>
      <w:pPr>
        <w:spacing w:after="0" w:line="180" w:lineRule="exact"/>
        <w:rPr>
          <w:rFonts w:ascii="Times New Roman" w:cs="Times New Roman" w:eastAsia="Times New Roman" w:hAnsi="Times New Roman"/>
          <w:sz w:val="22"/>
          <w:szCs w:val="22"/>
          <w:color w:val="auto"/>
        </w:rPr>
      </w:pPr>
    </w:p>
    <w:p>
      <w:pPr>
        <w:jc w:val="both"/>
        <w:ind w:firstLine="647"/>
        <w:spacing w:after="0" w:line="235" w:lineRule="auto"/>
        <w:tabs>
          <w:tab w:leader="none" w:pos="129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 D to the Second Amendment</w:t>
      </w:r>
      <w:r>
        <w:rPr>
          <w:rFonts w:ascii="Times New Roman" w:cs="Times New Roman" w:eastAsia="Times New Roman" w:hAnsi="Times New Roman"/>
          <w:sz w:val="22"/>
          <w:szCs w:val="22"/>
          <w:color w:val="auto"/>
        </w:rPr>
        <w:t xml:space="preserve">. The second paragraph of Exhibit D to the Second Amendment is hereby deleted in its entirety and replaced by the following: “For purposes of this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all references herein to the “Premises” shall be deemed to refer to the Leased Premises, and all references herein to the “Term” shall be deemed to refer to the Extended Term, as set forth in the Third Amendment.” Section 1 of Exhibit D to the Second Amendment is hereby deleted and of no further force or effect. Notwithstanding anything to the contrary in this Third Amendment, the reference to the “Relocation Premises” in the first sentence of Section 2 of said Exhibit D shall remain unchanged.</w:t>
      </w:r>
    </w:p>
    <w:p>
      <w:pPr>
        <w:spacing w:after="0" w:line="183" w:lineRule="exact"/>
        <w:rPr>
          <w:rFonts w:ascii="Times New Roman" w:cs="Times New Roman" w:eastAsia="Times New Roman" w:hAnsi="Times New Roman"/>
          <w:sz w:val="22"/>
          <w:szCs w:val="22"/>
          <w:color w:val="auto"/>
        </w:rPr>
      </w:pPr>
    </w:p>
    <w:p>
      <w:pPr>
        <w:jc w:val="both"/>
        <w:ind w:firstLine="647"/>
        <w:spacing w:after="0" w:line="239" w:lineRule="auto"/>
        <w:tabs>
          <w:tab w:leader="none" w:pos="129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Term</w:t>
      </w:r>
      <w:r>
        <w:rPr>
          <w:rFonts w:ascii="Times New Roman" w:cs="Times New Roman" w:eastAsia="Times New Roman" w:hAnsi="Times New Roman"/>
          <w:sz w:val="22"/>
          <w:szCs w:val="22"/>
          <w:color w:val="auto"/>
        </w:rPr>
        <w:t>. The second sentence of Section 3 of Exhibit D to the Second Amendment is hereby deleted in its entirety and replaced by the following: “For the avoidance of doubt, as used herein, references to the “initial Term” shall be deemed to refer to the Extended Term set forth in Section 1 of the Third Amendment.” All other terms of said Section 3 shall continue to apply.</w:t>
      </w:r>
    </w:p>
    <w:p>
      <w:pPr>
        <w:spacing w:after="0" w:line="180"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firstLine="647"/>
        <w:spacing w:after="0" w:line="235"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 Landlord and Tenant each represent and warrant to the other that it has not dealt with any real estate broker or agent in connection with this Third Amendment except for CBRE, Inc. (“</w:t>
      </w:r>
      <w:r>
        <w:rPr>
          <w:rFonts w:ascii="Times New Roman" w:cs="Times New Roman" w:eastAsia="Times New Roman" w:hAnsi="Times New Roman"/>
          <w:sz w:val="22"/>
          <w:szCs w:val="22"/>
          <w:u w:val="single" w:color="auto"/>
          <w:color w:val="auto"/>
        </w:rPr>
        <w:t>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shall indemnify and hold Landlord and its trustees, managers, members, principals, beneficiaries, partners, officers, directors, employees, mortgagees, and agents harmless from all claims of any brokers, agents, or finders claiming to have represented Tenant in connection with this Third Amendment other than Tenant’s Broker. Landlord shall pay the commission due to Tenant’s Broker with respect to this Third Amendment pursuant to a separate agreement. The provisions of this Section 7(a) shall survive the expiration or earlier termination of the Lease.</w:t>
      </w:r>
    </w:p>
    <w:p>
      <w:pPr>
        <w:spacing w:after="0" w:line="178" w:lineRule="exact"/>
        <w:rPr>
          <w:rFonts w:ascii="Times New Roman" w:cs="Times New Roman" w:eastAsia="Times New Roman" w:hAnsi="Times New Roman"/>
          <w:sz w:val="22"/>
          <w:szCs w:val="22"/>
          <w:color w:val="auto"/>
        </w:rPr>
      </w:pPr>
    </w:p>
    <w:p>
      <w:pPr>
        <w:ind w:firstLine="647"/>
        <w:spacing w:after="0" w:line="258"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Confirmations</w:t>
      </w:r>
      <w:r>
        <w:rPr>
          <w:rFonts w:ascii="Times New Roman" w:cs="Times New Roman" w:eastAsia="Times New Roman" w:hAnsi="Times New Roman"/>
          <w:sz w:val="22"/>
          <w:szCs w:val="22"/>
          <w:color w:val="auto"/>
        </w:rPr>
        <w:t>. Tenant represents and warrants to Landlord that (i) Landlord is not in default of its obligations under the Lease, nor do circumstances exist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3" w:name="page174"/>
    <w:bookmarkEnd w:id="173"/>
    <w:p>
      <w:pPr>
        <w:jc w:val="both"/>
        <w:spacing w:after="0" w:line="234" w:lineRule="auto"/>
        <w:rPr>
          <w:sz w:val="20"/>
          <w:szCs w:val="20"/>
          <w:color w:val="auto"/>
        </w:rPr>
      </w:pPr>
      <w:r>
        <w:rPr>
          <w:rFonts w:ascii="Times New Roman" w:cs="Times New Roman" w:eastAsia="Times New Roman" w:hAnsi="Times New Roman"/>
          <w:sz w:val="22"/>
          <w:szCs w:val="22"/>
          <w:color w:val="auto"/>
        </w:rPr>
        <w:t>with the giving of notice or passage of time, or both, would constitute a default by Landlord under the Lease, (ii) the person executing this Third Amendment to Lease on behalf of Tenant is duly authorized and has full power and authority to execute and deliver this Third Amendment, (iii) Tenant has no claim, offset, or defense against the enforcement of the Lease in accordance with its terms, and (iv) Tenant is not acting, directly or indirectly, for or on behalf of any person, group, entity, or nation named by any Executive Order or the United States Treasury Department as a terrorist, “Specially Designated National and Blocked Person,” or other banned or blocked person, group, entity, nation, or transaction pursuant to any law, order, rule, or regulation that is enforced or administered by the Office of Foreign Assets Control and that it is not engaged in this transaction, directly or indirectly, on behalf of, or instigating or facilitating this transaction, directly or indirectly, on behalf of any such person, group, entity, or nation.</w:t>
      </w:r>
    </w:p>
    <w:p>
      <w:pPr>
        <w:spacing w:after="0" w:line="180" w:lineRule="exact"/>
        <w:rPr>
          <w:sz w:val="20"/>
          <w:szCs w:val="20"/>
          <w:color w:val="auto"/>
        </w:rPr>
      </w:pPr>
    </w:p>
    <w:p>
      <w:pPr>
        <w:jc w:val="both"/>
        <w:ind w:firstLine="647"/>
        <w:spacing w:after="0" w:line="232"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submission of this Third Amendment to Tenant or a summary of some or all of its provisions for examination does not constitute a reservation of or option for the Leased Premises or an offer to lease any space, and no legal obligations shall arise with respect to the Leased Premises hereunder or other matters herein unless and until such time as this Third Amendment is executed by both parties. This Third Amendment may be executed in one or more counterparts and, when executed by each party,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of the signed counterpart of this Third Amendment shall be deemed the equivalent of the delivery of the original, and any party so delivering a facsimile or pdf copy of the signed counterpart of this Third Amendment by email transmission shall in all events deliver to the other party an original signature promptly upon request. This Third Amendment may be signed and/or transmitted by electronic mail of a .PDF document or electronic signature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DocuSign or similar electronic signature technology) and thereafter maintained in electronic form, and such electronic record shall be valid and as effective to bind the party so signing as a paper copy bearing such party’s handwritten signature. The electronic signatures appearing on this Third Amendment shall be treated, for purpose of validity, enforceability, and admissibility, the same as handwritten signatures.</w:t>
      </w:r>
    </w:p>
    <w:p>
      <w:pPr>
        <w:spacing w:after="0" w:line="191" w:lineRule="exact"/>
        <w:rPr>
          <w:rFonts w:ascii="Times New Roman" w:cs="Times New Roman" w:eastAsia="Times New Roman" w:hAnsi="Times New Roman"/>
          <w:sz w:val="22"/>
          <w:szCs w:val="22"/>
          <w:color w:val="auto"/>
        </w:rPr>
      </w:pPr>
    </w:p>
    <w:p>
      <w:pPr>
        <w:jc w:val="both"/>
        <w:ind w:firstLine="647"/>
        <w:spacing w:after="0" w:line="238"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Amendment</w:t>
      </w:r>
      <w:r>
        <w:rPr>
          <w:rFonts w:ascii="Times New Roman" w:cs="Times New Roman" w:eastAsia="Times New Roman" w:hAnsi="Times New Roman"/>
          <w:sz w:val="22"/>
          <w:szCs w:val="22"/>
          <w:color w:val="auto"/>
        </w:rPr>
        <w:t>. This Third Amendment contains all of the agreements of the parties with respect to the subject matter hereof and supersedes all prior dealings between the parties with respect to such subject matter. All references in the Lease to the “Lease” or “this Lease” or “the Lease” or “herein” or “hereunder” or similar terms or to any section thereof shall mean the Lease, or such section thereof, as amended by this Third Amendment.</w:t>
      </w:r>
    </w:p>
    <w:p>
      <w:pPr>
        <w:spacing w:after="0" w:line="176" w:lineRule="exact"/>
        <w:rPr>
          <w:rFonts w:ascii="Times New Roman" w:cs="Times New Roman" w:eastAsia="Times New Roman" w:hAnsi="Times New Roman"/>
          <w:sz w:val="22"/>
          <w:szCs w:val="22"/>
          <w:color w:val="auto"/>
        </w:rPr>
      </w:pPr>
    </w:p>
    <w:p>
      <w:pPr>
        <w:ind w:firstLine="647"/>
        <w:spacing w:after="0" w:line="258"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Amendment</w:t>
      </w:r>
      <w:r>
        <w:rPr>
          <w:rFonts w:ascii="Times New Roman" w:cs="Times New Roman" w:eastAsia="Times New Roman" w:hAnsi="Times New Roman"/>
          <w:sz w:val="22"/>
          <w:szCs w:val="22"/>
          <w:color w:val="auto"/>
        </w:rPr>
        <w:t>. This Third Amendment shall be binding upon, and shall inure to the benefit of, the parties hereto and their respective successors and permitted assigns.</w:t>
      </w:r>
    </w:p>
    <w:p>
      <w:pPr>
        <w:spacing w:after="0" w:line="158" w:lineRule="exact"/>
        <w:rPr>
          <w:rFonts w:ascii="Times New Roman" w:cs="Times New Roman" w:eastAsia="Times New Roman" w:hAnsi="Times New Roman"/>
          <w:sz w:val="22"/>
          <w:szCs w:val="22"/>
          <w:color w:val="auto"/>
        </w:rPr>
      </w:pPr>
    </w:p>
    <w:p>
      <w:pPr>
        <w:ind w:firstLine="647"/>
        <w:spacing w:after="0" w:line="258"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Third Amendment shall be governed by the laws of the Commonwealth of Massachusetts without regard to conflict of laws principles.</w:t>
      </w:r>
    </w:p>
    <w:p>
      <w:pPr>
        <w:spacing w:after="0" w:line="158" w:lineRule="exact"/>
        <w:rPr>
          <w:rFonts w:ascii="Times New Roman" w:cs="Times New Roman" w:eastAsia="Times New Roman" w:hAnsi="Times New Roman"/>
          <w:sz w:val="22"/>
          <w:szCs w:val="22"/>
          <w:color w:val="auto"/>
        </w:rPr>
      </w:pPr>
    </w:p>
    <w:p>
      <w:pPr>
        <w:ind w:firstLine="647"/>
        <w:spacing w:after="0" w:line="258"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Except as expressly modified by this Third Amendment, the Lease is hereby ratified and confirmed and shall remain in full force and effect.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immediately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74" w:name="page175"/>
    <w:bookmarkEnd w:id="174"/>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Landlord and Tenant have entered into this Third Amendment as a sealed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Massachusetts instrument as of the Effective Date set forth above.</w:t>
      </w:r>
    </w:p>
    <w:p>
      <w:pPr>
        <w:spacing w:after="0" w:line="1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500 BOYLSTON &amp; 222 BERKELEY</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OWNER (DE) LLC, a Delaware limited</w:t>
      </w:r>
    </w:p>
    <w:p>
      <w:pPr>
        <w:ind w:left="4540"/>
        <w:spacing w:after="0"/>
        <w:rPr>
          <w:sz w:val="20"/>
          <w:szCs w:val="20"/>
          <w:color w:val="auto"/>
        </w:rPr>
      </w:pPr>
      <w:r>
        <w:rPr>
          <w:rFonts w:ascii="Times New Roman" w:cs="Times New Roman" w:eastAsia="Times New Roman" w:hAnsi="Times New Roman"/>
          <w:sz w:val="22"/>
          <w:szCs w:val="22"/>
          <w:color w:val="auto"/>
        </w:rPr>
        <w:t>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304165</wp:posOffset>
            </wp:positionV>
            <wp:extent cx="840105" cy="411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8401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10795</wp:posOffset>
            </wp:positionV>
            <wp:extent cx="29914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Kristen Binck</w:t>
      </w:r>
    </w:p>
    <w:p>
      <w:pPr>
        <w:ind w:left="454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149860</wp:posOffset>
            </wp:positionV>
            <wp:extent cx="925830" cy="411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10795</wp:posOffset>
            </wp:positionV>
            <wp:extent cx="29914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Brian Barriero</w:t>
      </w:r>
    </w:p>
    <w:p>
      <w:pPr>
        <w:ind w:left="454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RHYTHM PHARMACEUTICALS, INC., a</w:t>
      </w:r>
    </w:p>
    <w:p>
      <w:pPr>
        <w:ind w:left="4540"/>
        <w:spacing w:after="0"/>
        <w:rPr>
          <w:sz w:val="20"/>
          <w:szCs w:val="20"/>
          <w:color w:val="auto"/>
        </w:rPr>
      </w:pPr>
      <w:r>
        <w:rPr>
          <w:rFonts w:ascii="Times New Roman" w:cs="Times New Roman" w:eastAsia="Times New Roman" w:hAnsi="Times New Roman"/>
          <w:sz w:val="22"/>
          <w:szCs w:val="22"/>
          <w:color w:val="auto"/>
        </w:rPr>
        <w:t>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149860</wp:posOffset>
            </wp:positionV>
            <wp:extent cx="994410" cy="411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994410" cy="41148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10795</wp:posOffset>
            </wp:positionV>
            <wp:extent cx="29914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Hunter Smith</w:t>
      </w:r>
    </w:p>
    <w:p>
      <w:pPr>
        <w:ind w:left="454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75" w:name="page176"/>
    <w:bookmarkEnd w:id="1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P. Meeker, certify that:</w:t>
      </w:r>
    </w:p>
    <w:p>
      <w:pPr>
        <w:spacing w:after="0" w:line="212" w:lineRule="exact"/>
        <w:rPr>
          <w:sz w:val="20"/>
          <w:szCs w:val="20"/>
          <w:color w:val="auto"/>
        </w:rPr>
      </w:pPr>
    </w:p>
    <w:p>
      <w:pPr>
        <w:ind w:left="920" w:hanging="222"/>
        <w:spacing w:after="0"/>
        <w:tabs>
          <w:tab w:leader="none" w:pos="9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93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99" w:firstLine="638"/>
        <w:spacing w:after="0" w:line="258" w:lineRule="auto"/>
        <w:tabs>
          <w:tab w:leader="none" w:pos="93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359" w:firstLine="638"/>
        <w:spacing w:after="0" w:line="266" w:lineRule="auto"/>
        <w:tabs>
          <w:tab w:leader="none" w:pos="93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380" w:right="199" w:firstLine="642"/>
        <w:spacing w:after="0" w:line="261" w:lineRule="auto"/>
        <w:tabs>
          <w:tab w:leader="none" w:pos="131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380" w:right="299" w:firstLine="642"/>
        <w:spacing w:after="0" w:line="255" w:lineRule="auto"/>
        <w:tabs>
          <w:tab w:leader="none" w:pos="132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379" w:firstLine="642"/>
        <w:spacing w:after="0" w:line="266" w:lineRule="auto"/>
        <w:tabs>
          <w:tab w:leader="none" w:pos="127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139" w:firstLine="642"/>
        <w:spacing w:after="0" w:line="255" w:lineRule="auto"/>
        <w:tabs>
          <w:tab w:leader="none" w:pos="132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93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right="99" w:firstLine="642"/>
        <w:spacing w:after="0" w:line="266" w:lineRule="auto"/>
        <w:tabs>
          <w:tab w:leader="none" w:pos="131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80" w:right="119" w:firstLine="642"/>
        <w:spacing w:after="0" w:line="282" w:lineRule="auto"/>
        <w:tabs>
          <w:tab w:leader="none" w:pos="131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6" w:name="page177"/>
    <w:bookmarkEnd w:id="17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Hunter C. Smith, certify that:</w:t>
      </w:r>
    </w:p>
    <w:p>
      <w:pPr>
        <w:spacing w:after="0" w:line="212" w:lineRule="exact"/>
        <w:rPr>
          <w:sz w:val="20"/>
          <w:szCs w:val="20"/>
          <w:color w:val="auto"/>
        </w:rPr>
      </w:pPr>
    </w:p>
    <w:p>
      <w:pPr>
        <w:ind w:left="1080" w:hanging="223"/>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66" w:lineRule="auto"/>
        <w:tabs>
          <w:tab w:leader="none" w:pos="10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200" w:right="239" w:firstLine="657"/>
        <w:spacing w:after="0" w:line="266" w:lineRule="auto"/>
        <w:tabs>
          <w:tab w:leader="none" w:pos="10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259" w:firstLine="657"/>
        <w:spacing w:after="0" w:line="266" w:lineRule="auto"/>
        <w:tabs>
          <w:tab w:leader="none" w:pos="10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540" w:right="259" w:firstLine="641"/>
        <w:spacing w:after="0" w:line="261" w:lineRule="auto"/>
        <w:tabs>
          <w:tab w:leader="none" w:pos="147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540" w:right="259" w:firstLine="641"/>
        <w:spacing w:after="0" w:line="255" w:lineRule="auto"/>
        <w:tabs>
          <w:tab w:leader="none" w:pos="148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40" w:right="499" w:firstLine="641"/>
        <w:spacing w:after="0" w:line="261" w:lineRule="auto"/>
        <w:tabs>
          <w:tab w:leader="none" w:pos="148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200" w:right="259" w:firstLine="657"/>
        <w:spacing w:after="0" w:line="258" w:lineRule="auto"/>
        <w:tabs>
          <w:tab w:leader="none" w:pos="10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40" w:right="759" w:firstLine="641"/>
        <w:spacing w:after="0" w:line="266" w:lineRule="auto"/>
        <w:tabs>
          <w:tab w:leader="none" w:pos="1488"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7" w:name="page178"/>
    <w:bookmarkEnd w:id="1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 David P. Meeker, M.D., certify pursuant to 18 U.S.C. Section 1350, as adopted pursuant to Section 906 of the Sarbanes-Oxley Act of 2002, that, to the best of my knowledge, the Quarterly Report on Form 10-Q of Rhythm Pharmaceuticals, Inc. for the fiscal quarter ended March 31, 2024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8" w:name="page179"/>
    <w:bookmarkEnd w:id="17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200" w:right="319" w:firstLine="648"/>
        <w:spacing w:after="0" w:line="254" w:lineRule="auto"/>
        <w:rPr>
          <w:sz w:val="20"/>
          <w:szCs w:val="20"/>
          <w:color w:val="auto"/>
        </w:rPr>
      </w:pPr>
      <w:r>
        <w:rPr>
          <w:rFonts w:ascii="Times New Roman" w:cs="Times New Roman" w:eastAsia="Times New Roman" w:hAnsi="Times New Roman"/>
          <w:sz w:val="18"/>
          <w:szCs w:val="18"/>
          <w:color w:val="auto"/>
        </w:rPr>
        <w:t>I, Hunter C. Smith, certify pursuant to 18 U.S.C. Section 1350, as adopted pursuant to Section 906 of the Sarbanes-Oxley Act of 2002, that, to the best of my knowledge, the Quarterly Report on Form 10-Q of Rhythm Pharmaceuticals, Inc. for the fiscal quarter ended March 31, 2024 (the “Report”) fully complies with the requirements of Section 13(a) or 15(d) of the Securities Exchange Act of 1934 and the information contained in the Report fairly presents, in all material respects, the financial condition and results of operations of Rhythm Pharmaceuticals Inc.</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lowerRoman"/>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lvl w:ilvl="1">
      <w:lvlJc w:val="left"/>
      <w:lvlText w:val="●"/>
      <w:numFmt w:val="bullet"/>
      <w:start w:val="1"/>
    </w:lvl>
  </w:abstractNum>
  <w:abstractNum w:abstractNumId="18">
    <w:nsid w:val="2DF6D648"/>
    <w:multiLevelType w:val="hybridMultilevel"/>
    <w:lvl w:ilvl="0">
      <w:lvlJc w:val="left"/>
      <w:lvlText w:val="●"/>
      <w:numFmt w:val="bullet"/>
      <w:start w:val="1"/>
    </w:lvl>
    <w:lvl w:ilvl="1">
      <w:lvlJc w:val="left"/>
      <w:lvlText w:val="●"/>
      <w:numFmt w:val="bullet"/>
      <w:start w:val="1"/>
    </w:lvl>
  </w:abstractNum>
  <w:abstractNum w:abstractNumId="19">
    <w:nsid w:val="46B7D447"/>
    <w:multiLevelType w:val="hybridMultilevel"/>
    <w:lvl w:ilvl="0">
      <w:lvlJc w:val="left"/>
      <w:lvlText w:val="●"/>
      <w:numFmt w:val="bullet"/>
      <w:start w:val="1"/>
    </w:lvl>
    <w:lvl w:ilvl="1">
      <w:lvlJc w:val="left"/>
      <w:lvlText w:val="●"/>
      <w:numFmt w:val="bullet"/>
      <w:start w:val="1"/>
    </w:lvl>
  </w:abstractNum>
  <w:abstractNum w:abstractNumId="20">
    <w:nsid w:val="4A2AC315"/>
    <w:multiLevelType w:val="hybridMultilevel"/>
    <w:lvl w:ilvl="0">
      <w:lvlJc w:val="left"/>
      <w:lvlText w:val="●"/>
      <w:numFmt w:val="bullet"/>
      <w:start w:val="1"/>
    </w:lvl>
    <w:lvl w:ilvl="1">
      <w:lvlJc w:val="left"/>
      <w:lvlText w:val="●"/>
      <w:numFmt w:val="bullet"/>
      <w:start w:val="1"/>
    </w:lvl>
  </w:abstractNum>
  <w:abstractNum w:abstractNumId="21">
    <w:nsid w:val="39EE015C"/>
    <w:multiLevelType w:val="hybridMultilevel"/>
    <w:lvl w:ilvl="0">
      <w:lvlJc w:val="left"/>
      <w:lvlText w:val="●"/>
      <w:numFmt w:val="bullet"/>
      <w:start w:val="1"/>
    </w:lvl>
    <w:lvl w:ilvl="1">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lowerLetter"/>
      <w:start w:val="2"/>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1)"/>
      <w:numFmt w:val="lowerLetter"/>
      <w:start w:val="8"/>
    </w:lvl>
  </w:abstractNum>
  <w:abstractNum w:abstractNumId="55">
    <w:nsid w:val="1D9F6E5F"/>
    <w:multiLevelType w:val="hybridMultilevel"/>
    <w:lvl w:ilvl="0">
      <w:lvlJc w:val="left"/>
      <w:lvlText w:val="(%1)"/>
      <w:numFmt w:val="lowerLetter"/>
      <w:start w:val="1"/>
    </w:lvl>
  </w:abstractNum>
  <w:abstractNum w:abstractNumId="56">
    <w:nsid w:val="97E1B4E"/>
    <w:multiLevelType w:val="hybridMultilevel"/>
    <w:lvl w:ilvl="0">
      <w:lvlJc w:val="left"/>
      <w:lvlText w:val="(%1)"/>
      <w:numFmt w:val="lowerLetter"/>
      <w:start w:val="2"/>
    </w:lvl>
  </w:abstractNum>
  <w:abstractNum w:abstractNumId="57">
    <w:nsid w:val="51088277"/>
    <w:multiLevelType w:val="hybridMultilevel"/>
    <w:lvl w:ilvl="0">
      <w:lvlJc w:val="left"/>
      <w:lvlText w:val="(%1)"/>
      <w:numFmt w:val="lowerLetter"/>
      <w:start w:val="1"/>
    </w:lvl>
    <w:lvl w:ilvl="1">
      <w:lvlJc w:val="left"/>
      <w:lvlText w:val="-"/>
      <w:numFmt w:val="bullet"/>
      <w:start w:val="1"/>
    </w:lvl>
  </w:abstractNum>
  <w:abstractNum w:abstractNumId="58">
    <w:nsid w:val="1CA0C5FA"/>
    <w:multiLevelType w:val="hybridMultilevel"/>
    <w:lvl w:ilvl="0">
      <w:lvlJc w:val="left"/>
      <w:lvlText w:val="(%1)"/>
      <w:numFmt w:val="lowerLetter"/>
      <w:start w:val="2"/>
    </w:lvl>
  </w:abstractNum>
  <w:abstractNum w:abstractNumId="59">
    <w:nsid w:val="53584BCB"/>
    <w:multiLevelType w:val="hybridMultilevel"/>
    <w:lvl w:ilvl="0">
      <w:lvlJc w:val="left"/>
      <w:lvlText w:val="%1"/>
      <w:numFmt w:val="decimal"/>
      <w:start w:val="1"/>
    </w:lvl>
    <w:lvl w:ilvl="1">
      <w:lvlJc w:val="left"/>
      <w:lvlText w:val="(%2)"/>
      <w:numFmt w:val="lowerLetter"/>
      <w:start w:val="1"/>
    </w:lvl>
  </w:abstractNum>
  <w:abstractNum w:abstractNumId="60">
    <w:nsid w:val="415E286C"/>
    <w:multiLevelType w:val="hybridMultilevel"/>
    <w:lvl w:ilvl="0">
      <w:lvlJc w:val="left"/>
      <w:lvlText w:val="(%1)"/>
      <w:numFmt w:val="decimal"/>
      <w:start w:val="15"/>
    </w:lvl>
    <w:lvl w:ilvl="1">
      <w:lvlJc w:val="left"/>
      <w:lvlText w:val="(%2)"/>
      <w:numFmt w:val="lowerLetter"/>
      <w:start w:val="2"/>
    </w:lvl>
  </w:abstractNum>
  <w:abstractNum w:abstractNumId="61">
    <w:nsid w:val="7C58FD05"/>
    <w:multiLevelType w:val="hybridMultilevel"/>
    <w:lvl w:ilvl="0">
      <w:lvlJc w:val="left"/>
      <w:lvlText w:val="(%1)"/>
      <w:numFmt w:val="decimal"/>
      <w:start w:val="1"/>
    </w:lvl>
    <w:lvl w:ilvl="1">
      <w:lvlJc w:val="left"/>
      <w:lvlText w:val="(%2)"/>
      <w:numFmt w:val="lowerLetter"/>
      <w:start w:val="3"/>
    </w:lvl>
  </w:abstractNum>
  <w:abstractNum w:abstractNumId="62">
    <w:nsid w:val="23D86AAC"/>
    <w:multiLevelType w:val="hybridMultilevel"/>
    <w:lvl w:ilvl="0">
      <w:lvlJc w:val="left"/>
      <w:lvlText w:val="(%1)"/>
      <w:numFmt w:val="lowerLetter"/>
      <w:start w:val="1"/>
    </w:lvl>
    <w:lvl w:ilvl="1">
      <w:lvlJc w:val="left"/>
      <w:lvlText w:val="(%2)"/>
      <w:numFmt w:val="lowerRoman"/>
      <w:start w:val="1"/>
    </w:lvl>
  </w:abstractNum>
  <w:abstractNum w:abstractNumId="63">
    <w:nsid w:val="45E6D486"/>
    <w:multiLevelType w:val="hybridMultilevel"/>
    <w:lvl w:ilvl="0">
      <w:lvlJc w:val="left"/>
      <w:lvlText w:val="(%1)"/>
      <w:numFmt w:val="lowerLetter"/>
      <w:start w:val="23"/>
    </w:lvl>
    <w:lvl w:ilvl="1">
      <w:lvlJc w:val="left"/>
      <w:lvlText w:val="-"/>
      <w:numFmt w:val="bullet"/>
      <w:start w:val="1"/>
    </w:lvl>
  </w:abstractNum>
  <w:abstractNum w:abstractNumId="64">
    <w:nsid w:val="5C10FE21"/>
    <w:multiLevelType w:val="hybridMultilevel"/>
    <w:lvl w:ilvl="0">
      <w:lvlJc w:val="left"/>
      <w:lvlText w:val="(%1)"/>
      <w:numFmt w:val="lowerLetter"/>
      <w:start w:val="25"/>
    </w:lvl>
  </w:abstractNum>
  <w:abstractNum w:abstractNumId="65">
    <w:nsid w:val="E7FFA2B"/>
    <w:multiLevelType w:val="hybridMultilevel"/>
    <w:lvl w:ilvl="0">
      <w:lvlJc w:val="left"/>
      <w:lvlText w:val="(%1)"/>
      <w:numFmt w:val="lowerRoman"/>
      <w:start w:val="10"/>
    </w:lvl>
  </w:abstractNum>
  <w:abstractNum w:abstractNumId="66">
    <w:nsid w:val="3C5991AA"/>
    <w:multiLevelType w:val="hybridMultilevel"/>
    <w:lvl w:ilvl="0">
      <w:lvlJc w:val="left"/>
      <w:lvlText w:val="(%1)"/>
      <w:numFmt w:val="lowerLetter"/>
      <w:start w:val="1"/>
    </w:lvl>
    <w:lvl w:ilvl="1">
      <w:lvlJc w:val="left"/>
      <w:lvlText w:val="-"/>
      <w:numFmt w:val="bullet"/>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lowerLetter"/>
      <w:start w:val="5"/>
    </w:lvl>
  </w:abstractNum>
  <w:abstractNum w:abstractNumId="69">
    <w:nsid w:val="39B7AAA2"/>
    <w:multiLevelType w:val="hybridMultilevel"/>
    <w:lvl w:ilvl="0">
      <w:lvlJc w:val="left"/>
      <w:lvlText w:val="(%1)"/>
      <w:numFmt w:val="lowerLetter"/>
      <w:start w:val="1"/>
    </w:lvl>
    <w:lvl w:ilvl="1">
      <w:lvlJc w:val="left"/>
      <w:lvlText w:val="-"/>
      <w:numFmt w:val="bullet"/>
      <w:start w:val="1"/>
    </w:lvl>
  </w:abstractNum>
  <w:abstractNum w:abstractNumId="70">
    <w:nsid w:val="2B0D8DBE"/>
    <w:multiLevelType w:val="hybridMultilevel"/>
    <w:lvl w:ilvl="0">
      <w:lvlJc w:val="left"/>
      <w:lvlText w:val="(%1)"/>
      <w:numFmt w:val="lowerLetter"/>
      <w:start w:val="3"/>
    </w:lvl>
    <w:lvl w:ilvl="1">
      <w:lvlJc w:val="left"/>
      <w:lvlText w:val="(%2)"/>
      <w:numFmt w:val="lowerRoman"/>
      <w:start w:val="1"/>
    </w:lvl>
  </w:abstractNum>
  <w:abstractNum w:abstractNumId="71">
    <w:nsid w:val="6C80EC70"/>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72">
    <w:nsid w:val="379E21B5"/>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3">
    <w:nsid w:val="69E373"/>
    <w:multiLevelType w:val="hybridMultilevel"/>
    <w:lvl w:ilvl="0">
      <w:lvlJc w:val="left"/>
      <w:lvlText w:val="%1"/>
      <w:numFmt w:val="lowerLetter"/>
      <w:start w:val="1"/>
    </w:lvl>
    <w:lvl w:ilvl="1">
      <w:lvlJc w:val="left"/>
      <w:lvlText w:val="(%2)"/>
      <w:numFmt w:val="lowerLetter"/>
      <w:start w:val="35"/>
    </w:lvl>
  </w:abstractNum>
  <w:abstractNum w:abstractNumId="74">
    <w:nsid w:val="2C27173B"/>
    <w:multiLevelType w:val="hybridMultilevel"/>
    <w:lvl w:ilvl="0">
      <w:lvlJc w:val="left"/>
      <w:lvlText w:val="(%1)"/>
      <w:numFmt w:val="lowerLetter"/>
      <w:start w:val="5"/>
    </w:lvl>
    <w:lvl w:ilvl="1">
      <w:lvlJc w:val="left"/>
      <w:lvlText w:val="(%2)"/>
      <w:numFmt w:val="lowerLetter"/>
      <w:start w:val="9"/>
    </w:lvl>
  </w:abstractNum>
  <w:abstractNum w:abstractNumId="75">
    <w:nsid w:val="4C9B0904"/>
    <w:multiLevelType w:val="hybridMultilevel"/>
    <w:lvl w:ilvl="0">
      <w:lvlJc w:val="left"/>
      <w:lvlText w:val="(%1)"/>
      <w:numFmt w:val="lowerRoman"/>
      <w:start w:val="2"/>
    </w:lvl>
  </w:abstractNum>
  <w:abstractNum w:abstractNumId="76">
    <w:nsid w:val="6AA7B75C"/>
    <w:multiLevelType w:val="hybridMultilevel"/>
    <w:lvl w:ilvl="0">
      <w:lvlJc w:val="left"/>
      <w:lvlText w:val="(%1)"/>
      <w:numFmt w:val="lowerLetter"/>
      <w:start w:val="7"/>
    </w:lvl>
    <w:lvl w:ilvl="1">
      <w:lvlJc w:val="left"/>
      <w:lvlText w:val="(%2)"/>
      <w:numFmt w:val="lowerLetter"/>
      <w:start w:val="9"/>
    </w:lvl>
  </w:abstractNum>
  <w:abstractNum w:abstractNumId="77">
    <w:nsid w:val="1DF029D3"/>
    <w:multiLevelType w:val="hybridMultilevel"/>
    <w:lvl w:ilvl="0">
      <w:lvlJc w:val="left"/>
      <w:lvlText w:val="(%1)"/>
      <w:numFmt w:val="lowerRoman"/>
      <w:start w:val="2"/>
    </w:lvl>
  </w:abstractNum>
  <w:abstractNum w:abstractNumId="78">
    <w:nsid w:val="5675FF36"/>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79">
    <w:nsid w:val="3DD15094"/>
    <w:multiLevelType w:val="hybridMultilevel"/>
    <w:lvl w:ilvl="0">
      <w:lvlJc w:val="left"/>
      <w:lvlText w:val="%1"/>
      <w:numFmt w:val="lowerLetter"/>
      <w:start w:val="1"/>
    </w:lvl>
    <w:lvl w:ilvl="1">
      <w:lvlJc w:val="left"/>
      <w:lvlText w:val="(%2)"/>
      <w:numFmt w:val="lowerLetter"/>
      <w:start w:val="35"/>
    </w:lvl>
  </w:abstractNum>
  <w:abstractNum w:abstractNumId="80">
    <w:nsid w:val="3DB012B3"/>
    <w:multiLevelType w:val="hybridMultilevel"/>
    <w:lvl w:ilvl="0">
      <w:lvlJc w:val="left"/>
      <w:lvlText w:val="(%1)"/>
      <w:numFmt w:val="lowerLetter"/>
      <w:start w:val="9"/>
    </w:lvl>
    <w:lvl w:ilvl="1">
      <w:lvlJc w:val="left"/>
      <w:lvlText w:val="%2"/>
      <w:numFmt w:val="lowerLetter"/>
      <w:start w:val="1"/>
    </w:lvl>
  </w:abstractNum>
  <w:abstractNum w:abstractNumId="81">
    <w:nsid w:val="2708C9AF"/>
    <w:multiLevelType w:val="hybridMultilevel"/>
    <w:lvl w:ilvl="0">
      <w:lvlJc w:val="left"/>
      <w:lvlText w:val="(%1)"/>
      <w:numFmt w:val="lowerLetter"/>
      <w:start w:val="11"/>
    </w:lvl>
    <w:lvl w:ilvl="1">
      <w:lvlJc w:val="left"/>
      <w:lvlText w:val="-"/>
      <w:numFmt w:val="bullet"/>
      <w:start w:val="1"/>
    </w:lvl>
  </w:abstractNum>
  <w:abstractNum w:abstractNumId="82">
    <w:nsid w:val="5B25ACE2"/>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83">
    <w:nsid w:val="175DFCF0"/>
    <w:multiLevelType w:val="hybridMultilevel"/>
    <w:lvl w:ilvl="0">
      <w:lvlJc w:val="left"/>
      <w:lvlText w:val="%1"/>
      <w:numFmt w:val="lowerLetter"/>
      <w:start w:val="1"/>
    </w:lvl>
    <w:lvl w:ilvl="1">
      <w:lvlJc w:val="left"/>
      <w:lvlText w:val="(%2)"/>
      <w:numFmt w:val="lowerLetter"/>
      <w:start w:val="22"/>
    </w:lvl>
  </w:abstractNum>
  <w:abstractNum w:abstractNumId="84">
    <w:nsid w:val="4F97E3E4"/>
    <w:multiLevelType w:val="hybridMultilevel"/>
    <w:lvl w:ilvl="0">
      <w:lvlJc w:val="left"/>
      <w:lvlText w:val="(%1)"/>
      <w:numFmt w:val="lowerLetter"/>
      <w:start w:val="15"/>
    </w:lvl>
    <w:lvl w:ilvl="1">
      <w:lvlJc w:val="left"/>
      <w:lvlText w:val="%2"/>
      <w:numFmt w:val="lowerLetter"/>
      <w:start w:val="1"/>
    </w:lvl>
  </w:abstractNum>
  <w:abstractNum w:abstractNumId="85">
    <w:nsid w:val="53B0A9E"/>
    <w:multiLevelType w:val="hybridMultilevel"/>
    <w:lvl w:ilvl="0">
      <w:lvlJc w:val="left"/>
      <w:lvlText w:val="(%1)"/>
      <w:numFmt w:val="lowerLetter"/>
      <w:start w:val="1"/>
    </w:lvl>
    <w:lvl w:ilvl="1">
      <w:lvlJc w:val="left"/>
      <w:lvlText w:val="(%2)"/>
      <w:numFmt w:val="lowerLetter"/>
      <w:start w:val="9"/>
    </w:lvl>
  </w:abstractNum>
  <w:abstractNum w:abstractNumId="86">
    <w:nsid w:val="34FD6B4F"/>
    <w:multiLevelType w:val="hybridMultilevel"/>
    <w:lvl w:ilvl="0">
      <w:lvlJc w:val="left"/>
      <w:lvlText w:val="(%1)"/>
      <w:numFmt w:val="lowerRoman"/>
      <w:start w:val="2"/>
    </w:lvl>
  </w:abstractNum>
  <w:abstractNum w:abstractNumId="87">
    <w:nsid w:val="5915FF3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8">
    <w:nsid w:val="56438D15"/>
    <w:multiLevelType w:val="hybridMultilevel"/>
    <w:lvl w:ilvl="0">
      <w:lvlJc w:val="left"/>
      <w:lvlText w:val="(%1)"/>
      <w:numFmt w:val="lowerLetter"/>
      <w:start w:val="9"/>
    </w:lvl>
    <w:lvl w:ilvl="1">
      <w:lvlJc w:val="left"/>
      <w:lvlText w:val="(%2)"/>
      <w:numFmt w:val="lowerRoman"/>
      <w:start w:val="3"/>
    </w:lvl>
    <w:lvl w:ilvl="2">
      <w:lvlJc w:val="left"/>
      <w:lvlText w:val="-"/>
      <w:numFmt w:val="bullet"/>
      <w:start w:val="1"/>
    </w:lvl>
  </w:abstractNum>
  <w:abstractNum w:abstractNumId="89">
    <w:nsid w:val="519E3149"/>
    <w:multiLevelType w:val="hybridMultilevel"/>
    <w:lvl w:ilvl="0">
      <w:lvlJc w:val="left"/>
      <w:lvlText w:val="(%1)"/>
      <w:numFmt w:val="lowerLetter"/>
      <w:start w:val="1"/>
    </w:lvl>
    <w:lvl w:ilvl="1">
      <w:lvlJc w:val="left"/>
      <w:lvlText w:val="(%2)"/>
      <w:numFmt w:val="lowerLetter"/>
      <w:start w:val="9"/>
    </w:lvl>
  </w:abstractNum>
  <w:abstractNum w:abstractNumId="90">
    <w:nsid w:val="2C6E4AFD"/>
    <w:multiLevelType w:val="hybridMultilevel"/>
    <w:lvl w:ilvl="0">
      <w:lvlJc w:val="left"/>
      <w:lvlText w:val="(%1)"/>
      <w:numFmt w:val="lowerRoman"/>
      <w:start w:val="2"/>
    </w:lvl>
  </w:abstractNum>
  <w:abstractNum w:abstractNumId="91">
    <w:nsid w:val="17A1B582"/>
    <w:multiLevelType w:val="hybridMultilevel"/>
    <w:lvl w:ilvl="0">
      <w:lvlJc w:val="left"/>
      <w:lvlText w:val="(%1)"/>
      <w:numFmt w:val="lowerLetter"/>
      <w:start w:val="2"/>
    </w:lvl>
  </w:abstractNum>
  <w:abstractNum w:abstractNumId="92">
    <w:nsid w:val="4DF72E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3">
    <w:nsid w:val="5046B5A9"/>
    <w:multiLevelType w:val="hybridMultilevel"/>
    <w:lvl w:ilvl="0">
      <w:lvlJc w:val="left"/>
      <w:lvlText w:val="(%1)"/>
      <w:numFmt w:val="lowerLetter"/>
      <w:start w:val="7"/>
    </w:lvl>
  </w:abstractNum>
  <w:abstractNum w:abstractNumId="94">
    <w:nsid w:val="5D888A08"/>
    <w:multiLevelType w:val="hybridMultilevel"/>
    <w:lvl w:ilvl="0">
      <w:lvlJc w:val="left"/>
      <w:lvlText w:val="(%1)"/>
      <w:numFmt w:val="lowerLetter"/>
      <w:start w:val="1"/>
    </w:lvl>
    <w:lvl w:ilvl="1">
      <w:lvlJc w:val="left"/>
      <w:lvlText w:val="-"/>
      <w:numFmt w:val="bullet"/>
      <w:start w:val="1"/>
    </w:lvl>
  </w:abstractNum>
  <w:abstractNum w:abstractNumId="95">
    <w:nsid w:val="2A082C70"/>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6">
    <w:nsid w:val="5EC6AFD4"/>
    <w:multiLevelType w:val="hybridMultilevel"/>
    <w:lvl w:ilvl="0">
      <w:lvlJc w:val="left"/>
      <w:lvlText w:val="%1"/>
      <w:numFmt w:val="lowerLetter"/>
      <w:start w:val="1"/>
    </w:lvl>
    <w:lvl w:ilvl="1">
      <w:lvlJc w:val="left"/>
      <w:lvlText w:val="(%2)"/>
      <w:numFmt w:val="lowerRoman"/>
      <w:start w:val="7"/>
    </w:lvl>
  </w:abstractNum>
  <w:abstractNum w:abstractNumId="97">
    <w:nsid w:val="19E21BB2"/>
    <w:multiLevelType w:val="hybridMultilevel"/>
    <w:lvl w:ilvl="0">
      <w:lvlJc w:val="left"/>
      <w:lvlText w:val="(%1)"/>
      <w:numFmt w:val="lowerLetter"/>
      <w:start w:val="6"/>
    </w:lvl>
    <w:lvl w:ilvl="1">
      <w:lvlJc w:val="left"/>
      <w:lvlText w:val="(%2)"/>
      <w:numFmt w:val="lowerRoman"/>
      <w:start w:val="1"/>
    </w:lvl>
  </w:abstractNum>
  <w:abstractNum w:abstractNumId="98">
    <w:nsid w:val="75E0858A"/>
    <w:multiLevelType w:val="hybridMultilevel"/>
    <w:lvl w:ilvl="0">
      <w:lvlJc w:val="left"/>
      <w:lvlText w:val="(%1)"/>
      <w:numFmt w:val="lowerRoman"/>
      <w:start w:val="2"/>
    </w:lvl>
  </w:abstractNum>
  <w:abstractNum w:abstractNumId="99">
    <w:nsid w:val="57A61A29"/>
    <w:multiLevelType w:val="hybridMultilevel"/>
    <w:lvl w:ilvl="0">
      <w:lvlJc w:val="left"/>
      <w:lvlText w:val="(%1)"/>
      <w:numFmt w:val="lowerRoman"/>
      <w:start w:val="3"/>
    </w:lvl>
  </w:abstractNum>
  <w:abstractNum w:abstractNumId="100">
    <w:nsid w:val="5399C654"/>
    <w:multiLevelType w:val="hybridMultilevel"/>
    <w:lvl w:ilvl="0">
      <w:lvlJc w:val="left"/>
      <w:lvlText w:val="(%1)"/>
      <w:numFmt w:val="lowerLetter"/>
      <w:start w:val="7"/>
    </w:lvl>
  </w:abstractNum>
  <w:abstractNum w:abstractNumId="101">
    <w:nsid w:val="20EE1348"/>
    <w:multiLevelType w:val="hybridMultilevel"/>
    <w:lvl w:ilvl="0">
      <w:lvlJc w:val="left"/>
      <w:lvlText w:val="(%1)"/>
      <w:numFmt w:val="lowerLetter"/>
      <w:start w:val="1"/>
    </w:lvl>
    <w:lvl w:ilvl="1">
      <w:lvlJc w:val="left"/>
      <w:lvlText w:val="(%2)"/>
      <w:numFmt w:val="lowerLetter"/>
      <w:start w:val="9"/>
    </w:lvl>
  </w:abstractNum>
  <w:abstractNum w:abstractNumId="102">
    <w:nsid w:val="4427069A"/>
    <w:multiLevelType w:val="hybridMultilevel"/>
    <w:lvl w:ilvl="0">
      <w:lvlJc w:val="left"/>
      <w:lvlText w:val="(%1)"/>
      <w:numFmt w:val="upperLetter"/>
      <w:start w:val="1"/>
    </w:lvl>
  </w:abstractNum>
  <w:abstractNum w:abstractNumId="103">
    <w:nsid w:val="B37E80A"/>
    <w:multiLevelType w:val="hybridMultilevel"/>
    <w:lvl w:ilvl="0">
      <w:lvlJc w:val="left"/>
      <w:lvlText w:val="(%1)"/>
      <w:numFmt w:val="upperLetter"/>
      <w:start w:val="9"/>
    </w:lvl>
    <w:lvl w:ilvl="1">
      <w:lvlJc w:val="left"/>
      <w:lvlText w:val="-"/>
      <w:numFmt w:val="bullet"/>
      <w:start w:val="1"/>
    </w:lvl>
  </w:abstractNum>
  <w:abstractNum w:abstractNumId="104">
    <w:nsid w:val="2157F6BC"/>
    <w:multiLevelType w:val="hybridMultilevel"/>
    <w:lvl w:ilvl="0">
      <w:lvlJc w:val="left"/>
      <w:lvlText w:val="(%1)"/>
      <w:numFmt w:val="upperLetter"/>
      <w:start w:val="35"/>
    </w:lvl>
  </w:abstractNum>
  <w:abstractNum w:abstractNumId="105">
    <w:nsid w:val="704E1DD5"/>
    <w:multiLevelType w:val="hybridMultilevel"/>
    <w:lvl w:ilvl="0">
      <w:lvlJc w:val="left"/>
      <w:lvlText w:val="%1"/>
      <w:numFmt w:val="lowerRoman"/>
      <w:start w:val="1"/>
    </w:lvl>
    <w:lvl w:ilvl="1">
      <w:lvlJc w:val="left"/>
      <w:lvlText w:val="(%2)"/>
      <w:numFmt w:val="upperLetter"/>
      <w:start w:val="61"/>
    </w:lvl>
  </w:abstractNum>
  <w:abstractNum w:abstractNumId="106">
    <w:nsid w:val="57D2F10E"/>
    <w:multiLevelType w:val="hybridMultilevel"/>
    <w:lvl w:ilvl="0">
      <w:lvlJc w:val="left"/>
      <w:lvlText w:val="(%1)"/>
      <w:numFmt w:val="lowerRoman"/>
      <w:start w:val="2"/>
    </w:lvl>
    <w:lvl w:ilvl="1">
      <w:lvlJc w:val="left"/>
      <w:lvlText w:val="%2"/>
      <w:numFmt w:val="upperLetter"/>
      <w:start w:val="1"/>
    </w:lvl>
  </w:abstractNum>
  <w:abstractNum w:abstractNumId="107">
    <w:nsid w:val="BFFAE18"/>
    <w:multiLevelType w:val="hybridMultilevel"/>
    <w:lvl w:ilvl="0">
      <w:lvlJc w:val="left"/>
      <w:lvlText w:val="(%1)"/>
      <w:numFmt w:val="lowerLetter"/>
      <w:start w:val="2"/>
    </w:lvl>
    <w:lvl w:ilvl="1">
      <w:lvlJc w:val="left"/>
      <w:lvlText w:val="-"/>
      <w:numFmt w:val="bullet"/>
      <w:start w:val="1"/>
    </w:lvl>
  </w:abstractNum>
  <w:abstractNum w:abstractNumId="108">
    <w:nsid w:val="E3E47A8"/>
    <w:multiLevelType w:val="hybridMultilevel"/>
    <w:lvl w:ilvl="0">
      <w:lvlJc w:val="left"/>
      <w:lvlText w:val="(%1)"/>
      <w:numFmt w:val="lowerLetter"/>
      <w:start w:val="3"/>
    </w:lvl>
    <w:lvl w:ilvl="1">
      <w:lvlJc w:val="left"/>
      <w:lvlText w:val="(%2)"/>
      <w:numFmt w:val="lowerRoman"/>
      <w:start w:val="1"/>
    </w:lvl>
  </w:abstractNum>
  <w:abstractNum w:abstractNumId="109">
    <w:nsid w:val="2E48F044"/>
    <w:multiLevelType w:val="hybridMultilevel"/>
    <w:lvl w:ilvl="0">
      <w:lvlJc w:val="left"/>
      <w:lvlText w:val="(%1)"/>
      <w:numFmt w:val="lowerLetter"/>
      <w:start w:val="1"/>
    </w:lvl>
    <w:lvl w:ilvl="1">
      <w:lvlJc w:val="left"/>
      <w:lvlText w:val="(%2)"/>
      <w:numFmt w:val="lowerLetter"/>
      <w:start w:val="9"/>
    </w:lvl>
  </w:abstractNum>
  <w:abstractNum w:abstractNumId="110">
    <w:nsid w:val="49D0FEAC"/>
    <w:multiLevelType w:val="hybridMultilevel"/>
    <w:lvl w:ilvl="0">
      <w:lvlJc w:val="left"/>
      <w:lvlText w:val="%1"/>
      <w:numFmt w:val="lowerLetter"/>
      <w:start w:val="1"/>
    </w:lvl>
    <w:lvl w:ilvl="1">
      <w:lvlJc w:val="left"/>
      <w:lvlText w:val="(%2)"/>
      <w:numFmt w:val="lowerLetter"/>
      <w:start w:val="35"/>
    </w:lvl>
  </w:abstractNum>
  <w:abstractNum w:abstractNumId="111">
    <w:nsid w:val="4BEE5A5B"/>
    <w:multiLevelType w:val="hybridMultilevel"/>
    <w:lvl w:ilvl="0">
      <w:lvlJc w:val="left"/>
      <w:lvlText w:val="(%1)"/>
      <w:numFmt w:val="lowerLetter"/>
      <w:start w:val="3"/>
    </w:lvl>
    <w:lvl w:ilvl="1">
      <w:lvlJc w:val="left"/>
      <w:lvlText w:val="(%2)"/>
      <w:numFmt w:val="lowerLetter"/>
      <w:start w:val="9"/>
    </w:lvl>
  </w:abstractNum>
  <w:abstractNum w:abstractNumId="112">
    <w:nsid w:val="5551B9F3"/>
    <w:multiLevelType w:val="hybridMultilevel"/>
    <w:lvl w:ilvl="0">
      <w:lvlJc w:val="left"/>
      <w:lvlText w:val="(%1)"/>
      <w:numFmt w:val="lowerRoman"/>
      <w:start w:val="2"/>
    </w:lvl>
    <w:lvl w:ilvl="1">
      <w:lvlJc w:val="left"/>
      <w:lvlText w:val="-"/>
      <w:numFmt w:val="bullet"/>
      <w:start w:val="1"/>
    </w:lvl>
  </w:abstractNum>
  <w:abstractNum w:abstractNumId="113">
    <w:nsid w:val="24F6AB8E"/>
    <w:multiLevelType w:val="hybridMultilevel"/>
    <w:lvl w:ilvl="0">
      <w:lvlJc w:val="left"/>
      <w:lvlText w:val="(%1)"/>
      <w:numFmt w:val="lowerLetter"/>
      <w:start w:val="4"/>
    </w:lvl>
    <w:lvl w:ilvl="1">
      <w:lvlJc w:val="left"/>
      <w:lvlText w:val="(%2)"/>
      <w:numFmt w:val="lowerRoman"/>
      <w:start w:val="1"/>
    </w:lvl>
  </w:abstractNum>
  <w:abstractNum w:abstractNumId="114">
    <w:nsid w:val="634C574C"/>
    <w:multiLevelType w:val="hybridMultilevel"/>
    <w:lvl w:ilvl="0">
      <w:lvlJc w:val="left"/>
      <w:lvlText w:val="(%1)"/>
      <w:numFmt w:val="lowerRoman"/>
      <w:start w:val="3"/>
    </w:lvl>
    <w:lvl w:ilvl="1">
      <w:lvlJc w:val="left"/>
      <w:lvlText w:val="-"/>
      <w:numFmt w:val="bullet"/>
      <w:start w:val="1"/>
    </w:lvl>
  </w:abstractNum>
  <w:abstractNum w:abstractNumId="115">
    <w:nsid w:val="24E99DD7"/>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16">
    <w:nsid w:val="2A31B62D"/>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17">
    <w:nsid w:val="1849C29B"/>
    <w:multiLevelType w:val="hybridMultilevel"/>
    <w:lvl w:ilvl="0">
      <w:lvlJc w:val="left"/>
      <w:lvlText w:val="%1"/>
      <w:numFmt w:val="lowerRoman"/>
      <w:start w:val="1"/>
    </w:lvl>
    <w:lvl w:ilvl="1">
      <w:lvlJc w:val="left"/>
      <w:lvlText w:val="(%2)"/>
      <w:numFmt w:val="lowerRoman"/>
      <w:start w:val="5"/>
    </w:lvl>
  </w:abstractNum>
  <w:abstractNum w:abstractNumId="118">
    <w:nsid w:val="7DFF9D09"/>
    <w:multiLevelType w:val="hybridMultilevel"/>
    <w:lvl w:ilvl="0">
      <w:lvlJc w:val="left"/>
      <w:lvlText w:val="(%1)"/>
      <w:numFmt w:val="lowerRoman"/>
      <w:start w:val="10"/>
    </w:lvl>
    <w:lvl w:ilvl="1">
      <w:lvlJc w:val="left"/>
      <w:lvlText w:val="%2"/>
      <w:numFmt w:val="lowerRoman"/>
      <w:start w:val="1"/>
    </w:lvl>
  </w:abstractNum>
  <w:abstractNum w:abstractNumId="119">
    <w:nsid w:val="754342"/>
    <w:multiLevelType w:val="hybridMultilevel"/>
    <w:lvl w:ilvl="0">
      <w:lvlJc w:val="left"/>
      <w:lvlText w:val="(%1)"/>
      <w:numFmt w:val="lowerLetter"/>
      <w:start w:val="6"/>
    </w:lvl>
    <w:lvl w:ilvl="1">
      <w:lvlJc w:val="left"/>
      <w:lvlText w:val="(%2)"/>
      <w:numFmt w:val="lowerLetter"/>
      <w:start w:val="9"/>
    </w:lvl>
  </w:abstractNum>
  <w:abstractNum w:abstractNumId="120">
    <w:nsid w:val="69E7F3E5"/>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21">
    <w:nsid w:val="2A6DE806"/>
    <w:multiLevelType w:val="hybridMultilevel"/>
    <w:lvl w:ilvl="0">
      <w:lvlJc w:val="left"/>
      <w:lvlText w:val="(%1)."/>
      <w:numFmt w:val="lowerLetter"/>
      <w:start w:val="9"/>
    </w:lvl>
    <w:lvl w:ilvl="1">
      <w:lvlJc w:val="left"/>
      <w:lvlText w:val="(%2)"/>
      <w:numFmt w:val="lowerRoman"/>
      <w:start w:val="3"/>
    </w:lvl>
    <w:lvl w:ilvl="2">
      <w:lvlJc w:val="left"/>
      <w:lvlText w:val="-"/>
      <w:numFmt w:val="bullet"/>
      <w:start w:val="1"/>
    </w:lvl>
  </w:abstractNum>
  <w:abstractNum w:abstractNumId="122">
    <w:nsid w:val="1816F8C4"/>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123">
    <w:nsid w:val="37DF2233"/>
    <w:multiLevelType w:val="hybridMultilevel"/>
    <w:lvl w:ilvl="0">
      <w:lvlJc w:val="left"/>
      <w:lvlText w:val="%1"/>
      <w:numFmt w:val="lowerLetter"/>
      <w:start w:val="1"/>
    </w:lvl>
    <w:lvl w:ilvl="1">
      <w:lvlJc w:val="left"/>
      <w:lvlText w:val="(%2)"/>
      <w:numFmt w:val="lowerLetter"/>
      <w:start w:val="35"/>
    </w:lvl>
  </w:abstractNum>
  <w:abstractNum w:abstractNumId="124">
    <w:nsid w:val="7AB49DAF"/>
    <w:multiLevelType w:val="hybridMultilevel"/>
    <w:lvl w:ilvl="0">
      <w:lvlJc w:val="left"/>
      <w:lvlText w:val="(%1)"/>
      <w:numFmt w:val="lowerLetter"/>
      <w:start w:val="8"/>
    </w:lvl>
    <w:lvl w:ilvl="1">
      <w:lvlJc w:val="left"/>
      <w:lvlText w:val="(%2)"/>
      <w:numFmt w:val="lowerLetter"/>
      <w:start w:val="9"/>
    </w:lvl>
  </w:abstractNum>
  <w:abstractNum w:abstractNumId="125">
    <w:nsid w:val="759F82CD"/>
    <w:multiLevelType w:val="hybridMultilevel"/>
    <w:lvl w:ilvl="0">
      <w:lvlJc w:val="left"/>
      <w:lvlText w:val="(%1)"/>
      <w:numFmt w:val="lowerRoman"/>
      <w:start w:val="1"/>
    </w:lvl>
    <w:lvl w:ilvl="1">
      <w:lvlJc w:val="left"/>
      <w:lvlText w:val="-"/>
      <w:numFmt w:val="bullet"/>
      <w:start w:val="1"/>
    </w:lvl>
  </w:abstractNum>
  <w:abstractNum w:abstractNumId="126">
    <w:nsid w:val="61E74EA3"/>
    <w:multiLevelType w:val="hybridMultilevel"/>
    <w:lvl w:ilvl="0">
      <w:lvlJc w:val="left"/>
      <w:lvlText w:val="(%1)"/>
      <w:numFmt w:val="decimal"/>
      <w:start w:val="61"/>
    </w:lvl>
  </w:abstractNum>
  <w:abstractNum w:abstractNumId="127">
    <w:nsid w:val="597B4D84"/>
    <w:multiLevelType w:val="hybridMultilevel"/>
    <w:lvl w:ilvl="0">
      <w:lvlJc w:val="left"/>
      <w:lvlText w:val="(%1)"/>
      <w:numFmt w:val="lowerRoman"/>
      <w:start w:val="1"/>
    </w:lvl>
  </w:abstractNum>
  <w:abstractNum w:abstractNumId="128">
    <w:nsid w:val="F819E7F"/>
    <w:multiLevelType w:val="hybridMultilevel"/>
    <w:lvl w:ilvl="0">
      <w:lvlJc w:val="left"/>
      <w:lvlText w:val="(%1)"/>
      <w:numFmt w:val="lowerRoman"/>
      <w:start w:val="1"/>
    </w:lvl>
  </w:abstractNum>
  <w:abstractNum w:abstractNumId="129">
    <w:nsid w:val="57C7D42D"/>
    <w:multiLevelType w:val="hybridMultilevel"/>
    <w:lvl w:ilvl="0">
      <w:lvlJc w:val="left"/>
      <w:lvlText w:val="(%1)"/>
      <w:numFmt w:val="upperLetter"/>
      <w:start w:val="1"/>
    </w:lvl>
  </w:abstractNum>
  <w:abstractNum w:abstractNumId="130">
    <w:nsid w:val="312167AD"/>
    <w:multiLevelType w:val="hybridMultilevel"/>
    <w:lvl w:ilvl="0">
      <w:lvlJc w:val="left"/>
      <w:lvlText w:val="(%1)"/>
      <w:numFmt w:val="lowerRoman"/>
      <w:start w:val="2"/>
    </w:lvl>
    <w:lvl w:ilvl="1">
      <w:lvlJc w:val="left"/>
      <w:lvlText w:val="-"/>
      <w:numFmt w:val="bullet"/>
      <w:start w:val="1"/>
    </w:lvl>
  </w:abstractNum>
  <w:abstractNum w:abstractNumId="131">
    <w:nsid w:val="631B64D4"/>
    <w:multiLevelType w:val="hybridMultilevel"/>
    <w:lvl w:ilvl="0">
      <w:lvlJc w:val="left"/>
      <w:lvlText w:val="%1"/>
      <w:numFmt w:val="lowerLetter"/>
      <w:start w:val="1"/>
    </w:lvl>
    <w:lvl w:ilvl="1">
      <w:lvlJc w:val="left"/>
      <w:lvlText w:val="(%2)"/>
      <w:numFmt w:val="lowerRoman"/>
      <w:start w:val="3"/>
    </w:lvl>
  </w:abstractNum>
  <w:abstractNum w:abstractNumId="132">
    <w:nsid w:val="78B5E776"/>
    <w:multiLevelType w:val="hybridMultilevel"/>
    <w:lvl w:ilvl="0">
      <w:lvlJc w:val="left"/>
      <w:lvlText w:val="(%1)."/>
      <w:numFmt w:val="lowerLetter"/>
      <w:start w:val="9"/>
    </w:lvl>
    <w:lvl w:ilvl="1">
      <w:lvlJc w:val="left"/>
      <w:lvlText w:val="(%2)"/>
      <w:numFmt w:val="lowerRoman"/>
      <w:start w:val="4"/>
    </w:lvl>
  </w:abstractNum>
  <w:abstractNum w:abstractNumId="133">
    <w:nsid w:val="75486E47"/>
    <w:multiLevelType w:val="hybridMultilevel"/>
    <w:lvl w:ilvl="0">
      <w:lvlJc w:val="left"/>
      <w:lvlText w:val="(%1)"/>
      <w:numFmt w:val="lowerLetter"/>
      <w:start w:val="10"/>
    </w:lvl>
    <w:lvl w:ilvl="1">
      <w:lvlJc w:val="left"/>
      <w:lvlText w:val="%2"/>
      <w:numFmt w:val="lowerRoman"/>
      <w:start w:val="1"/>
    </w:lvl>
  </w:abstractNum>
  <w:abstractNum w:abstractNumId="134">
    <w:nsid w:val="6E534CDE"/>
    <w:multiLevelType w:val="hybridMultilevel"/>
    <w:lvl w:ilvl="0">
      <w:lvlJc w:val="left"/>
      <w:lvlText w:val="(%1)"/>
      <w:numFmt w:val="lowerLetter"/>
      <w:start w:val="1"/>
    </w:lvl>
    <w:lvl w:ilvl="1">
      <w:lvlJc w:val="left"/>
      <w:lvlText w:val="-"/>
      <w:numFmt w:val="bullet"/>
      <w:start w:val="1"/>
    </w:lvl>
  </w:abstractNum>
  <w:abstractNum w:abstractNumId="135">
    <w:nsid w:val="1A0DDE32"/>
    <w:multiLevelType w:val="hybridMultilevel"/>
    <w:lvl w:ilvl="0">
      <w:lvlJc w:val="left"/>
      <w:lvlText w:val="(%1)"/>
      <w:numFmt w:val="lowerLetter"/>
      <w:start w:val="3"/>
    </w:lvl>
  </w:abstractNum>
  <w:abstractNum w:abstractNumId="136">
    <w:nsid w:val="65968C1C"/>
    <w:multiLevelType w:val="hybridMultilevel"/>
    <w:lvl w:ilvl="0">
      <w:lvlJc w:val="left"/>
      <w:lvlText w:val="(%1)"/>
      <w:numFmt w:val="lowerLetter"/>
      <w:start w:val="1"/>
    </w:lvl>
    <w:lvl w:ilvl="1">
      <w:lvlJc w:val="left"/>
      <w:lvlText w:val="-"/>
      <w:numFmt w:val="bullet"/>
      <w:start w:val="1"/>
    </w:lvl>
  </w:abstractNum>
  <w:abstractNum w:abstractNumId="137">
    <w:nsid w:val="46263DEC"/>
    <w:multiLevelType w:val="hybridMultilevel"/>
    <w:lvl w:ilvl="0">
      <w:lvlJc w:val="left"/>
      <w:lvlText w:val="(%1)"/>
      <w:numFmt w:val="lowerLetter"/>
      <w:start w:val="2"/>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1."/>
      <w:numFmt w:val="decimal"/>
      <w:start w:val="9"/>
    </w:lvl>
    <w:lvl w:ilvl="1">
      <w:lvlJc w:val="left"/>
      <w:lvlText w:val="*"/>
      <w:numFmt w:val="bullet"/>
      <w:start w:val="1"/>
    </w:lvl>
  </w:abstractNum>
  <w:abstractNum w:abstractNumId="140">
    <w:nsid w:val="746F2E30"/>
    <w:multiLevelType w:val="hybridMultilevel"/>
    <w:lvl w:ilvl="0">
      <w:lvlJc w:val="left"/>
      <w:lvlText w:val="☐"/>
      <w:numFmt w:val="bullet"/>
      <w:start w:val="1"/>
    </w:lvl>
  </w:abstractNum>
  <w:abstractNum w:abstractNumId="141">
    <w:nsid w:val="6FDE8AF6"/>
    <w:multiLevelType w:val="hybridMultilevel"/>
    <w:lvl w:ilvl="0">
      <w:lvlJc w:val="left"/>
      <w:lvlText w:val="*"/>
      <w:numFmt w:val="bullet"/>
      <w:start w:val="1"/>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1"/>
      <w:numFmt w:val="bullet"/>
      <w:start w:val="1"/>
    </w:lvl>
  </w:abstractNum>
  <w:abstractNum w:abstractNumId="144">
    <w:nsid w:val="14D53685"/>
    <w:multiLevelType w:val="hybridMultilevel"/>
    <w:lvl w:ilvl="0">
      <w:lvlJc w:val="left"/>
      <w:lvlText w:val="%1."/>
      <w:numFmt w:val="decimal"/>
      <w:start w:val="1"/>
    </w:lvl>
  </w:abstractNum>
  <w:abstractNum w:abstractNumId="145">
    <w:nsid w:val="230F856C"/>
    <w:multiLevelType w:val="hybridMultilevel"/>
    <w:lvl w:ilvl="0">
      <w:lvlJc w:val="left"/>
      <w:lvlText w:val="%1."/>
      <w:numFmt w:val="decimal"/>
      <w:start w:val="2"/>
    </w:lvl>
    <w:lvl w:ilvl="1">
      <w:lvlJc w:val="left"/>
      <w:lvlText w:val="%2)"/>
      <w:numFmt w:val="lowerLetter"/>
      <w:start w:val="1"/>
    </w:lvl>
  </w:abstractNum>
  <w:abstractNum w:abstractNumId="146">
    <w:nsid w:val="6EAA85FB"/>
    <w:multiLevelType w:val="hybridMultilevel"/>
    <w:lvl w:ilvl="0">
      <w:lvlJc w:val="left"/>
      <w:lvlText w:val="%1"/>
      <w:numFmt w:val="decimal"/>
      <w:start w:val="1"/>
    </w:lvl>
    <w:lvl w:ilvl="1">
      <w:lvlJc w:val="left"/>
      <w:lvlText w:val="%2)"/>
      <w:numFmt w:val="lowerLetter"/>
      <w:start w:val="4"/>
    </w:lvl>
  </w:abstractNum>
  <w:abstractNum w:abstractNumId="147">
    <w:nsid w:val="3F06ECB2"/>
    <w:multiLevelType w:val="hybridMultilevel"/>
    <w:lvl w:ilvl="0">
      <w:lvlJc w:val="left"/>
      <w:lvlText w:val="%1."/>
      <w:numFmt w:val="decimal"/>
      <w:start w:val="4"/>
    </w:lvl>
    <w:lvl w:ilvl="1">
      <w:lvlJc w:val="left"/>
      <w:lvlText w:val="%2)"/>
      <w:numFmt w:val="lowerLetter"/>
      <w:start w:val="1"/>
    </w:lvl>
  </w:abstractNum>
  <w:abstractNum w:abstractNumId="148">
    <w:nsid w:val="3B594807"/>
    <w:multiLevelType w:val="hybridMultilevel"/>
    <w:lvl w:ilvl="0">
      <w:lvlJc w:val="left"/>
      <w:lvlText w:val="%1"/>
      <w:numFmt w:val="decimal"/>
      <w:start w:val="1"/>
    </w:lvl>
    <w:lvl w:ilvl="1">
      <w:lvlJc w:val="left"/>
      <w:lvlText w:val="%2)"/>
      <w:numFmt w:val="lowerLetter"/>
      <w:start w:val="3"/>
    </w:lvl>
  </w:abstractNum>
  <w:abstractNum w:abstractNumId="149">
    <w:nsid w:val="6CAA2304"/>
    <w:multiLevelType w:val="hybridMultilevel"/>
    <w:lvl w:ilvl="0">
      <w:lvlJc w:val="left"/>
      <w:lvlText w:val="%1."/>
      <w:numFmt w:val="decimal"/>
      <w:start w:val="6"/>
    </w:lvl>
    <w:lvl w:ilvl="1">
      <w:lvlJc w:val="left"/>
      <w:lvlText w:val="%2"/>
      <w:numFmt w:val="lowerLetter"/>
      <w:start w:val="1"/>
    </w:lvl>
  </w:abstractNum>
  <w:abstractNum w:abstractNumId="150">
    <w:nsid w:val="3F7C2FF4"/>
    <w:multiLevelType w:val="hybridMultilevel"/>
    <w:lvl w:ilvl="0">
      <w:lvlJc w:val="left"/>
      <w:lvlText w:val="%1."/>
      <w:numFmt w:val="decimal"/>
      <w:start w:val="10"/>
    </w:lvl>
  </w:abstractNum>
  <w:abstractNum w:abstractNumId="151">
    <w:nsid w:val="25413BEC"/>
    <w:multiLevelType w:val="hybridMultilevel"/>
    <w:lvl w:ilvl="0">
      <w:lvlJc w:val="left"/>
      <w:lvlText w:val="%1)"/>
      <w:numFmt w:val="lowerLetter"/>
      <w:start w:val="1"/>
    </w:lvl>
  </w:abstractNum>
  <w:abstractNum w:abstractNumId="152">
    <w:nsid w:val="17180B0B"/>
    <w:multiLevelType w:val="hybridMultilevel"/>
    <w:lvl w:ilvl="0">
      <w:lvlJc w:val="left"/>
      <w:lvlText w:val="%1)"/>
      <w:numFmt w:val="lowerLetter"/>
      <w:start w:val="3"/>
    </w:lvl>
  </w:abstractNum>
  <w:abstractNum w:abstractNumId="153">
    <w:nsid w:val="579328B9"/>
    <w:multiLevelType w:val="hybridMultilevel"/>
    <w:lvl w:ilvl="0">
      <w:lvlJc w:val="left"/>
      <w:lvlText w:val="%1."/>
      <w:numFmt w:val="upperLetter"/>
      <w:start w:val="1"/>
    </w:lvl>
  </w:abstractNum>
  <w:abstractNum w:abstractNumId="154">
    <w:nsid w:val="5D205E20"/>
    <w:multiLevelType w:val="hybridMultilevel"/>
    <w:lvl w:ilvl="0">
      <w:lvlJc w:val="left"/>
      <w:lvlText w:val="%1."/>
      <w:numFmt w:val="decimal"/>
      <w:start w:val="1"/>
    </w:lvl>
  </w:abstractNum>
  <w:abstractNum w:abstractNumId="155">
    <w:nsid w:val="11CCA8BA"/>
    <w:multiLevelType w:val="hybridMultilevel"/>
    <w:lvl w:ilvl="0">
      <w:lvlJc w:val="left"/>
      <w:lvlText w:val="%1."/>
      <w:numFmt w:val="decimal"/>
      <w:start w:val="3"/>
    </w:lvl>
  </w:abstractNum>
  <w:abstractNum w:abstractNumId="156">
    <w:nsid w:val="4D32AB86"/>
    <w:multiLevelType w:val="hybridMultilevel"/>
    <w:lvl w:ilvl="0">
      <w:lvlJc w:val="left"/>
      <w:lvlText w:val="(%1)"/>
      <w:numFmt w:val="decimal"/>
      <w:start w:val="6"/>
    </w:lvl>
  </w:abstractNum>
  <w:abstractNum w:abstractNumId="157">
    <w:nsid w:val="3F07ACC3"/>
    <w:multiLevelType w:val="hybridMultilevel"/>
    <w:lvl w:ilvl="0">
      <w:lvlJc w:val="left"/>
      <w:lvlText w:val="%1."/>
      <w:numFmt w:val="decimal"/>
      <w:start w:val="4"/>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lowerLetter"/>
      <w:start w:val="3"/>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jpe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jpeg"/><Relationship Id="rId216" Type="http://schemas.openxmlformats.org/officeDocument/2006/relationships/image" Target="media/image204.png"/><Relationship Id="rId217" Type="http://schemas.openxmlformats.org/officeDocument/2006/relationships/image" Target="media/image205.jpeg"/><Relationship Id="rId218" Type="http://schemas.openxmlformats.org/officeDocument/2006/relationships/image" Target="media/image206.png"/><Relationship Id="rId219" Type="http://schemas.openxmlformats.org/officeDocument/2006/relationships/image" Target="media/image207.jpe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116" Type="http://schemas.openxmlformats.org/officeDocument/2006/relationships/hyperlink" Target="https://www.sec.gov/Archives/edgar/data/1649904/000155837020004983/rytm-20200331ex3160e0802.htm" TargetMode="External"/><Relationship Id="rId117" Type="http://schemas.openxmlformats.org/officeDocument/2006/relationships/hyperlink" Target="https://www.sec.gov/Archives/edgar/data/1649904/000110465923126873/tm2332524d2_ex3-1.htm" TargetMode="External"/><Relationship Id="rId118" Type="http://schemas.openxmlformats.org/officeDocument/2006/relationships/hyperlink" Target="https://www.sec.gov/Archives/edgar/data/1649904/000110465924047492/tm2411919d1_ex3-1.htm" TargetMode="External"/><Relationship Id="rId119" Type="http://schemas.openxmlformats.org/officeDocument/2006/relationships/hyperlink" Target="https://www.sec.gov/Archives/edgar/data/1649904/000155837024002181/rytm-20231231xex10d25.htm" TargetMode="External"/><Relationship Id="rId120" Type="http://schemas.openxmlformats.org/officeDocument/2006/relationships/hyperlink" Target="https://www.sec.gov/Archives/edgar/data/1649904/000110465924041970/tm241028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2024-05-07T16:19:05Z</dcterms:created>
  <dcterms:modified xsi:type="dcterms:W3CDTF">2024-05-07T16:19:05Z</dcterms:modified>
</cp:coreProperties>
</file>