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5084-1_4seq1.xml.htm"/>
      <w:bookmarkStart w:id="1" w:name="kstm261508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German Christopher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RHYTHM PHARMACEUTICALS, INC.</w:t>
              </w:r>
            </w:hyperlink>
            <w:r>
              <w:rPr/>
              <w:t xml:space="preserve"> [ </w:t>
            </w:r>
            <w:r>
              <w:rPr>
                <w:rFonts w:ascii="Times;serif" w:hAnsi="Times;serif"/>
                <w:color w:val="0000FF"/>
                <w:sz w:val="24"/>
                <w:shd w:fill="FFFFFF" w:val="clear"/>
              </w:rPr>
              <w:t>RYTM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Corporate Controller &amp; CAO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56.69</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1,888</w:t>
            </w:r>
            <w:r>
              <w:rPr>
                <w:rFonts w:ascii="Times;serif" w:hAnsi="Times;serif"/>
                <w:color w:val="008000"/>
                <w:position w:val="7"/>
                <w:sz w:val="16"/>
                <w:sz w:val="20"/>
                <w:shd w:fill="FFFFFF" w:val="clear"/>
              </w:rPr>
              <w:t>(1)</w:t>
            </w:r>
            <w:r>
              <w:rPr/>
              <w:t xml:space="preserve"> </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49.23</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17.97</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92.21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56.69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17.97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04/03/2033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an aggregate of 201 shares of Common Stock purchased pursuant to the Rhythm Pharmaceuticals, Inc.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options were granted on February 14, 2025. The options vest and become exercisable in 16 substantially equal installments upon the Reporting Person's completion of each three full months of successive service to the Issuer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were granted on February 16, 2024. The options vest and become exercisable in 16 substantially equal installments upon the Reporting Person's completion of each three full months of successive service to the Issuer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options were granted on April 4, 2023. The options vest and become exercisable as to 25% of the total shares on March 20, 2024 and, thereafter, as to the remaining 75% of the total shares in twelve equal quarterly installments of 6.25% beginning June 20, 2024 and ending March 20, 2027,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Vander Stoep, attorney-in-fact for Christopher Paul German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0835" TargetMode="External"/><Relationship Id="rId5" Type="http://schemas.openxmlformats.org/officeDocument/2006/relationships/hyperlink" Target="http://www.sec.gov/cgi-bin/browse-edgar?action=getcompany&amp;CIK=00016499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4345</Characters>
  <CharactersWithSpaces>5050</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