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Shulman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RHYTHM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BERKELEY STREET,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RHYTHM PHARMACEUTICALS, INC.</w:t>
              </w:r>
            </w:hyperlink>
            <w:r>
              <w:rPr/>
              <w:t xml:space="preserve"> [ </w:t>
            </w:r>
            <w:r>
              <w:rPr>
                <w:rFonts w:ascii="Times;serif" w:hAnsi="Times;serif"/>
                <w:color w:val="0000FF"/>
                <w:sz w:val="24"/>
                <w:shd w:fill="FFFFFF" w:val="clear"/>
              </w:rPr>
              <w:t>RYTM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20,994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5,079</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119.75</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15,915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2,024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Exercise and sale reported in this Form 4 were effected pursuant to a Rule 10b5-1 trading plan adopted by the Reporting Person on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options were granted on February 9, 2022. The options vested and become exercisable in 16 substantially equal installments upon the Reporting Person's completion of each three full months of successive service to the Issuer following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Vander Stoep, attorney-in-fact for Joseph Shulman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09855" TargetMode="External"/><Relationship Id="rId5" Type="http://schemas.openxmlformats.org/officeDocument/2006/relationships/hyperlink" Target="http://www.sec.gov/cgi-bin/browse-edgar?action=getcompany&amp;CIK=00016499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3615</Characters>
  <CharactersWithSpaces>4192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