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20" w:after="2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4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 the quarterly period ended June 30, 2026</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 the transition period from       to </w:t>
      </w:r>
    </w:p>
    <w:p>
      <w:pPr>
        <w:pStyle w:val="TextBody"/>
        <w:bidi w:val="0"/>
        <w:spacing w:lineRule="auto" w:line="288" w:before="0" w:after="40"/>
        <w:jc w:val="center"/>
        <w:rPr>
          <w:color w:val="000000"/>
        </w:rPr>
      </w:pPr>
      <w:r>
        <w:rPr>
          <w:color w:val="000000"/>
        </w:rPr>
        <w:t>             </w:t>
      </w:r>
      <w:r>
        <w:rPr>
          <w:rFonts w:ascii="Times New Roman;serif" w:hAnsi="Times New Roman;serif"/>
          <w:b/>
          <w:color w:val="000000"/>
          <w:sz w:val="14"/>
        </w:rPr>
        <w:t>Commission file number 001-38223</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RHYTHM PHARMACEUTICALS, INC.</w:t>
      </w:r>
    </w:p>
    <w:p>
      <w:pPr>
        <w:pStyle w:val="TextBody"/>
        <w:bidi w:val="0"/>
        <w:spacing w:lineRule="auto" w:line="288" w:before="0" w:after="4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tbl>
      <w:tblPr>
        <w:tblW w:w="3089" w:type="dxa"/>
        <w:jc w:val="center"/>
        <w:tblInd w:w="0" w:type="dxa"/>
        <w:tblLayout w:type="fixed"/>
        <w:tblCellMar>
          <w:top w:w="28" w:type="dxa"/>
          <w:left w:w="28" w:type="dxa"/>
          <w:bottom w:w="28" w:type="dxa"/>
          <w:right w:w="28" w:type="dxa"/>
        </w:tblCellMar>
      </w:tblPr>
      <w:tblGrid>
        <w:gridCol w:w="677"/>
        <w:gridCol w:w="594"/>
        <w:gridCol w:w="603"/>
        <w:gridCol w:w="356"/>
        <w:gridCol w:w="356"/>
        <w:gridCol w:w="503"/>
      </w:tblGrid>
      <w:tr>
        <w:trPr/>
        <w:tc>
          <w:tcPr>
            <w:tcW w:w="6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Delaware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46-2159271</w:t>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r>
          </w:p>
        </w:tc>
      </w:tr>
      <w:tr>
        <w:trPr/>
        <w:tc>
          <w:tcPr>
            <w:tcW w:w="1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222 Berkeley Street</w:t>
      </w:r>
    </w:p>
    <w:p>
      <w:pPr>
        <w:pStyle w:val="TextBody"/>
        <w:bidi w:val="0"/>
        <w:spacing w:lineRule="auto" w:line="288" w:before="0" w:after="0"/>
        <w:jc w:val="center"/>
        <w:rPr/>
      </w:pPr>
      <w:r>
        <w:rPr>
          <w:rFonts w:ascii="Times New Roman;serif" w:hAnsi="Times New Roman;serif"/>
          <w:b/>
          <w:color w:val="000000"/>
          <w:sz w:val="14"/>
        </w:rPr>
        <w:t>12</w:t>
      </w:r>
      <w:r>
        <w:rPr>
          <w:rFonts w:ascii="Times New Roman;serif" w:hAnsi="Times New Roman;serif"/>
          <w:b/>
          <w:color w:val="000000"/>
          <w:sz w:val="9"/>
        </w:rPr>
        <w:t>th</w:t>
      </w:r>
      <w:r>
        <w:rPr>
          <w:color w:val="000000"/>
        </w:rPr>
        <w:t xml:space="preserve"> </w:t>
      </w:r>
      <w:r>
        <w:rPr>
          <w:rFonts w:ascii="Times New Roman;serif" w:hAnsi="Times New Roman;serif"/>
          <w:b/>
          <w:color w:val="000000"/>
          <w:sz w:val="14"/>
        </w:rPr>
        <w:t>Floor</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Boston, MA 02116</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p>
      <w:pPr>
        <w:pStyle w:val="TextBody"/>
        <w:bidi w:val="0"/>
        <w:spacing w:lineRule="auto" w:line="288" w:before="0" w:after="140"/>
        <w:jc w:val="center"/>
        <w:rPr>
          <w:rFonts w:ascii="Times New Roman;serif" w:hAnsi="Times New Roman;serif"/>
          <w:b w:val="false"/>
          <w:color w:val="000000"/>
          <w:sz w:val="14"/>
        </w:rPr>
      </w:pPr>
      <w:r>
        <w:rPr>
          <w:rFonts w:ascii="Times New Roman;serif" w:hAnsi="Times New Roman;serif"/>
          <w:b w:val="false"/>
          <w:color w:val="000000"/>
          <w:sz w:val="14"/>
        </w:rPr>
        <w:t>(Zip Code)</w:t>
      </w:r>
    </w:p>
    <w:p>
      <w:pPr>
        <w:pStyle w:val="TextBody"/>
        <w:bidi w:val="0"/>
        <w:spacing w:lineRule="auto" w:line="288" w:before="0" w:after="0"/>
        <w:jc w:val="center"/>
        <w:rPr/>
      </w:pPr>
      <w:r>
        <w:rPr>
          <w:rFonts w:ascii="Times New Roman;serif" w:hAnsi="Times New Roman;serif"/>
          <w:b w:val="false"/>
          <w:color w:val="000000"/>
          <w:sz w:val="14"/>
        </w:rPr>
        <w:t>(</w:t>
      </w:r>
      <w:r>
        <w:rPr>
          <w:rFonts w:ascii="Times New Roman;serif" w:hAnsi="Times New Roman;serif"/>
          <w:b/>
          <w:color w:val="000000"/>
          <w:sz w:val="14"/>
        </w:rPr>
        <w:t>857) 264-4280</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N/A</w:t>
      </w:r>
    </w:p>
    <w:p>
      <w:pPr>
        <w:pStyle w:val="TextBody"/>
        <w:bidi w:val="0"/>
        <w:spacing w:lineRule="auto" w:line="288" w:before="0" w:after="140"/>
        <w:jc w:val="center"/>
        <w:rPr>
          <w:rFonts w:ascii="Times New Roman;serif" w:hAnsi="Times New Roman;serif"/>
          <w:b w:val="false"/>
          <w:color w:val="000000"/>
          <w:sz w:val="14"/>
        </w:rPr>
      </w:pPr>
      <w:r>
        <w:rPr>
          <w:rFonts w:ascii="Times New Roman;serif" w:hAnsi="Times New Roman;serif"/>
          <w:b w:val="false"/>
          <w:color w:val="000000"/>
          <w:sz w:val="14"/>
        </w:rPr>
        <w:t>(Former Name, Former Address and Former Fiscal Year, if Changed Since Last Report)</w:t>
      </w:r>
    </w:p>
    <w:p>
      <w:pPr>
        <w:pStyle w:val="TextBody"/>
        <w:bidi w:val="0"/>
        <w:spacing w:lineRule="auto" w:line="288" w:before="0" w:after="200"/>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7018" w:type="dxa"/>
        <w:jc w:val="left"/>
        <w:tblInd w:w="0" w:type="dxa"/>
        <w:tblLayout w:type="fixed"/>
        <w:tblCellMar>
          <w:top w:w="28" w:type="dxa"/>
          <w:left w:w="28" w:type="dxa"/>
          <w:bottom w:w="28" w:type="dxa"/>
          <w:right w:w="28" w:type="dxa"/>
        </w:tblCellMar>
      </w:tblPr>
      <w:tblGrid>
        <w:gridCol w:w="929"/>
        <w:gridCol w:w="814"/>
        <w:gridCol w:w="821"/>
        <w:gridCol w:w="394"/>
        <w:gridCol w:w="394"/>
        <w:gridCol w:w="396"/>
        <w:gridCol w:w="957"/>
        <w:gridCol w:w="957"/>
        <w:gridCol w:w="1356"/>
      </w:tblGrid>
      <w:tr>
        <w:trPr/>
        <w:tc>
          <w:tcPr>
            <w:tcW w:w="9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6" w:space="0" w:color="000000"/>
              <w:left w:val="single" w:sz="6" w:space="0" w:color="000000"/>
            </w:tcBorders>
            <w:tcMar>
              <w:top w:w="52" w:type="dxa"/>
              <w:left w:w="45"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1184" w:type="dxa"/>
            <w:gridSpan w:val="3"/>
            <w:tcBorders>
              <w:top w:val="single" w:sz="6" w:space="0" w:color="000000"/>
              <w:left w:val="single" w:sz="6" w:space="0" w:color="000000"/>
            </w:tcBorders>
            <w:tcMar>
              <w:top w:w="52" w:type="dxa"/>
              <w:left w:w="45"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Trading Symbol(s)</w:t>
            </w:r>
          </w:p>
        </w:tc>
        <w:tc>
          <w:tcPr>
            <w:tcW w:w="3270" w:type="dxa"/>
            <w:gridSpan w:val="3"/>
            <w:tcBorders>
              <w:top w:val="single" w:sz="6" w:space="0" w:color="000000"/>
              <w:left w:val="single" w:sz="6" w:space="0" w:color="000000"/>
              <w:right w:val="single" w:sz="6" w:space="0" w:color="000000"/>
            </w:tcBorders>
            <w:tcMar>
              <w:top w:w="52" w:type="dxa"/>
              <w:left w:w="45" w:type="dxa"/>
              <w:bottom w:w="0" w:type="dxa"/>
              <w:right w:w="45"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 on which registered</w:t>
            </w:r>
          </w:p>
        </w:tc>
      </w:tr>
      <w:tr>
        <w:trPr/>
        <w:tc>
          <w:tcPr>
            <w:tcW w:w="2564" w:type="dxa"/>
            <w:gridSpan w:val="3"/>
            <w:tcBorders>
              <w:top w:val="single" w:sz="6" w:space="0" w:color="000000"/>
              <w:left w:val="single" w:sz="6" w:space="0" w:color="000000"/>
              <w:bottom w:val="single" w:sz="6" w:space="0" w:color="000000"/>
            </w:tcBorders>
            <w:tcMar>
              <w:top w:w="52" w:type="dxa"/>
              <w:left w:w="45"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$0.001 par value per share</w:t>
            </w:r>
          </w:p>
        </w:tc>
        <w:tc>
          <w:tcPr>
            <w:tcW w:w="1184" w:type="dxa"/>
            <w:gridSpan w:val="3"/>
            <w:tcBorders>
              <w:top w:val="single" w:sz="6" w:space="0" w:color="000000"/>
              <w:left w:val="single" w:sz="6" w:space="0" w:color="000000"/>
              <w:bottom w:val="single" w:sz="6" w:space="0" w:color="000000"/>
            </w:tcBorders>
            <w:tcMar>
              <w:top w:w="52" w:type="dxa"/>
              <w:left w:w="45"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RYTM</w:t>
            </w:r>
          </w:p>
        </w:tc>
        <w:tc>
          <w:tcPr>
            <w:tcW w:w="3270" w:type="dxa"/>
            <w:gridSpan w:val="3"/>
            <w:tcBorders>
              <w:top w:val="single" w:sz="6" w:space="0" w:color="000000"/>
              <w:left w:val="single" w:sz="6" w:space="0" w:color="000000"/>
              <w:bottom w:val="single" w:sz="6" w:space="0" w:color="000000"/>
              <w:right w:val="single" w:sz="6" w:space="0" w:color="000000"/>
            </w:tcBorders>
            <w:tcMar>
              <w:top w:w="52"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 (Nasdaq Global Market)</w:t>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w:t>
      </w:r>
    </w:p>
    <w:p>
      <w:pPr>
        <w:pStyle w:val="TextBody"/>
        <w:bidi w:val="0"/>
        <w:spacing w:lineRule="auto" w:line="288" w:before="0" w:after="0"/>
        <w:jc w:val="left"/>
        <w:rPr/>
      </w:pPr>
      <w:r>
        <w:rPr>
          <w:rFonts w:ascii="Times New Roman;serif" w:hAnsi="Times New Roman;serif"/>
          <w:b w:val="false"/>
          <w:color w:val="000000"/>
          <w:sz w:val="14"/>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4"/>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4"/>
        </w:rPr>
        <w:t xml:space="preserve">No </w:t>
      </w:r>
      <w:r>
        <w:rPr>
          <w:color w:val="000000"/>
        </w:rPr>
        <w:t>☐</w:t>
      </w:r>
    </w:p>
    <w:p>
      <w:pPr>
        <w:pStyle w:val="TextBody"/>
        <w:bidi w:val="0"/>
        <w:spacing w:lineRule="auto" w:line="288" w:before="0" w:after="14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4"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109"/>
        <w:gridCol w:w="109"/>
        <w:gridCol w:w="109"/>
        <w:gridCol w:w="559"/>
        <w:gridCol w:w="559"/>
        <w:gridCol w:w="56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4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jc w:val="left"/>
        <w:rPr/>
      </w:pPr>
      <w:r>
        <w:rPr>
          <w:rFonts w:ascii="Times New Roman;serif" w:hAnsi="Times New Roman;serif"/>
          <w:b w:val="false"/>
          <w:color w:val="000000"/>
          <w:sz w:val="14"/>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4"/>
        </w:rPr>
        <w:t xml:space="preserve">No </w:t>
      </w:r>
      <w:r>
        <w:rPr>
          <w:color w:val="000000"/>
        </w:rPr>
        <w:t>☒</w:t>
      </w:r>
      <w:r>
        <w:rPr>
          <w:rFonts w:ascii="Times New Roman;serif" w:hAnsi="Times New Roman;serif"/>
          <w:b w:val="false"/>
          <w:color w:val="000000"/>
          <w:sz w:val="14"/>
        </w:rPr>
        <w:t>.</w:t>
      </w:r>
    </w:p>
    <w:p>
      <w:pPr>
        <w:pStyle w:val="TextBody"/>
        <w:bidi w:val="0"/>
        <w:spacing w:lineRule="auto" w:line="288" w:before="0" w:after="140"/>
        <w:jc w:val="left"/>
        <w:rPr>
          <w:rFonts w:ascii="Times New Roman;serif" w:hAnsi="Times New Roman;serif"/>
          <w:b w:val="false"/>
          <w:color w:val="000000"/>
          <w:sz w:val="14"/>
        </w:rPr>
      </w:pPr>
      <w:r>
        <w:rPr>
          <w:rFonts w:ascii="Times New Roman;serif" w:hAnsi="Times New Roman;serif"/>
          <w:b w:val="false"/>
          <w:color w:val="000000"/>
          <w:sz w:val="14"/>
        </w:rPr>
        <w:t>The number of shares outstanding of the registrant’s Common Stock as of August 1, 2026 was 68,852,082.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INDEX</w:t>
      </w:r>
    </w:p>
    <w:tbl>
      <w:tblPr>
        <w:tblW w:w="10050" w:type="dxa"/>
        <w:jc w:val="left"/>
        <w:tblInd w:w="0" w:type="dxa"/>
        <w:tblLayout w:type="fixed"/>
        <w:tblCellMar>
          <w:top w:w="28" w:type="dxa"/>
          <w:left w:w="28" w:type="dxa"/>
          <w:bottom w:w="28" w:type="dxa"/>
          <w:right w:w="28" w:type="dxa"/>
        </w:tblCellMar>
      </w:tblPr>
      <w:tblGrid>
        <w:gridCol w:w="472"/>
        <w:gridCol w:w="415"/>
        <w:gridCol w:w="419"/>
        <w:gridCol w:w="2642"/>
        <w:gridCol w:w="2642"/>
        <w:gridCol w:w="2650"/>
        <w:gridCol w:w="236"/>
        <w:gridCol w:w="236"/>
        <w:gridCol w:w="338"/>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Page No.</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
              <w:r>
                <w:rPr>
                  <w:rStyle w:val="InternetLink"/>
                  <w:rFonts w:ascii="Times New Roman;serif" w:hAnsi="Times New Roman;serif"/>
                  <w:b w:val="false"/>
                  <w:color w:val="0000FF"/>
                  <w:sz w:val="20"/>
                  <w:u w:val="single"/>
                </w:rPr>
                <w:t>PART I</w:t>
              </w:r>
            </w:hyperlink>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
              <w:r>
                <w:rPr>
                  <w:rStyle w:val="InternetLink"/>
                  <w:rFonts w:ascii="Times New Roman;serif" w:hAnsi="Times New Roman;serif"/>
                  <w:b w:val="false"/>
                  <w:color w:val="0000FF"/>
                  <w:sz w:val="20"/>
                  <w:u w:val="single"/>
                </w:rPr>
                <w:t>FINANCIAL INFORMATION</w:t>
              </w:r>
            </w:hyperlink>
          </w:p>
        </w:tc>
        <w:tc>
          <w:tcPr>
            <w:tcW w:w="81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3">
              <w:r>
                <w:rPr>
                  <w:rStyle w:val="InternetLink"/>
                  <w:rFonts w:ascii="Times New Roman;serif" w:hAnsi="Times New Roman;serif"/>
                  <w:b w:val="false"/>
                  <w:color w:val="0000FF"/>
                  <w:sz w:val="20"/>
                  <w:u w:val="single"/>
                </w:rPr>
                <w:t>Item 1. Condensed Consolidated Financial Statements (Unaudited)</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3">
              <w:r>
                <w:rPr>
                  <w:rStyle w:val="InternetLink"/>
                  <w:rFonts w:ascii="Times New Roman;serif" w:hAnsi="Times New Roman;serif"/>
                  <w:b w:val="false"/>
                  <w:strike w:val="false"/>
                  <w:dstrike w:val="false"/>
                  <w:color w:val="000000"/>
                  <w:sz w:val="20"/>
                  <w:u w:val="none"/>
                  <w:effect w:val="non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6">
              <w:r>
                <w:rPr>
                  <w:rStyle w:val="InternetLink"/>
                  <w:rFonts w:ascii="Times New Roman;serif" w:hAnsi="Times New Roman;serif"/>
                  <w:b w:val="false"/>
                  <w:color w:val="0000FF"/>
                  <w:sz w:val="20"/>
                  <w:u w:val="single"/>
                </w:rPr>
                <w:t>Condensed Consolidated Balance Sheets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6">
              <w:r>
                <w:rPr>
                  <w:rStyle w:val="InternetLink"/>
                  <w:rFonts w:ascii="Times New Roman;serif" w:hAnsi="Times New Roman;serif"/>
                  <w:b w:val="false"/>
                  <w:strike w:val="false"/>
                  <w:dstrike w:val="false"/>
                  <w:color w:val="000000"/>
                  <w:sz w:val="20"/>
                  <w:u w:val="none"/>
                  <w:effect w:val="non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9">
              <w:r>
                <w:rPr>
                  <w:rStyle w:val="InternetLink"/>
                  <w:rFonts w:ascii="Times New Roman;serif" w:hAnsi="Times New Roman;serif"/>
                  <w:b w:val="false"/>
                  <w:color w:val="0000FF"/>
                  <w:sz w:val="20"/>
                  <w:u w:val="single"/>
                </w:rPr>
                <w:t>Condensed Consolidated Statements of Operations and Comprehensive Loss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9">
              <w:r>
                <w:rPr>
                  <w:rStyle w:val="InternetLink"/>
                  <w:rFonts w:ascii="Times New Roman;serif" w:hAnsi="Times New Roman;serif"/>
                  <w:b w:val="false"/>
                  <w:strike w:val="false"/>
                  <w:dstrike w:val="false"/>
                  <w:color w:val="000000"/>
                  <w:sz w:val="20"/>
                  <w:u w:val="none"/>
                  <w:effect w:val="none"/>
                </w:rPr>
                <w:t>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22">
              <w:r>
                <w:rPr>
                  <w:rStyle w:val="InternetLink"/>
                  <w:rFonts w:ascii="Times New Roman;serif" w:hAnsi="Times New Roman;serif"/>
                  <w:b w:val="false"/>
                  <w:color w:val="0000FF"/>
                  <w:sz w:val="20"/>
                  <w:u w:val="single"/>
                </w:rPr>
                <w:t xml:space="preserve">Condensed Consolidated Statements of Convertible Preferred Stock and Stockholders’ Equity </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22">
              <w:r>
                <w:rPr>
                  <w:rStyle w:val="InternetLink"/>
                  <w:rFonts w:ascii="Times New Roman;serif" w:hAnsi="Times New Roman;serif"/>
                  <w:b w:val="false"/>
                  <w:strike w:val="false"/>
                  <w:dstrike w:val="false"/>
                  <w:color w:val="000000"/>
                  <w:sz w:val="20"/>
                  <w:u w:val="none"/>
                  <w:effect w:val="none"/>
                </w:rPr>
                <w:t>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25">
              <w:r>
                <w:rPr>
                  <w:rStyle w:val="InternetLink"/>
                  <w:rFonts w:ascii="Times New Roman;serif" w:hAnsi="Times New Roman;serif"/>
                  <w:b w:val="false"/>
                  <w:color w:val="0000FF"/>
                  <w:sz w:val="20"/>
                  <w:u w:val="single"/>
                </w:rPr>
                <w:t>Condensed Consolidated Statements of Cash Flows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25">
              <w:r>
                <w:rPr>
                  <w:rStyle w:val="InternetLink"/>
                  <w:rFonts w:ascii="Times New Roman;serif" w:hAnsi="Times New Roman;serif"/>
                  <w:b w:val="false"/>
                  <w:strike w:val="false"/>
                  <w:dstrike w:val="false"/>
                  <w:color w:val="000000"/>
                  <w:sz w:val="20"/>
                  <w:u w:val="none"/>
                  <w:effect w:val="non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28">
              <w:r>
                <w:rPr>
                  <w:rStyle w:val="InternetLink"/>
                  <w:rFonts w:ascii="Times New Roman;serif" w:hAnsi="Times New Roman;serif"/>
                  <w:b w:val="false"/>
                  <w:color w:val="0000FF"/>
                  <w:sz w:val="20"/>
                  <w:u w:val="single"/>
                </w:rPr>
                <w:t>Notes to Unaudited Condensed Consolidated Financial Statements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28">
              <w:r>
                <w:rPr>
                  <w:rStyle w:val="InternetLink"/>
                  <w:rFonts w:ascii="Times New Roman;serif" w:hAnsi="Times New Roman;serif"/>
                  <w:b w:val="false"/>
                  <w:strike w:val="false"/>
                  <w:dstrike w:val="false"/>
                  <w:color w:val="000000"/>
                  <w:sz w:val="20"/>
                  <w:u w:val="none"/>
                  <w:effect w:val="non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79">
              <w:r>
                <w:rPr>
                  <w:rStyle w:val="InternetLink"/>
                  <w:rFonts w:ascii="Times New Roman;serif" w:hAnsi="Times New Roman;serif"/>
                  <w:b w:val="false"/>
                  <w:strike w:val="false"/>
                  <w:dstrike w:val="false"/>
                  <w:color w:val="000000"/>
                  <w:sz w:val="20"/>
                  <w:u w:val="none"/>
                  <w:effect w:val="none"/>
                </w:rPr>
                <w:t>26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0">
              <w:r>
                <w:rPr>
                  <w:rStyle w:val="InternetLink"/>
                  <w:rFonts w:ascii="Times New Roman;serif" w:hAnsi="Times New Roman;serif"/>
                  <w:b w:val="false"/>
                  <w:color w:val="0000FF"/>
                  <w:sz w:val="20"/>
                  <w:u w:val="single"/>
                </w:rPr>
                <w:t>Item 3. Quantitative and Qualitative Disclosures About Market Risk</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00">
              <w:r>
                <w:rPr>
                  <w:rStyle w:val="InternetLink"/>
                  <w:rFonts w:ascii="Times New Roman;serif" w:hAnsi="Times New Roman;serif"/>
                  <w:b w:val="false"/>
                  <w:strike w:val="false"/>
                  <w:dstrike w:val="false"/>
                  <w:color w:val="000000"/>
                  <w:sz w:val="20"/>
                  <w:u w:val="none"/>
                  <w:effect w:val="none"/>
                </w:rPr>
                <w:t>41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3">
              <w:r>
                <w:rPr>
                  <w:rStyle w:val="InternetLink"/>
                  <w:rFonts w:ascii="Times New Roman;serif" w:hAnsi="Times New Roman;serif"/>
                  <w:b w:val="false"/>
                  <w:color w:val="0000FF"/>
                  <w:sz w:val="20"/>
                  <w:u w:val="single"/>
                </w:rPr>
                <w:t>Item 4. Controls and Procedures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03">
              <w:r>
                <w:rPr>
                  <w:rStyle w:val="InternetLink"/>
                  <w:rFonts w:ascii="Times New Roman;serif" w:hAnsi="Times New Roman;serif"/>
                  <w:b w:val="false"/>
                  <w:strike w:val="false"/>
                  <w:dstrike w:val="false"/>
                  <w:color w:val="000000"/>
                  <w:sz w:val="20"/>
                  <w:u w:val="none"/>
                  <w:effect w:val="none"/>
                </w:rPr>
                <w:t>41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6">
              <w:r>
                <w:rPr>
                  <w:rStyle w:val="InternetLink"/>
                  <w:rFonts w:ascii="Times New Roman;serif" w:hAnsi="Times New Roman;serif"/>
                  <w:b w:val="false"/>
                  <w:color w:val="0000FF"/>
                  <w:sz w:val="20"/>
                  <w:u w:val="single"/>
                </w:rPr>
                <w:t>PART II</w:t>
              </w:r>
            </w:hyperlink>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6">
              <w:r>
                <w:rPr>
                  <w:rStyle w:val="InternetLink"/>
                  <w:rFonts w:ascii="Times New Roman;serif" w:hAnsi="Times New Roman;serif"/>
                  <w:b w:val="false"/>
                  <w:color w:val="0000FF"/>
                  <w:sz w:val="20"/>
                  <w:u w:val="single"/>
                </w:rPr>
                <w:t>OTHER INFORMATION</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06">
              <w:r>
                <w:rPr>
                  <w:rStyle w:val="InternetLink"/>
                  <w:rFonts w:ascii="Times New Roman;serif" w:hAnsi="Times New Roman;serif"/>
                  <w:b w:val="false"/>
                  <w:strike w:val="false"/>
                  <w:dstrike w:val="false"/>
                  <w:color w:val="000000"/>
                  <w:sz w:val="20"/>
                  <w:u w:val="none"/>
                  <w:effect w:val="none"/>
                </w:rPr>
                <w:t>42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09">
              <w:r>
                <w:rPr>
                  <w:rStyle w:val="InternetLink"/>
                  <w:rFonts w:ascii="Times New Roman;serif" w:hAnsi="Times New Roman;serif"/>
                  <w:b w:val="false"/>
                  <w:color w:val="0000FF"/>
                  <w:sz w:val="20"/>
                  <w:u w:val="single"/>
                </w:rPr>
                <w:t>Item 1. Legal Proceedings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09">
              <w:r>
                <w:rPr>
                  <w:rStyle w:val="InternetLink"/>
                  <w:rFonts w:ascii="Times New Roman;serif" w:hAnsi="Times New Roman;serif"/>
                  <w:b w:val="false"/>
                  <w:strike w:val="false"/>
                  <w:dstrike w:val="false"/>
                  <w:color w:val="000000"/>
                  <w:sz w:val="20"/>
                  <w:u w:val="none"/>
                  <w:effect w:val="none"/>
                </w:rPr>
                <w:t>42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12">
              <w:r>
                <w:rPr>
                  <w:rStyle w:val="InternetLink"/>
                  <w:rFonts w:ascii="Times New Roman;serif" w:hAnsi="Times New Roman;serif"/>
                  <w:b w:val="false"/>
                  <w:color w:val="0000FF"/>
                  <w:sz w:val="20"/>
                  <w:u w:val="single"/>
                </w:rPr>
                <w:t>Item 1A. Risk Factors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12">
              <w:r>
                <w:rPr>
                  <w:rStyle w:val="InternetLink"/>
                  <w:rFonts w:ascii="Times New Roman;serif" w:hAnsi="Times New Roman;serif"/>
                  <w:b w:val="false"/>
                  <w:strike w:val="false"/>
                  <w:dstrike w:val="false"/>
                  <w:color w:val="000000"/>
                  <w:sz w:val="20"/>
                  <w:u w:val="none"/>
                  <w:effect w:val="none"/>
                </w:rPr>
                <w:t>42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15">
              <w:r>
                <w:rPr>
                  <w:rStyle w:val="InternetLink"/>
                  <w:rFonts w:ascii="Times New Roman;serif" w:hAnsi="Times New Roman;serif"/>
                  <w:b w:val="false"/>
                  <w:color w:val="0000FF"/>
                  <w:sz w:val="20"/>
                  <w:u w:val="single"/>
                </w:rPr>
                <w:t>Item 2. Unregistered Sales of Equity Securities and Use of Proceeds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15">
              <w:r>
                <w:rPr>
                  <w:rStyle w:val="InternetLink"/>
                  <w:rFonts w:ascii="Times New Roman;serif" w:hAnsi="Times New Roman;serif"/>
                  <w:b w:val="false"/>
                  <w:strike w:val="false"/>
                  <w:dstrike w:val="false"/>
                  <w:color w:val="000000"/>
                  <w:sz w:val="20"/>
                  <w:u w:val="none"/>
                  <w:effect w:val="none"/>
                </w:rPr>
                <w:t>99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18">
              <w:r>
                <w:rPr>
                  <w:rStyle w:val="InternetLink"/>
                  <w:rFonts w:ascii="Times New Roman;serif" w:hAnsi="Times New Roman;serif"/>
                  <w:b w:val="false"/>
                  <w:color w:val="0000FF"/>
                  <w:sz w:val="20"/>
                  <w:u w:val="single"/>
                </w:rPr>
                <w:t>Item 3. Defaults Upon Senior Securities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18">
              <w:r>
                <w:rPr>
                  <w:rStyle w:val="InternetLink"/>
                  <w:rFonts w:ascii="Times New Roman;serif" w:hAnsi="Times New Roman;serif"/>
                  <w:b w:val="false"/>
                  <w:strike w:val="false"/>
                  <w:dstrike w:val="false"/>
                  <w:color w:val="000000"/>
                  <w:sz w:val="20"/>
                  <w:u w:val="none"/>
                  <w:effect w:val="none"/>
                </w:rPr>
                <w:t>99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21">
              <w:r>
                <w:rPr>
                  <w:rStyle w:val="InternetLink"/>
                  <w:rFonts w:ascii="Times New Roman;serif" w:hAnsi="Times New Roman;serif"/>
                  <w:b w:val="false"/>
                  <w:color w:val="0000FF"/>
                  <w:sz w:val="20"/>
                  <w:u w:val="single"/>
                </w:rPr>
                <w:t>Item 4. Mine Safety Disclosure</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21">
              <w:r>
                <w:rPr>
                  <w:rStyle w:val="InternetLink"/>
                  <w:rFonts w:ascii="Times New Roman;serif" w:hAnsi="Times New Roman;serif"/>
                  <w:b w:val="false"/>
                  <w:strike w:val="false"/>
                  <w:dstrike w:val="false"/>
                  <w:color w:val="000000"/>
                  <w:sz w:val="20"/>
                  <w:u w:val="none"/>
                  <w:effect w:val="none"/>
                </w:rPr>
                <w:t>99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24">
              <w:r>
                <w:rPr>
                  <w:rStyle w:val="InternetLink"/>
                  <w:rFonts w:ascii="Times New Roman;serif" w:hAnsi="Times New Roman;serif"/>
                  <w:b w:val="false"/>
                  <w:color w:val="0000FF"/>
                  <w:sz w:val="20"/>
                  <w:u w:val="single"/>
                </w:rPr>
                <w:t>Item 5. Other Information</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24">
              <w:r>
                <w:rPr>
                  <w:rStyle w:val="InternetLink"/>
                  <w:rFonts w:ascii="Times New Roman;serif" w:hAnsi="Times New Roman;serif"/>
                  <w:b w:val="false"/>
                  <w:strike w:val="false"/>
                  <w:dstrike w:val="false"/>
                  <w:color w:val="000000"/>
                  <w:sz w:val="20"/>
                  <w:u w:val="none"/>
                  <w:effect w:val="none"/>
                </w:rPr>
                <w:t>99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30">
              <w:r>
                <w:rPr>
                  <w:rStyle w:val="InternetLink"/>
                  <w:rFonts w:ascii="Times New Roman;serif" w:hAnsi="Times New Roman;serif"/>
                  <w:b w:val="false"/>
                  <w:color w:val="0000FF"/>
                  <w:sz w:val="20"/>
                  <w:u w:val="single"/>
                </w:rPr>
                <w:t>Item 6. Exhibits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30">
              <w:r>
                <w:rPr>
                  <w:rStyle w:val="InternetLink"/>
                  <w:rFonts w:ascii="Times New Roman;serif" w:hAnsi="Times New Roman;serif"/>
                  <w:b w:val="false"/>
                  <w:strike w:val="false"/>
                  <w:dstrike w:val="false"/>
                  <w:color w:val="000000"/>
                  <w:sz w:val="20"/>
                  <w:u w:val="none"/>
                  <w:effect w:val="none"/>
                </w:rPr>
                <w:t>101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7f69f864764df59ac6e8666857100a_133">
              <w:r>
                <w:rPr>
                  <w:rStyle w:val="InternetLink"/>
                  <w:rFonts w:ascii="Times New Roman;serif" w:hAnsi="Times New Roman;serif"/>
                  <w:b w:val="false"/>
                  <w:color w:val="0000FF"/>
                  <w:sz w:val="20"/>
                  <w:u w:val="single"/>
                </w:rPr>
                <w:t>SIGNATURES</w:t>
              </w:r>
            </w:hyperlink>
          </w:p>
        </w:tc>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f69f864764df59ac6e8666857100a_133">
              <w:r>
                <w:rPr>
                  <w:rStyle w:val="InternetLink"/>
                  <w:rFonts w:ascii="Times New Roman;serif" w:hAnsi="Times New Roman;serif"/>
                  <w:b w:val="false"/>
                  <w:strike w:val="false"/>
                  <w:dstrike w:val="false"/>
                  <w:color w:val="000000"/>
                  <w:sz w:val="20"/>
                  <w:u w:val="none"/>
                  <w:effect w:val="non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Rhythm Pharmaceuticals,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0"/>
        <w:gridCol w:w="2386"/>
        <w:gridCol w:w="2357"/>
        <w:gridCol w:w="196"/>
        <w:gridCol w:w="739"/>
        <w:gridCol w:w="109"/>
        <w:gridCol w:w="109"/>
        <w:gridCol w:w="109"/>
        <w:gridCol w:w="109"/>
        <w:gridCol w:w="201"/>
        <w:gridCol w:w="757"/>
        <w:gridCol w:w="163"/>
      </w:tblGrid>
      <w:tr>
        <w:trPr/>
        <w:tc>
          <w:tcPr>
            <w:tcW w:w="297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426,563 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466,916 </w:t>
            </w:r>
          </w:p>
        </w:tc>
        <w:tc>
          <w:tcPr>
            <w:tcW w:w="16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royalty obligation, current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123,587 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105,942 </w:t>
            </w:r>
          </w:p>
        </w:tc>
        <w:tc>
          <w:tcPr>
            <w:tcW w:w="16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royalty obligation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219,965 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210,170 </w:t>
            </w:r>
          </w:p>
        </w:tc>
        <w:tc>
          <w:tcPr>
            <w:tcW w:w="16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$0.001 par value: 150,000 shares authorized; 115,000 and 132,500 shares issued and outstanding at June 30, 2026 and December 31, 2025, respectively. Liquidation preference of $116,457 and $132,500 as of June 30, 2026, and December 31, 2025, respectively.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9,850,000 shares authorized; no shares issued and outstanding at June 30, 2026 and December 31, 2025</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120,000,000 shares authorized; 68,816,868 and 67,205,321 shares issued and outstanding at June 30, 2026 and December 31, 2025, respectively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1,491,675 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139,069 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437,266 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51"/>
        <w:gridCol w:w="1309"/>
        <w:gridCol w:w="1319"/>
        <w:gridCol w:w="240"/>
        <w:gridCol w:w="841"/>
        <w:gridCol w:w="109"/>
        <w:gridCol w:w="109"/>
        <w:gridCol w:w="109"/>
        <w:gridCol w:w="109"/>
        <w:gridCol w:w="240"/>
        <w:gridCol w:w="841"/>
        <w:gridCol w:w="109"/>
        <w:gridCol w:w="109"/>
        <w:gridCol w:w="109"/>
        <w:gridCol w:w="109"/>
        <w:gridCol w:w="211"/>
        <w:gridCol w:w="889"/>
        <w:gridCol w:w="109"/>
        <w:gridCol w:w="109"/>
        <w:gridCol w:w="109"/>
        <w:gridCol w:w="109"/>
        <w:gridCol w:w="211"/>
        <w:gridCol w:w="889"/>
        <w:gridCol w:w="156"/>
      </w:tblGrid>
      <w:tr>
        <w:trPr/>
        <w:tc>
          <w:tcPr>
            <w:tcW w:w="175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81,206 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173,506 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(92,300)</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(95,713)</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dividends on convertible preferred stock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(98,801)</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63,373,489 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net on marketable securities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(101,010)</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Rhythm Pharmaceuticals,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Condensed Consolidated Statements of Convertible Preferred Stock &amp; Stockholders’ Equity</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(in thousands, except share data)</w:t>
      </w:r>
    </w:p>
    <w:p>
      <w:pPr>
        <w:pStyle w:val="TextBody"/>
        <w:bidi w:val="0"/>
        <w:spacing w:lineRule="auto" w:line="288" w:before="0" w:after="200"/>
        <w:jc w:val="center"/>
        <w:rPr>
          <w:rFonts w:ascii="Times New Roman;serif" w:hAnsi="Times New Roman;serif"/>
          <w:b/>
          <w:color w:val="000000"/>
          <w:sz w:val="15"/>
        </w:rPr>
      </w:pPr>
      <w:r>
        <w:rPr>
          <w:rFonts w:ascii="Times New Roman;serif" w:hAnsi="Times New Roman;serif"/>
          <w:b/>
          <w:color w:val="000000"/>
          <w:sz w:val="15"/>
        </w:rPr>
        <w:t>(Unaudited)</w:t>
      </w:r>
    </w:p>
    <w:tbl>
      <w:tblPr>
        <w:tblW w:w="10205" w:type="dxa"/>
        <w:jc w:val="left"/>
        <w:tblInd w:w="0" w:type="dxa"/>
        <w:tblLayout w:type="fixed"/>
        <w:tblCellMar>
          <w:top w:w="28" w:type="dxa"/>
          <w:left w:w="28" w:type="dxa"/>
          <w:bottom w:w="28" w:type="dxa"/>
          <w:right w:w="28" w:type="dxa"/>
        </w:tblCellMar>
      </w:tblPr>
      <w:tblGrid>
        <w:gridCol w:w="616"/>
        <w:gridCol w:w="419"/>
        <w:gridCol w:w="424"/>
        <w:gridCol w:w="278"/>
        <w:gridCol w:w="278"/>
        <w:gridCol w:w="141"/>
        <w:gridCol w:w="109"/>
        <w:gridCol w:w="109"/>
        <w:gridCol w:w="109"/>
        <w:gridCol w:w="166"/>
        <w:gridCol w:w="556"/>
        <w:gridCol w:w="109"/>
        <w:gridCol w:w="109"/>
        <w:gridCol w:w="109"/>
        <w:gridCol w:w="109"/>
        <w:gridCol w:w="353"/>
        <w:gridCol w:w="353"/>
        <w:gridCol w:w="141"/>
        <w:gridCol w:w="109"/>
        <w:gridCol w:w="109"/>
        <w:gridCol w:w="109"/>
        <w:gridCol w:w="166"/>
        <w:gridCol w:w="286"/>
        <w:gridCol w:w="109"/>
        <w:gridCol w:w="109"/>
        <w:gridCol w:w="109"/>
        <w:gridCol w:w="109"/>
        <w:gridCol w:w="166"/>
        <w:gridCol w:w="646"/>
        <w:gridCol w:w="109"/>
        <w:gridCol w:w="109"/>
        <w:gridCol w:w="109"/>
        <w:gridCol w:w="109"/>
        <w:gridCol w:w="201"/>
        <w:gridCol w:w="492"/>
        <w:gridCol w:w="133"/>
        <w:gridCol w:w="109"/>
        <w:gridCol w:w="109"/>
        <w:gridCol w:w="109"/>
        <w:gridCol w:w="166"/>
        <w:gridCol w:w="621"/>
        <w:gridCol w:w="109"/>
        <w:gridCol w:w="109"/>
        <w:gridCol w:w="109"/>
        <w:gridCol w:w="109"/>
        <w:gridCol w:w="166"/>
        <w:gridCol w:w="556"/>
        <w:gridCol w:w="156"/>
      </w:tblGrid>
      <w:tr>
        <w:trPr/>
        <w:tc>
          <w:tcPr>
            <w:tcW w:w="6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Series A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Total</w:t>
              <w:br/>
              <w:t>Stockholders’</w:t>
              <w:br/>
              <w:t>Equity</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left w:val="single" w:sz="6"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1"/>
              </w:rPr>
            </w:pPr>
            <w:r>
              <w:rPr>
                <w:rFonts w:ascii="Times New Roman;serif" w:hAnsi="Times New Roman;serif"/>
                <w:b/>
                <w:color w:val="000000"/>
                <w:sz w:val="11"/>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December 31, 2025</w:t>
            </w:r>
          </w:p>
        </w:tc>
        <w:tc>
          <w:tcPr>
            <w:tcW w:w="5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132,500</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130,957</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6" w:space="0" w:color="000000"/>
            </w:tcBorders>
            <w:shd w:fill="CCEEFF" w:val="clear"/>
            <w:tcMar>
              <w:top w:w="52"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67,205,321</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67</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1,491,675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(796)</w:t>
            </w:r>
          </w:p>
        </w:tc>
        <w:tc>
          <w:tcPr>
            <w:tcW w:w="1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(1,351,877)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139,069</w:t>
            </w:r>
            <w:r>
              <w:rPr>
                <w:color w:val="000000"/>
              </w:rPr>
              <w:t>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 compensation expense</w:t>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23,099 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23,099 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ESPP</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15,875 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936,949 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Tax withholding on vesting of restricted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(77,643)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Conversion of Series A preferred stock redeemable to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(17,500)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364,582 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Foreign currency translation adjustment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unrealized loss on marketable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(544)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(55,639)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(55,639)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March 31, 2026</w:t>
            </w:r>
          </w:p>
        </w:tc>
        <w:tc>
          <w:tcPr>
            <w:tcW w:w="5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115,000</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114,710</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68,445,084</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69</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1,529,909</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444</w:t>
            </w:r>
            <w:r>
              <w:rPr>
                <w:color w:val="000000"/>
              </w:rPr>
              <w:t> </w:t>
            </w:r>
          </w:p>
        </w:tc>
        <w:tc>
          <w:tcPr>
            <w:tcW w:w="1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(1,407,516)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122,906</w:t>
            </w:r>
            <w:r>
              <w:rPr>
                <w:color w:val="000000"/>
              </w:rPr>
              <w:t>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 compensation expense</w:t>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26,056 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26,056 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386,582 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6,997 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Tax withholding on vesting of restricted stock</w:t>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(14,798)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Declaration of preferred stock dividends to be paid in cash</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Foreign currency translation adjustment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(991)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unrealized loss on marketable securities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(49,298)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June 30, 2026</w:t>
            </w:r>
          </w:p>
        </w:tc>
        <w:tc>
          <w:tcPr>
            <w:tcW w:w="55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115,000</w:t>
            </w:r>
            <w:r>
              <w:rPr>
                <w:color w:val="000000"/>
              </w:rPr>
              <w:t> </w:t>
            </w:r>
          </w:p>
        </w:tc>
        <w:tc>
          <w:tcPr>
            <w:tcW w:w="1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114,318</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68,816,868</w:t>
            </w: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69</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1,560,640</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9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(912)</w:t>
            </w:r>
          </w:p>
        </w:tc>
        <w:tc>
          <w:tcPr>
            <w:tcW w:w="13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(1,456,814)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102,983</w:t>
            </w:r>
            <w:r>
              <w:rPr>
                <w:color w:val="000000"/>
              </w:rPr>
              <w:t>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December 31, 2024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150,000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142,820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62,390,654</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1,177,045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(1,155,338)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21,729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Stock-based compensation expense</w:t>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12,862 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12,862 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ESPP</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21,875 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494,853 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Issuance of common stock upon completion of ATM equity offering, net of $739 offering costs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587,510 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32,108 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Foreign currency translation adjustment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Unrealized loss on marketable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(49,498)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March 31, 2025</w:t>
            </w:r>
          </w:p>
        </w:tc>
        <w:tc>
          <w:tcPr>
            <w:tcW w:w="5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150,000</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144,142</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6"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63,494,892</w:t>
            </w:r>
            <w:r>
              <w:rPr>
                <w:color w:val="000000"/>
              </w:rPr>
              <w:t> </w:t>
            </w:r>
          </w:p>
        </w:tc>
        <w:tc>
          <w:tcPr>
            <w:tcW w:w="1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62</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1,223,772</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(51)</w:t>
            </w:r>
          </w:p>
        </w:tc>
        <w:tc>
          <w:tcPr>
            <w:tcW w:w="13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(1,204,836)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18,947</w:t>
            </w:r>
            <w:r>
              <w:rPr>
                <w:color w:val="000000"/>
              </w:rPr>
              <w:t>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Stock-based compensation expense</w:t>
            </w:r>
          </w:p>
        </w:tc>
        <w:tc>
          <w:tcPr>
            <w:tcW w:w="5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15,880 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15,880 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Issuance of common stock in connection with exercise of stock options and vesting of 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418,293 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3,443 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Accretion of preferred stock dividends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(1,349)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Foreign currency translation adjustment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(2,104)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(2,104)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Unrealized loss on marketable securities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(46,632)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(46,632)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Balance at June 30, 2025</w:t>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150,000</w:t>
            </w:r>
            <w:r>
              <w:rPr>
                <w:color w:val="000000"/>
              </w:rPr>
              <w:t> </w:t>
            </w:r>
          </w:p>
        </w:tc>
        <w:tc>
          <w:tcPr>
            <w:tcW w:w="1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145,491</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63,913,185</w:t>
            </w:r>
            <w:r>
              <w:rPr>
                <w:color w:val="000000"/>
              </w:rPr>
              <w:t>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2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64</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1"/>
              </w:rPr>
              <w:t>1,241,744</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49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(2,248)</w:t>
            </w:r>
          </w:p>
        </w:tc>
        <w:tc>
          <w:tcPr>
            <w:tcW w:w="13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6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(1,251,468)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1"/>
              </w:rPr>
            </w:pPr>
            <w:r>
              <w:rPr>
                <w:rFonts w:ascii="Times New Roman;serif" w:hAnsi="Times New Roman;serif"/>
                <w:b/>
                <w:color w:val="000000"/>
                <w:sz w:val="11"/>
              </w:rPr>
              <w:t>(11,908)</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pPr>
      <w:r>
        <w:rPr>
          <w:rFonts w:ascii="Times New Roman;serif" w:hAnsi="Times New Roman;serif"/>
          <w:b w:val="false"/>
          <w:color w:val="000000"/>
          <w:sz w:val="15"/>
        </w:rPr>
        <w:t>The accompanying notes are an integral part of these unaudited condensed consolidated financial statements</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799" w:type="dxa"/>
        <w:jc w:val="left"/>
        <w:tblInd w:w="0" w:type="dxa"/>
        <w:tblLayout w:type="fixed"/>
        <w:tblCellMar>
          <w:top w:w="28" w:type="dxa"/>
          <w:left w:w="28" w:type="dxa"/>
          <w:bottom w:w="28" w:type="dxa"/>
          <w:right w:w="28" w:type="dxa"/>
        </w:tblCellMar>
      </w:tblPr>
      <w:tblGrid>
        <w:gridCol w:w="2195"/>
        <w:gridCol w:w="1926"/>
        <w:gridCol w:w="1939"/>
        <w:gridCol w:w="211"/>
        <w:gridCol w:w="901"/>
        <w:gridCol w:w="109"/>
        <w:gridCol w:w="109"/>
        <w:gridCol w:w="109"/>
        <w:gridCol w:w="109"/>
        <w:gridCol w:w="211"/>
        <w:gridCol w:w="82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Non-cash interest expense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accretion &amp; amortization of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rent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embedded derivative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(gain) loss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items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accrued expenses and other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(53,337)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(63,664)</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Maturities of short-term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deferred royalty obligation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exercise of stock options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on vesting of restricted stock</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from ESPP</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ATM equity offering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136,113 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investing and financing activities:</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preferred stock dividends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Rhythm Pharmaceuticals, Inc.</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 (setmelanotide), as a precision medicine designed to treat hyperphagia and severe obesity caused by MC4R pathway diseases. While obesity affects hundreds of millions of people worldwide, we are developing therapies for a subset of individuals who have hyperphagia, a pathological hunger,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Delaware corporation organized in February 2013 under the name Rhythm Metabolic, Inc., and as of October 2015, under the name Rhythm Pharmaceuticals, Inc. The Company has wholly owned subsidiaries in the US, the United Kingdom, the Netherlands, France, Germany, Italy, Spain, Switzerland, Japan and Canada.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incurred operating losses and experienced negative cash flows from operations since inception. As of June 30, 2026, the Company had an accumulated deficit of $1.5 billion. The Company has funded these losses primarily from the proceeds from the sales of common and preferred stock, product revenue,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comprising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continue to develop its product candidates and ultimately upon its ability to attain profitable operations.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June 30, 2026, the Company had $330.9 million of cash and cash equivalents and short-term investments on hand. 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that additional equity or other financing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w:t>
      </w:r>
      <w:r>
        <w:rPr>
          <w:rFonts w:ascii="Times New Roman;serif" w:hAnsi="Times New Roman;serif"/>
          <w:b w:val="false"/>
          <w:color w:val="000000"/>
          <w:sz w:val="20"/>
          <w:shd w:fill="FFFFFF" w:val="clear"/>
        </w:rPr>
        <w:t>through at least the next 24 months from the filing of this Quarterly Report on Form 10-Q with the SEC</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 as of June 30, 2026, the condensed consolidated statements of operations and comprehensive loss for the three and six months ended June 30, 2026 and 2025, the condensed consolidated statements of convertible preferred stock and stockholders’ equity for the three and six months ended June 30, 2026 and 2025 and the condensed consolidated statements of cash flows for the six months ended June 30, 2026 and 2025 and the related footnote disclosures are unaudited. In management's opinion, the unaudited condensed consolidated financial statements have been prepared on the same basis as the audited consolidated financial statements as of and for the year ended December 31, 2025 and include all adjustments, which are all normal recurring adjustments, necessary for the fair presentation of the interim financial statements. The results for the three and six months ended June 30, 2026 are not necessarily indicative of the results expected for the full fiscal year, any other interim periods, or any future year or period.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reflect the application of certain significant accounting policies as described below and elsewhere in these notes to the unaudited condensed consolidated financial statements. As of June 30, 2026, there have been no material changes in the Company's significant accounting policies from those that were disclosed in the Company’s Annual Report on Form 10-K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and accruals related to research and development expenses. Estimates are periodically reviewed in light of changes in circumstances, facts and experience. Changes in estimates are recorded in the period in which they become known. Actual results could differ materially from those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Rhythm Pharmaceuticals, Inc. and its wholly-owned subsidiaries. All significant intercompany balances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requirements about segments of an enterprise and related information establishes standards for reporting information regarding operating segments in annual financial statements and requires selected information of those segments to be presented in interim financial reports issued to shareholders. Operating segments are defined as components of an enterprise about which separate discrete financial information is available that is evaluated regularly by the chief operating decision maker, or decision-making group, in deciding how to allocate resources and in assessing performance. The Company’s chief operating decision maker is the chief executive officer. The Company and the chief executive officer view the Company’s operations and manage its business as one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Off-Balance Sheet Risk and Concentrations of Credit Risk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risks associated with extending credit to customers related to the sale of products. The Company does not require collateral to secure amounts due from its customers. For the three months ended June 30, 2026, and 2025, approximately 72% and 66% of all the Company’s revenue was generated from a single customer in the United States. As of June 30, 2026, and December 31, 2025, approximately 58% and 56%, respectively, of the Company’s accounts receivable was outstanding from a single customer in the United States.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remaining maturity from the date of purchase of three months or less to be cash equivalents. Cash and cash equivalents includes bank demand deposits, U.S. treasury bills and money market funds that invest primarily in U.S. government treasuries.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Short-term investments consist of investments with maturities greater than 90 days, as of the date of purchase.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available-for-sale. Accordingly, these investments are recorded at fair value, which is based on quoted market prices. Unrealized gains and losses are reported as a component of accumulated other comprehensive income (loss) in stockholders’ equity.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for the decline in value (i.e., any changes to the rating of the security by a rating agency or other adverse conditions specifically related to the security) and management's intended holding period and time horizon for selling. During the three and six months ended June 30, 2026 and 2025, the Company did not recognize any credit losses related to its available-for-sale debt securities. Further, as of June 30, 2026 and December 31, 2025, the Company did not record an allowance for credit losses related to its available-for-sale debt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June 30, 2026 and December 31, 2025, the Company determined an allowance for credit losses was not required based upon our review of contractual payments and our customers’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Company recognizes revenue in accordance with ASC Topic 606,</w:t>
      </w:r>
      <w:r>
        <w:rPr>
          <w:color w:val="000000"/>
        </w:rPr>
        <w:t xml:space="preserve">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or ASC 606. Under ASC 606, an entity recognizes revenue when its customer obtains control of promised goods or services in an amount that reflects the consideration which the entity expects to receive in exchange for those goods or services.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“U.S.”), which accounts for the largest portion of our total revenues, the Company sells its product to one specialty pharmacy. The product is distributed through a third-party logistics provider,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Reserves for Variable Consideration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components of variable consideration related to product revenue: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Government rebates:</w:t>
      </w:r>
      <w:r>
        <w:rPr>
          <w:color w:val="000000"/>
        </w:rPr>
        <w:t xml:space="preserve"> </w:t>
      </w:r>
      <w:r>
        <w:rPr>
          <w:rFonts w:ascii="Times New Roman;serif" w:hAnsi="Times New Roman;serif"/>
          <w:b w:val="false"/>
          <w:color w:val="000000"/>
          <w:sz w:val="20"/>
        </w:rPr>
        <w:t>The Company is subject to discount obligations under government programs, including Medicaid programs, Medicare and Tricare in the United States as well as certain government rebates and pricing adjustments in certain international markets where we operate. We estimate these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val="false"/>
          <w:i/>
          <w:color w:val="000000"/>
          <w:sz w:val="20"/>
        </w:rPr>
        <w:t>Trade discounts and allowances:</w:t>
      </w:r>
      <w:r>
        <w:rPr>
          <w:color w:val="000000"/>
        </w:rPr>
        <w:t xml:space="preserve"> </w:t>
      </w:r>
      <w:r>
        <w:rPr>
          <w:rFonts w:ascii="Times New Roman;serif" w:hAnsi="Times New Roman;serif"/>
          <w:b w:val="false"/>
          <w:color w:val="000000"/>
          <w:sz w:val="20"/>
        </w:rPr>
        <w:t>The Company provides customary invoice discounts on IMCIVREE sales to certain of our customers for prompt payment. These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Product returns: </w:t>
      </w:r>
      <w:r>
        <w:rPr>
          <w:rFonts w:ascii="Times New Roman;serif" w:hAnsi="Times New Roman;serif"/>
          <w:b w:val="false"/>
          <w:color w:val="000000"/>
          <w:sz w:val="20"/>
        </w:rPr>
        <w:t>Our customers have limited return rights related to the product’s damage or defect. The Company estimates the amount of product sales that may be returned and records the estimate as a reduction of revenue and a refund liability in the period the related product revenue is recognized. Based on the distribution model for IMCIVREE, the Company believes there will continue to be minimal returns and these reserves have not been material to date.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Other incentives:</w:t>
      </w:r>
      <w:r>
        <w:rPr>
          <w:color w:val="000000"/>
        </w:rPr>
        <w:t xml:space="preserve"> </w:t>
      </w:r>
      <w:r>
        <w:rPr>
          <w:rFonts w:ascii="Times New Roman;serif" w:hAnsi="Times New Roman;serif"/>
          <w:b w:val="false"/>
          <w:color w:val="000000"/>
          <w:sz w:val="20"/>
        </w:rPr>
        <w:t>Other incentives include co-payment assistance the Company provides to patients with 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Provisions for trade discounts, and allowances are recorded as reductions to accounts receivable, and returns, government rebates, and other incentives are recorded as a component of accrued expenses.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from license or similar agreements with pharmaceutical companies for the development and commercialization of certain of our products and product candidates. Such agreements may include the transfer of intellectual property rights in the form of licenses, transfer of technological know-how, delivery of drug substances, research and development services, and participation on certain committees with the counterparty. Payments made by the customers may include non-refundable upfront fees, payments upon the exercise of customer options, payments based upon the achievement of defined milestones, and royalties on sales of products and product candidates if they are approved and commercialized.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license to our intellectual property is determined to be distinct from the other performance obligations identified in the arrangement, we recognize the transaction price allocated to the license as revenue upon transfer of control of the license. We evaluate all other promised goods or services in the agreement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judgment to determine the transaction price. In connection therewith, we evaluate contingent milestones at contract inception to estimate the amount which is not probable of a material reversal to include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milestone payments that may not be subject to a material reversal and, if necessary, adjust our estimate of the overall transaction price. Any such adjustments are recorded on a cumulative catch-up basis, which would affect license and other revenue, as well as earnings, in the period of adjustment.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then determine whether the performance obligations or combined performance obligations are satisfied over time or at a point in time and, if over time, the appropriate method of measuring progress for purposes of recognizing revenue from non-refundable, upfront fees. We evaluate the measure of progress, as applicable, for each reporting period and, if necessary, adjust the measure of performance and related revenue recognition.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consideration is received, or such consideration is unconditionally due, from a customer prior to transferring goods or services to the customer under the terms of a contract, a contract liability is recorded within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revenue. Contract liabilities within deferred revenue are recognized as revenue after control of the goods or services is transferred to the customer and all revenue recognition criteria have been met.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arrangements that include sales-based royalties, including sales-based milestone payments, and a license of intellectual property that is deemed to be the predominant item to which the royalties relate, we recognize revenue at the later of when the related sales occur or when the performance obligation to which some or all of the royalties have been allocated has been satisfied (or partially satisfied). See Note 12, </w:t>
      </w:r>
      <w:r>
        <w:rPr>
          <w:rFonts w:ascii="Times New Roman;serif" w:hAnsi="Times New Roman;serif"/>
          <w:b w:val="false"/>
          <w:i/>
          <w:color w:val="000000"/>
          <w:sz w:val="20"/>
        </w:rPr>
        <w:t>Significant Agreements</w:t>
      </w:r>
      <w:r>
        <w:rPr>
          <w:rFonts w:ascii="Times New Roman;serif" w:hAnsi="Times New Roman;serif"/>
          <w:b w:val="false"/>
          <w:color w:val="000000"/>
          <w:sz w:val="20"/>
        </w:rPr>
        <w:t>, for discussion related to the Company’s accounting for the RareStone Group, Ltd.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Deferred Royalty Obligation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treats the debt obligation to HealthCare Royalty Management, LLC as discussed further in Note 13, </w:t>
      </w:r>
      <w:r>
        <w:rPr>
          <w:rFonts w:ascii="Times New Roman;serif" w:hAnsi="Times New Roman;serif"/>
          <w:b w:val="false"/>
          <w:i/>
          <w:color w:val="000000"/>
          <w:sz w:val="20"/>
          <w:shd w:fill="FFFFFF" w:val="clear"/>
        </w:rPr>
        <w:t>Long-Term Obligations</w:t>
      </w:r>
      <w:r>
        <w:rPr>
          <w:rFonts w:ascii="Times New Roman;serif" w:hAnsi="Times New Roman;serif"/>
          <w:b w:val="false"/>
          <w:color w:val="000000"/>
          <w:sz w:val="20"/>
          <w:shd w:fill="FFFFFF" w:val="clear"/>
        </w:rPr>
        <w:t>,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 the Company to make estimates that could impact the classification of such costs, as well as the period over which such costs will be amortized.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six months ended June 30, 2026 and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Acquired IPR&amp;D and Milestone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an asset acquisition, payments incurred prior to regulatory approval to acquire rights to in-process research and development (“IPR&amp;D”)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pStyle w:val="TextBody"/>
        <w:bidi w:val="0"/>
        <w:spacing w:lineRule="auto" w:line="288" w:before="0" w:after="240"/>
        <w:jc w:val="left"/>
        <w:rPr/>
      </w:pPr>
      <w:r>
        <w:rPr>
          <w:rFonts w:ascii="Times New Roman;serif" w:hAnsi="Times New Roman;serif"/>
          <w:b/>
          <w:i/>
          <w:color w:val="000000"/>
          <w:sz w:val="20"/>
        </w:rPr>
        <w:t>Foreign Currency</w:t>
      </w:r>
      <w:r>
        <w:rPr>
          <w:color w:val="000000"/>
        </w:rPr>
        <w:t xml:space="preserve"> </w:t>
      </w:r>
      <w:r>
        <w:rPr>
          <w:rFonts w:ascii="Times New Roman;serif" w:hAnsi="Times New Roman;serif"/>
          <w:b/>
          <w:i/>
          <w:color w:val="000000"/>
          <w:sz w:val="20"/>
        </w:rPr>
        <w:t>Translation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income (expense), net on our consolidated statements of operations, were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$(1.7)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and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Level 1 — Quoted market prices in active markets for identical assets or liabilities.</w:t>
      </w:r>
    </w:p>
    <w:p>
      <w:pPr>
        <w:pStyle w:val="TextBody"/>
        <w:bidi w:val="0"/>
        <w:spacing w:lineRule="auto" w:line="288" w:before="0" w:after="24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24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Company’s cash equivalents and marketable securities and derivative asset as of June 30, 2026 and December 31, 2025 were carried at fair value, determined according to the fair value hierarchy. See Note 6, </w:t>
      </w:r>
      <w:r>
        <w:rPr>
          <w:rFonts w:ascii="Times New Roman;serif" w:hAnsi="Times New Roman;serif"/>
          <w:b w:val="false"/>
          <w:i/>
          <w:color w:val="000000"/>
          <w:sz w:val="20"/>
        </w:rPr>
        <w:t>Fair Value of Financial Assets and Liabilities,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reflected in the condensed consolidated balance sheets for accounts payable and accrued expenses and other current liabilities approximate their fair values due to their short-term maturities as of June 30, 2026 and December 31, 2025,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dilutive effects of common stock equivalents outstanding during the period calculated in accordance with the more dilutive of the if-converted or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potential common shares that were excluded from the computation of diluted net loss per share as their effect would have been anti-dilutive for the periods indicated:</w:t>
      </w:r>
    </w:p>
    <w:tbl>
      <w:tblPr>
        <w:tblW w:w="10205" w:type="dxa"/>
        <w:jc w:val="center"/>
        <w:tblInd w:w="0" w:type="dxa"/>
        <w:tblLayout w:type="fixed"/>
        <w:tblCellMar>
          <w:top w:w="28" w:type="dxa"/>
          <w:left w:w="28" w:type="dxa"/>
          <w:bottom w:w="28" w:type="dxa"/>
          <w:right w:w="28" w:type="dxa"/>
        </w:tblCellMar>
      </w:tblPr>
      <w:tblGrid>
        <w:gridCol w:w="2190"/>
        <w:gridCol w:w="1875"/>
        <w:gridCol w:w="1887"/>
        <w:gridCol w:w="750"/>
        <w:gridCol w:w="331"/>
        <w:gridCol w:w="278"/>
        <w:gridCol w:w="278"/>
        <w:gridCol w:w="278"/>
        <w:gridCol w:w="278"/>
        <w:gridCol w:w="750"/>
        <w:gridCol w:w="331"/>
        <w:gridCol w:w="278"/>
        <w:gridCol w:w="109"/>
        <w:gridCol w:w="109"/>
        <w:gridCol w:w="109"/>
        <w:gridCol w:w="109"/>
        <w:gridCol w:w="109"/>
        <w:gridCol w:w="156"/>
      </w:tblGrid>
      <w:tr>
        <w:trPr/>
        <w:tc>
          <w:tcPr>
            <w:tcW w:w="219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and 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6,247,705 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6,931,178 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2,866,826 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2,657,785 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issuable upon the conversion of Series A convertible preferred stock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2,395,836 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3,124,995 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11,830,367 </w:t>
            </w:r>
          </w:p>
        </w:tc>
        <w:tc>
          <w:tcPr>
            <w:tcW w:w="2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13,008,602 </w:t>
            </w:r>
          </w:p>
        </w:tc>
        <w:tc>
          <w:tcPr>
            <w:tcW w:w="2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See Note 16, </w:t>
      </w:r>
      <w:r>
        <w:rPr>
          <w:rFonts w:ascii="Times New Roman;serif" w:hAnsi="Times New Roman;serif"/>
          <w:b w:val="false"/>
          <w:i/>
          <w:color w:val="000000"/>
          <w:sz w:val="20"/>
        </w:rPr>
        <w:t>Subsequent Events</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Application of New or Revised Accounting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The new guidance requires that an entity, on an annual basis, disclose additional income tax information, primarily related to the rate reconciliation and income taxes paid. The amendments in the ASU are intended to enhance the transparency and decision usefulness of income tax disclosures. The amendments in this update are effective for us beginning in fiscal year ending December 31, 2025. The Company has adopted this update on a prospective basis. The adoption of this guidance resulted in expanded disclosures in its consolidated financial statements.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U.S. GAAP. The update represents changes to the Codification that clarify, correct errors, or make minor improvements. The amendments make the Codification easier to understand and apply. The guidance is effective for fiscal years beginning after December 15, 2026, including interim periods within those fiscal years. The Company is in the process of evaluating this guidance to determine the impact it may have on its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amendments in this update provide clarity on interim disclosure requirements and the applicability of Topic 270.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in the process of evaluating this guidance to determine the impact it may have on its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Reporting Comprehensive Income—Expense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ASU 2024-03 is effective for fiscal years beginning after December 15, 2026 and for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in the process of evaluating this guidance to determine the impact it may have on its consolidated financial statement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Asset Acquisitions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LG Chem, Ltd.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4, 2024, the Company entered into a license agreement and share issuance agreement with LG Chem, Ltd. (“LGC”). Under the terms of the license agreement, the Company obtained worldwide rights to LGC’s proprietary compound bivamelagon.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included an additional $40.0 million license fee payable in 18 months, which had a present value at closing of $33.7 million, and $0.8 million of transaction costs which are recorded as selling, general and administrative expenses. On July 1, 2025, the Company made this additional payment of $40.0 million to LGC.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under the terms of the license agreement, the Company agreed to pay LGC up to $205 million in cash upon achieving various regulatory and sales milestones based on net sales of bivamelagon. In addition, and subject to the completion of Phase 2 development of bivamelagon, the Company has agreed to pay LGC royalties of between low- to mid single digit percent of net revenues from its MC4R portfolio, including bivamelagon, commencing in 2029 and dependent upon achievement of various regulatory and indication approvals, and subject to customary deductions and anti-stacking. Royalties may further increase to a low double-digit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assets acquired were IPR&amp;D assets. However, since the IPR&amp;D assets were determined to have no alternative future use, the Company recognized the $92.4 million of purchase consideration as research and development expense in the three months ended March 31,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(in thousands):</w:t>
      </w:r>
    </w:p>
    <w:tbl>
      <w:tblPr>
        <w:tblW w:w="3902"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221"/>
        <w:gridCol w:w="757"/>
        <w:gridCol w:w="16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Accrued Expenses and Other Current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331" w:type="dxa"/>
        <w:jc w:val="left"/>
        <w:tblInd w:w="0" w:type="dxa"/>
        <w:tblLayout w:type="fixed"/>
        <w:tblCellMar>
          <w:top w:w="28" w:type="dxa"/>
          <w:left w:w="28" w:type="dxa"/>
          <w:bottom w:w="28" w:type="dxa"/>
          <w:right w:w="28" w:type="dxa"/>
        </w:tblCellMar>
      </w:tblPr>
      <w:tblGrid>
        <w:gridCol w:w="1387"/>
        <w:gridCol w:w="1215"/>
        <w:gridCol w:w="1222"/>
        <w:gridCol w:w="211"/>
        <w:gridCol w:w="721"/>
        <w:gridCol w:w="109"/>
        <w:gridCol w:w="109"/>
        <w:gridCol w:w="109"/>
        <w:gridCol w:w="109"/>
        <w:gridCol w:w="221"/>
        <w:gridCol w:w="757"/>
        <w:gridCol w:w="161"/>
      </w:tblGrid>
      <w:tr>
        <w:trPr/>
        <w:tc>
          <w:tcPr>
            <w:tcW w:w="13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related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83,855 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Fair Value of Financial Assets and Liabilities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 of cash and cash equivalents and short-term investments was $330.9 million and $388.9 million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measured at fair value on a recurring basis and indicate the level of the fair value hierarchy utilized to determine such fair value (in thousands):</w:t>
      </w:r>
    </w:p>
    <w:tbl>
      <w:tblPr>
        <w:tblW w:w="9225" w:type="dxa"/>
        <w:jc w:val="left"/>
        <w:tblInd w:w="0" w:type="dxa"/>
        <w:tblLayout w:type="fixed"/>
        <w:tblCellMar>
          <w:top w:w="28" w:type="dxa"/>
          <w:left w:w="28" w:type="dxa"/>
          <w:bottom w:w="28" w:type="dxa"/>
          <w:right w:w="28" w:type="dxa"/>
        </w:tblCellMar>
      </w:tblPr>
      <w:tblGrid>
        <w:gridCol w:w="1437"/>
        <w:gridCol w:w="1263"/>
        <w:gridCol w:w="1275"/>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w:t>
              <w:br/>
              <w:t>June 30, 2026 using:</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315,006 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75" w:type="dxa"/>
        <w:jc w:val="left"/>
        <w:tblInd w:w="0" w:type="dxa"/>
        <w:tblLayout w:type="fixed"/>
        <w:tblCellMar>
          <w:top w:w="28" w:type="dxa"/>
          <w:left w:w="28" w:type="dxa"/>
          <w:bottom w:w="28" w:type="dxa"/>
          <w:right w:w="28" w:type="dxa"/>
        </w:tblCellMar>
      </w:tblPr>
      <w:tblGrid>
        <w:gridCol w:w="1437"/>
        <w:gridCol w:w="1263"/>
        <w:gridCol w:w="1275"/>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w:t>
              <w:br/>
              <w:t>December 31, 2025 using:</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105,826 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derivative asset related to our Royalty Interest Financing Agreement (RIFA) with HealthCare Royalty Partners was determined using Level 3 inputs. The fair value measurement of the derivative asset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sensitive to changes in the unobservable inputs used to value the financial instrument. Changes in the inputs could result in changes to the fair value of each financial instrument.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embedded derivative asset associated with our deferred royalty obligation, as discussed further in Note 13, </w:t>
      </w:r>
      <w:r>
        <w:rPr>
          <w:rFonts w:ascii="Times New Roman;serif" w:hAnsi="Times New Roman;serif"/>
          <w:b w:val="false"/>
          <w:i/>
          <w:color w:val="000000"/>
          <w:sz w:val="20"/>
        </w:rPr>
        <w:t>Long-Term Obligations</w:t>
      </w:r>
      <w:r>
        <w:rPr>
          <w:rFonts w:ascii="Times New Roman;serif" w:hAnsi="Times New Roman;serif"/>
          <w:b w:val="false"/>
          <w:color w:val="000000"/>
          <w:sz w:val="20"/>
        </w:rPr>
        <w:t>, is measured at fair value using an option pricing Monte Carlo simulation model and is included as a component of the deferred royalty obligation on the condensed consolidated balance sheets. The embedded derivative asset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 summary of the changes in the estimated fair value of our embedded derivative liability (asset) (in thousands):</w:t>
      </w:r>
    </w:p>
    <w:tbl>
      <w:tblPr>
        <w:tblW w:w="7839" w:type="dxa"/>
        <w:jc w:val="left"/>
        <w:tblInd w:w="0" w:type="dxa"/>
        <w:tblLayout w:type="fixed"/>
        <w:tblCellMar>
          <w:top w:w="28" w:type="dxa"/>
          <w:left w:w="28" w:type="dxa"/>
          <w:bottom w:w="28" w:type="dxa"/>
          <w:right w:w="28" w:type="dxa"/>
        </w:tblCellMar>
      </w:tblPr>
      <w:tblGrid>
        <w:gridCol w:w="2027"/>
        <w:gridCol w:w="1778"/>
        <w:gridCol w:w="1790"/>
        <w:gridCol w:w="211"/>
        <w:gridCol w:w="691"/>
        <w:gridCol w:w="109"/>
        <w:gridCol w:w="109"/>
        <w:gridCol w:w="109"/>
        <w:gridCol w:w="109"/>
        <w:gridCol w:w="211"/>
        <w:gridCol w:w="541"/>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aggregate estimated fair value of Level 3 liability (asset)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aggregate estimated fair value of Level 3 liability (asset)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(in thousands):</w:t>
      </w:r>
    </w:p>
    <w:tbl>
      <w:tblPr>
        <w:tblW w:w="10205" w:type="dxa"/>
        <w:jc w:val="left"/>
        <w:tblInd w:w="0" w:type="dxa"/>
        <w:tblLayout w:type="fixed"/>
        <w:tblCellMar>
          <w:top w:w="28" w:type="dxa"/>
          <w:left w:w="28" w:type="dxa"/>
          <w:bottom w:w="28" w:type="dxa"/>
          <w:right w:w="28" w:type="dxa"/>
        </w:tblCellMar>
      </w:tblPr>
      <w:tblGrid>
        <w:gridCol w:w="1844"/>
        <w:gridCol w:w="1624"/>
        <w:gridCol w:w="1638"/>
        <w:gridCol w:w="211"/>
        <w:gridCol w:w="826"/>
        <w:gridCol w:w="109"/>
        <w:gridCol w:w="109"/>
        <w:gridCol w:w="109"/>
        <w:gridCol w:w="109"/>
        <w:gridCol w:w="274"/>
        <w:gridCol w:w="469"/>
        <w:gridCol w:w="143"/>
        <w:gridCol w:w="109"/>
        <w:gridCol w:w="109"/>
        <w:gridCol w:w="109"/>
        <w:gridCol w:w="233"/>
        <w:gridCol w:w="540"/>
        <w:gridCol w:w="121"/>
        <w:gridCol w:w="109"/>
        <w:gridCol w:w="109"/>
        <w:gridCol w:w="109"/>
        <w:gridCol w:w="211"/>
        <w:gridCol w:w="826"/>
        <w:gridCol w:w="155"/>
      </w:tblGrid>
      <w:tr>
        <w:trPr/>
        <w:tc>
          <w:tcPr>
            <w:tcW w:w="184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 (due within 1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196,985 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265,591 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265,283 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47"/>
        <w:gridCol w:w="1626"/>
        <w:gridCol w:w="1640"/>
        <w:gridCol w:w="211"/>
        <w:gridCol w:w="826"/>
        <w:gridCol w:w="109"/>
        <w:gridCol w:w="109"/>
        <w:gridCol w:w="109"/>
        <w:gridCol w:w="109"/>
        <w:gridCol w:w="237"/>
        <w:gridCol w:w="525"/>
        <w:gridCol w:w="124"/>
        <w:gridCol w:w="109"/>
        <w:gridCol w:w="109"/>
        <w:gridCol w:w="109"/>
        <w:gridCol w:w="268"/>
        <w:gridCol w:w="478"/>
        <w:gridCol w:w="140"/>
        <w:gridCol w:w="109"/>
        <w:gridCol w:w="109"/>
        <w:gridCol w:w="109"/>
        <w:gridCol w:w="211"/>
        <w:gridCol w:w="826"/>
        <w:gridCol w:w="156"/>
      </w:tblGrid>
      <w:tr>
        <w:trPr/>
        <w:tc>
          <w:tcPr>
            <w:tcW w:w="184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and commercial paper (due within 1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334,046 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334,648 </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7. Intangible Assets</w:t>
      </w:r>
    </w:p>
    <w:tbl>
      <w:tblPr>
        <w:tblW w:w="10205" w:type="dxa"/>
        <w:jc w:val="left"/>
        <w:tblInd w:w="0" w:type="dxa"/>
        <w:tblLayout w:type="fixed"/>
        <w:tblCellMar>
          <w:top w:w="28" w:type="dxa"/>
          <w:left w:w="28" w:type="dxa"/>
          <w:bottom w:w="28" w:type="dxa"/>
          <w:right w:w="28" w:type="dxa"/>
        </w:tblCellMar>
      </w:tblPr>
      <w:tblGrid>
        <w:gridCol w:w="463"/>
        <w:gridCol w:w="406"/>
        <w:gridCol w:w="409"/>
        <w:gridCol w:w="337"/>
        <w:gridCol w:w="337"/>
        <w:gridCol w:w="338"/>
        <w:gridCol w:w="109"/>
        <w:gridCol w:w="109"/>
        <w:gridCol w:w="109"/>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11"/>
        <w:gridCol w:w="616"/>
        <w:gridCol w:w="156"/>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Milestones</w:t>
            </w:r>
          </w:p>
        </w:tc>
        <w:tc>
          <w:tcPr>
            <w:tcW w:w="101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June 30, 2026, the Company’s finite-lived net intangible assets, which totaled $4.9 million, resulted from the capitalization of certain milestone payments made to </w:t>
      </w:r>
      <w:r>
        <w:rPr>
          <w:rFonts w:ascii="Times New Roman;serif" w:hAnsi="Times New Roman;serif"/>
          <w:b w:val="false"/>
          <w:color w:val="000000"/>
          <w:sz w:val="20"/>
          <w:shd w:fill="FFFFFF" w:val="clear"/>
        </w:rPr>
        <w:t>Ipsen Pharma, S.A.S., or Ipsen, in accordance with the terms of the Company’s license agreement with Ipsen, in</w:t>
      </w:r>
      <w:r>
        <w:rPr>
          <w:color w:val="000000"/>
        </w:rPr>
        <w:t xml:space="preserve"> </w:t>
      </w:r>
      <w:r>
        <w:rPr>
          <w:rFonts w:ascii="Times New Roman;serif" w:hAnsi="Times New Roman;serif"/>
          <w:b w:val="false"/>
          <w:color w:val="000000"/>
          <w:sz w:val="20"/>
        </w:rPr>
        <w:t>connection with the Company’s first commercial sale of IMCIVREE in the U.S. in March 2021 and in France in March 2022.</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amortization expense for the next five years and beyond is summarized as follows (in thousands):</w:t>
      </w:r>
    </w:p>
    <w:tbl>
      <w:tblPr>
        <w:tblW w:w="2495" w:type="dxa"/>
        <w:jc w:val="left"/>
        <w:tblInd w:w="0" w:type="dxa"/>
        <w:tblLayout w:type="fixed"/>
        <w:tblCellMar>
          <w:top w:w="28" w:type="dxa"/>
          <w:left w:w="28" w:type="dxa"/>
          <w:bottom w:w="28" w:type="dxa"/>
          <w:right w:w="28" w:type="dxa"/>
        </w:tblCellMar>
      </w:tblPr>
      <w:tblGrid>
        <w:gridCol w:w="549"/>
        <w:gridCol w:w="481"/>
        <w:gridCol w:w="484"/>
        <w:gridCol w:w="211"/>
        <w:gridCol w:w="61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totaled $0.2 million for each of the three months ended June 30, 2026 and 2025, respectively. Amortization expense totaled $0.4 million for each of the six months ended June 30, 2026 and 2025, respectively. Amortization expense is included in cost of sales in the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Company recorded an income tax provision of approximately $0.4 million and $0.3 million for the three</w:t>
      </w:r>
      <w:r>
        <w:rPr>
          <w:color w:val="000000"/>
        </w:rPr>
        <w:t xml:space="preserve"> </w:t>
      </w:r>
      <w:r>
        <w:rPr>
          <w:rFonts w:ascii="Times New Roman;serif" w:hAnsi="Times New Roman;serif"/>
          <w:b w:val="false"/>
          <w:color w:val="000000"/>
          <w:sz w:val="20"/>
        </w:rPr>
        <w:t>months ended June 30, 2026, and 2025, respectively. The Company recorded an income tax provision of approximately $1.0 million and $0.4 million for the six months ended June 30, 2026, and 2025, respectively. The income tax provision is a result of taxable income from the Company’s foreign jurisdictions. The Company expects to maintain a full valuation allowance against its net deferred tax assets for the year ending December 31, 2026.</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July 4, 2025, the One Big Beautiful Bill Act (“OBBBA”), which includes a broad range of tax reform provisions, was signed into law in the United States. The Company has evaluated the income tax effects of the OBBBA in accordance with ASC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and has determined that the enactment of the OBBBA does not have a material impact on its current or deferred income tax expense, financial position, or results of operations for the period ended. The Company will continue to evaluate the provisions of OBBBA that go into effect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Series A Convertible Preferred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$147.8 million, net of $2.3 million of issuance costs, or $1,000 per share (the “Issuance”). The Issuance closed on April 15, 2024.</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determined the obligation to issue 150,000 shares of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to Perceptive and Investors in the future at a set price represented a forward contract which was required to be accounted for at fair value.</w:t>
      </w:r>
      <w:r>
        <w:rPr>
          <w:color w:val="000000"/>
        </w:rPr>
        <w:t xml:space="preserve"> </w:t>
      </w:r>
      <w:r>
        <w:rPr>
          <w:rFonts w:ascii="Times New Roman;serif" w:hAnsi="Times New Roman;serif"/>
          <w:b w:val="false"/>
          <w:color w:val="000000"/>
          <w:sz w:val="20"/>
          <w:shd w:fill="FFFFFF" w:val="clear"/>
        </w:rPr>
        <w:t xml:space="preserve">The fair value of the forward contract was measured as the difference between the fair value of the Convertible Preferred Stock, as determined using a binomial lattice valuation model, and the consideration payable to the Company. </w:t>
      </w:r>
      <w:r>
        <w:rPr>
          <w:rFonts w:ascii="Times New Roman;serif" w:hAnsi="Times New Roman;serif"/>
          <w:b w:val="false"/>
          <w:color w:val="000000"/>
          <w:sz w:val="20"/>
        </w:rPr>
        <w:t xml:space="preserve">The assumptions used in the binomial lattice model include: (1) the Company’s common stock price on the issuance and settlement dates; (2) the Conversion Price as of $48.00 as per the Agreement; (3) a 20-year term to maturity; (4) an estimate of the Company’s credit risk-adjusted discount rate; and (5) volatility. </w:t>
      </w:r>
      <w:r>
        <w:rPr>
          <w:rFonts w:ascii="Times New Roman;serif" w:hAnsi="Times New Roman;serif"/>
          <w:b w:val="false"/>
          <w:color w:val="000000"/>
          <w:sz w:val="20"/>
          <w:shd w:fill="FFFFFF" w:val="clear"/>
        </w:rPr>
        <w:t>The fair value of the forward contract upon issuance was determined to be $0. Upon closing, the value of the forward contract was determined to be $8.9 million and the fair value of the Convertible Preferred Stock was determined to be $141.1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classifies its Convertible Preferred Stock outside of stockholders’ equity as the redemption of such shares is outside the Company’s control. The Company did not adjust the carrying values of the Convertible Preferred Stock to redemption value as the shares are not probable of becoming redeemable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4, 2025, and in accordance with the terms described below, a holder of the Company's Series A Convertible Preferred Stock exercised their right to convert 17,500 shares of Series A Convertible Preferred Stock to common shares. Each of the 17,500 shares of Series A Convertible Preferred Stock converted to 20.8333 shares of common stock, resulting in a total of 364,582 shares of common stock. The Company reclassified the carrying value of the converted shares of $17.2 million from Series A convertible Preferred Stock to common stock and additional paid in capital, for this non-cash financing event.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26, 2026, and in accordance with the terms described below, the same holder exercised its right to convert another 17,500 shares of Series A Convertible Preferred Stock to common shares. Each of the 17,500 preferred shares converted to 20.8333 shares of common stock, resulting in a total of 364,582 shares of common stock. The Company reclassified the carrying value of the converted shares of $17.4 million from Series A convertible Preferred Stock to common stock and additional paid in capital, for this non-cash financing event. </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Convertible Preferred Stock has the following rights and privileges: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Liquidation: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Convertible Preferred Stock will rank senior to the Company’s common stock with respect to the distribution of assets upon the Company’s liquidation, dissolution or winding up.</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Convertible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Voting: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holders of the Convertible Preferred Stock shall also have certain protective voting rights. Specifically, as long as the Convertible Preferred Stock are outstanding, each of the following events require at least a two thirds affirmative vote of the Convertible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America, any State thereof or the District of Columbia that, if not the Company, will succeed to the Company under the Amended and Restated Certificate of Designations and the Convertible Preferred Stock.</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Redemption:</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Company has the right to redeem all Convertible Preferred Stock after the Redemption Trigger Date, which is the fifth anniversary of the Initial Issue Date of </w:t>
      </w:r>
      <w:r>
        <w:rPr>
          <w:rFonts w:ascii="Times New Roman;serif" w:hAnsi="Times New Roman;serif"/>
          <w:b w:val="false"/>
          <w:color w:val="000000"/>
          <w:sz w:val="20"/>
        </w:rPr>
        <w:t>April 15, 2024</w:t>
      </w:r>
      <w:r>
        <w:rPr>
          <w:rFonts w:ascii="Times New Roman;serif" w:hAnsi="Times New Roman;serif"/>
          <w:b w:val="false"/>
          <w:color w:val="000000"/>
          <w:sz w:val="20"/>
          <w:shd w:fill="FFFFFF" w:val="clear"/>
        </w:rPr>
        <w:t>.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If a change of control occurs, each holder shall have the right to require the Company to repurchase all, or any whole number of shares that is less than all, of the holder’s Convertible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did not adjust the carrying value of the Convertible Preferred Stock to its redemption value, since a change of control was determined to be not probable. </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Dividends: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After the second anniversary, dividends on the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accrue quarterly, at a 6% annual rate, and if not paid out in cash before the quarter end, will become PIK Dividends and added to the liquidation preference, or original issue price plus PIK Dividends. Since dividends do not commence until the second anniversary of the Issuance, the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is considered increasing rate preferred stock. Accordingly, the Company accretes the dividends, using the effective interest method, from Issuance to the first contractual call date, April 15, 2029. The Company accrued dividends of </w:t>
      </w:r>
      <w:r>
        <w:rPr>
          <w:rFonts w:ascii="Times New Roman;serif" w:hAnsi="Times New Roman;serif"/>
          <w:b w:val="false"/>
          <w:color w:val="000000"/>
          <w:sz w:val="20"/>
        </w:rPr>
        <w:t>$2.2 million and $2.7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 and June 30, 2025</w:t>
      </w:r>
      <w:r>
        <w:rPr>
          <w:rFonts w:ascii="Times New Roman;serif" w:hAnsi="Times New Roman;serif"/>
          <w:b w:val="false"/>
          <w:color w:val="000000"/>
          <w:sz w:val="20"/>
          <w:shd w:fill="FFFFFF" w:val="clear"/>
        </w:rPr>
        <w:t xml:space="preserve">, as a reduction to Additional Paid-In Capital and an increase to the carrying value of </w:t>
      </w:r>
      <w:r>
        <w:rPr>
          <w:rFonts w:ascii="Times New Roman;serif" w:hAnsi="Times New Roman;serif"/>
          <w:b w:val="false"/>
          <w:color w:val="000000"/>
          <w:sz w:val="20"/>
        </w:rPr>
        <w:t xml:space="preserve">Convertible Preferred Stock.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paid cash dividends of approximately $1.5 million in the aggregate to the holders, as of the record date of June 30, 2026, of the Series A Convertible Preferred Stock, pursuant to the terms of the Amended and Restated Certificate of Designations of the Series A Convertible Preferred Stock, dated May 7, 2024. As of June 30, 2026, these accrued dividends of $1.5 million were classified within other current liabilities in the Company's condensed consolidated balance sheet.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The carrying value of </w:t>
      </w:r>
      <w:r>
        <w:rPr>
          <w:rFonts w:ascii="Times New Roman;serif" w:hAnsi="Times New Roman;serif"/>
          <w:b w:val="false"/>
          <w:color w:val="000000"/>
          <w:sz w:val="20"/>
        </w:rPr>
        <w:t>Convertible Preferred Stock</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December 31, 2025 is </w:t>
      </w:r>
      <w:r>
        <w:rPr>
          <w:rFonts w:ascii="Times New Roman;serif" w:hAnsi="Times New Roman;serif"/>
          <w:b w:val="false"/>
          <w:color w:val="000000"/>
          <w:sz w:val="20"/>
        </w:rPr>
        <w:t xml:space="preserve">$114.3 million and $131.0 million, respectively.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Conversions:</w:t>
      </w:r>
    </w:p>
    <w:p>
      <w:pPr>
        <w:pStyle w:val="TextBody"/>
        <w:bidi w:val="0"/>
        <w:spacing w:lineRule="auto" w:line="268" w:before="0" w:after="0"/>
        <w:ind w:left="0" w:right="0" w:firstLine="720"/>
        <w:jc w:val="both"/>
        <w:rPr/>
      </w:pPr>
      <w:r>
        <w:rPr>
          <w:rFonts w:ascii="Times New Roman;serif" w:hAnsi="Times New Roman;serif"/>
          <w:b w:val="false"/>
          <w:color w:val="000000"/>
          <w:sz w:val="20"/>
        </w:rPr>
        <w:t>Holders of Convertible Preferred Stock</w:t>
      </w:r>
      <w:r>
        <w:rPr>
          <w:color w:val="000000"/>
          <w:shd w:fill="FFFFFF" w:val="clear"/>
        </w:rPr>
        <w:t xml:space="preserve"> </w:t>
      </w:r>
      <w:r>
        <w:rPr>
          <w:rFonts w:ascii="Times New Roman;serif" w:hAnsi="Times New Roman;serif"/>
          <w:b w:val="false"/>
          <w:color w:val="000000"/>
          <w:sz w:val="20"/>
        </w:rPr>
        <w:t xml:space="preserve">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the right to force mandatory conversion of Convertible Preferred Stock should the closing sale price per share of Common Stock exceed 250% of the Conversion Price for at least twenty (20) of thirty (30) consecutive trading days, subject to certain restrictions based the liquidity of the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pStyle w:val="TextBody"/>
        <w:bidi w:val="0"/>
        <w:spacing w:lineRule="auto" w:line="288" w:before="0" w:after="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0"/>
        </w:rPr>
        <w:t>n February 26, 2026, the Company filed with the Securities Exchange Commission (the “SEC”) a registration statement on Form S-3ASR containing a prospectus covering the resale from time to time by the Investors of up to an aggregate of 2,395,831 shares of common stock, to satisfy registration rights that the Company granted to such stockholders in connection with the Issuance.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10,000,000 shares of Preferred Stock authorized, of which 115,000 shares are designated for the Series A Convertible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an aggregate of </w:t>
      </w:r>
      <w:r>
        <w:rPr>
          <w:rFonts w:ascii="Times New Roman;serif" w:hAnsi="Times New Roman;serif"/>
          <w:b w:val="false"/>
          <w:color w:val="000000"/>
          <w:sz w:val="20"/>
        </w:rPr>
        <w:t>19,451,246</w:t>
      </w:r>
      <w:r>
        <w:rPr>
          <w:color w:val="000000"/>
          <w:shd w:fill="FFFFFF" w:val="clear"/>
        </w:rPr>
        <w:t xml:space="preserve"> </w:t>
      </w:r>
      <w:r>
        <w:rPr>
          <w:rFonts w:ascii="Times New Roman;serif" w:hAnsi="Times New Roman;serif"/>
          <w:b w:val="false"/>
          <w:color w:val="000000"/>
          <w:sz w:val="20"/>
          <w:shd w:fill="FFFFFF" w:val="clear"/>
        </w:rPr>
        <w:t xml:space="preserve">shares of common stock were reserved for issuance under the Company’s stock plans, which include stock options, restricted stock units, and performance stock units that have been granted covering </w:t>
      </w:r>
      <w:r>
        <w:rPr>
          <w:rFonts w:ascii="Times New Roman;serif" w:hAnsi="Times New Roman;serif"/>
          <w:b w:val="false"/>
          <w:color w:val="000000"/>
          <w:sz w:val="20"/>
        </w:rPr>
        <w:t>9,434,531</w:t>
      </w:r>
      <w:r>
        <w:rPr>
          <w:color w:val="000000"/>
          <w:shd w:fill="FFFFFF" w:val="clear"/>
        </w:rPr>
        <w:t xml:space="preserve"> </w:t>
      </w:r>
      <w:r>
        <w:rPr>
          <w:rFonts w:ascii="Times New Roman;serif" w:hAnsi="Times New Roman;serif"/>
          <w:b w:val="false"/>
          <w:color w:val="000000"/>
          <w:sz w:val="20"/>
          <w:shd w:fill="FFFFFF" w:val="clear"/>
        </w:rPr>
        <w:t xml:space="preserve">shares of common stock, as well as </w:t>
      </w:r>
      <w:r>
        <w:rPr>
          <w:rFonts w:ascii="Times New Roman;serif" w:hAnsi="Times New Roman;serif"/>
          <w:b w:val="false"/>
          <w:color w:val="000000"/>
          <w:sz w:val="20"/>
        </w:rPr>
        <w:t>6,364,265</w:t>
      </w:r>
      <w:r>
        <w:rPr>
          <w:color w:val="000000"/>
          <w:shd w:fill="FFFFFF" w:val="clear"/>
        </w:rPr>
        <w:t xml:space="preserve"> </w:t>
      </w:r>
      <w:r>
        <w:rPr>
          <w:rFonts w:ascii="Times New Roman;serif" w:hAnsi="Times New Roman;serif"/>
          <w:b w:val="false"/>
          <w:color w:val="000000"/>
          <w:sz w:val="20"/>
          <w:shd w:fill="FFFFFF" w:val="clear"/>
        </w:rPr>
        <w:t xml:space="preserve">of shares available under the Company’s </w:t>
      </w:r>
      <w:r>
        <w:rPr>
          <w:rFonts w:ascii="Times New Roman;serif" w:hAnsi="Times New Roman;serif"/>
          <w:b w:val="false"/>
          <w:color w:val="000000"/>
          <w:sz w:val="20"/>
        </w:rPr>
        <w:t>2017 Equity Incentive Plan (the “2017 Plan”)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1,225,083</w:t>
      </w:r>
      <w:r>
        <w:rPr>
          <w:color w:val="000000"/>
          <w:shd w:fill="FFFFFF" w:val="clear"/>
        </w:rPr>
        <w:t xml:space="preserve"> </w:t>
      </w:r>
      <w:r>
        <w:rPr>
          <w:rFonts w:ascii="Times New Roman;serif" w:hAnsi="Times New Roman;serif"/>
          <w:b w:val="false"/>
          <w:color w:val="000000"/>
          <w:sz w:val="20"/>
        </w:rPr>
        <w:t>shares of common stock available for future grants under the Company’s Employee Stock Purchase Plan. Additionally, this reserve includes 2,395,836</w:t>
      </w:r>
      <w:r>
        <w:rPr>
          <w:color w:val="000000"/>
          <w:shd w:fill="FFFFFF" w:val="clear"/>
        </w:rPr>
        <w:t xml:space="preserve"> </w:t>
      </w:r>
      <w:r>
        <w:rPr>
          <w:rFonts w:ascii="Times New Roman;serif" w:hAnsi="Times New Roman;serif"/>
          <w:b w:val="false"/>
          <w:color w:val="000000"/>
          <w:sz w:val="20"/>
          <w:shd w:fill="FFFFFF" w:val="clear"/>
        </w:rPr>
        <w:t>shares of common stock for issuance to satisfy the shares of common stock issuable upon conversion of</w:t>
      </w:r>
      <w:r>
        <w:rPr>
          <w:color w:val="000000"/>
        </w:rPr>
        <w:t xml:space="preserve"> </w:t>
      </w:r>
      <w:r>
        <w:rPr>
          <w:rFonts w:ascii="Times New Roman;serif" w:hAnsi="Times New Roman;serif"/>
          <w:b w:val="false"/>
          <w:color w:val="000000"/>
          <w:sz w:val="20"/>
        </w:rPr>
        <w:t>the remaining 115,000</w:t>
      </w:r>
      <w:r>
        <w:rPr>
          <w:color w:val="000000"/>
          <w:shd w:fill="FFFFFF" w:val="clear"/>
        </w:rPr>
        <w:t xml:space="preserve"> </w:t>
      </w:r>
      <w:r>
        <w:rPr>
          <w:rFonts w:ascii="Times New Roman;serif" w:hAnsi="Times New Roman;serif"/>
          <w:b w:val="false"/>
          <w:color w:val="000000"/>
          <w:sz w:val="20"/>
          <w:shd w:fill="FFFFFF" w:val="clear"/>
        </w:rPr>
        <w:t>shares of Convertible Preferred Stock.</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January 26, 2026 one of the Company's Series A Convertible Preferred Stock holders exercised their conversion right and converted 17,500 Convertible Preferred A Stock into 364,582 shares of common stock. Refer to Note 9, </w:t>
      </w:r>
      <w:r>
        <w:rPr>
          <w:rFonts w:ascii="Times New Roman;serif" w:hAnsi="Times New Roman;serif"/>
          <w:b w:val="false"/>
          <w:i/>
          <w:color w:val="000000"/>
          <w:sz w:val="20"/>
        </w:rPr>
        <w:t>Series A Convertible Preferred Stoc</w:t>
      </w:r>
      <w:r>
        <w:rPr>
          <w:rFonts w:ascii="Times New Roman;serif" w:hAnsi="Times New Roman;serif"/>
          <w:b w:val="false"/>
          <w:color w:val="000000"/>
          <w:sz w:val="20"/>
        </w:rPr>
        <w:t>k, for further information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2025, the Company entered into an underwriting agreement (the “Underwriting Agreement”) with Morgan Stanley &amp; Co. LLC and BofA Securities, Inc., as the representatives of the several underwriters named in the Underwriting Agreement (collectively, the “Underwriters”), in connection with a follow-on offering, issuance and sale by the Company of 2,058,824 shares of the Company’s common stock. The offering price of the shares of common stock to the public was $85.00 per share. In addition, under the terms of the Underwriting Agreement, the Company granted the Underwriters a 30-day option to purchase up to 308,823 additional shares of Common Stock, at the public offering price per share, less underwriting discounts and commissions. On July 10, 2025, the Underwriters exercised the option in full. The closing of the sale of the shares pursuant to the offering, including the shares sold pursuant to the exercise in full of the option, took place on July 11, 2025, resulting in net proceeds of approximately $188.7 million, net of $12.6 million of underwriting discounts and commissions, and other offering expenses incurred by the Company, for a total share issuance of 2,367,647.</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26, 2026, the Company and TD Securities (USA) LLC (“TD Cowen”) entered into a Sales Agreement (the “Sales Agreement”) pursuant to which the Company may issue and sell shares of its common stock, having an aggregate offering price of up to $200.0 million, from time to time through an “at the market” equity offering program under which TD Cowen acts as sales agent. The Sales Agreement supersedes the prior Sales Agreement between TD Cowen and the Company, dated November 2, 2021, as amended on February 29, 2024. In connection with the Sales Agreement, on February 26, 2026, the Company filed with the SEC a registration statement on Form S-3ASR containing a base prospectus and a prospectus supplement, each dated February 26, 2026, pursuant to which issuances and sales under the Sales Agreement will be made. Between December 10, 2024 and December 31, 2024, the Company sold 744,595 shares of common stock in the ATM Program for net proceeds of $41.2 million. Between January 1, 2025 and January 21, 2025, the Company sold an additional 587,510 shares of common stock in the ATM Program for net proceeds of approximately $32.1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June 30, 2026, 529,088 stock option awards and 386,267 restricted stock unit awards have been granted under the Inducement Plan, net of forfeitures. As of June 30, 2026, 92,519 shares of common stock are available for future grant under the Inducement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Related-Party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paid directly to related parties for the three and six months ended June 30, 2026 and 2025, were immaterial. Outstanding payments due to related parties as of June 30, 2026 and December 31, 2025 were also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12. Significant Agreements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RareStone Group Ltd.</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14, 2025, we entered into a termination agreement (the “Termination Agreement”) with RareStone Group Ltd. (“RareStone”) and RareStone Medicine (Shenzhen) Co., Ltd. (“RareStone Shenzhen”), pursuant to which the Company, RareStone and RareStone Shenzhen have mutually agreed to terminate (i) the Exclusive License Agreement between the Company and RareStone, dated December 3, 2021 (the “License Agreement”); and (ii) the Share Purchase Agreement between the Company and RareStone, dated December 3, 2021 (the “Share Purchase Agreement”, and with the License Agreement the “RareStone Agreements”).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Termination Agreement, the Company agreed to pay $6.3 million as a repayment of a portion of the upfront payment made pursuant to Section 7.1 of the License Agreement. In connection with the Termination Agreement, the Company and RareStone also entered into a Share Repurchase Agreement dated March 14, 2025, pursuant to which the Company has agreed to convey all of the shares acquired under the original Share Purchase Agreement back to RareStone, for no additional consideration. The Company had previously written off the value of the shares in the year ended December 31, 2023. Prior to executing the termination agreement, the Company had recorded $1.3 million of deferred revenue related to this arrangement for unsatisfied performance obligations. As a result of the Termination Agreement, the Company recognized the $6.3 million paid to RareStone as a reduction in previously-recognized license revenue as it represented consideration paid to a customer, and recognized all existing deferred revenue resulting in a net reduction in license revenue of $5.0 million during the three months ending March 31, 2025.</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Termination Agreement, the RareStone Agreements were terminated and all rights and obligations under such agreements ceased. In addition, each party to the Termination Agreement discharged and released the other parties, subsidiaries, divisions, affiliates, predecessors, successors, and each of their past and present officers, directors, employees, attorneys, agents, affiliates, assigns, and representatives of and from any and all claims, demands, actions, or causes of action, known or unknown, contingent or non-contingent, which the parties may or might have against them, by reason of any general, special, or consequential damages, losses, or potential losses, arising out of and/or relating to the RareStone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Long-Term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 million, or the Investment Amount. Under the terms of the RIFA, we received $37.5 million on June 29, 2022 upon FDA approval of IMCIVREE in </w:t>
      </w:r>
      <w:r>
        <w:rPr>
          <w:rFonts w:ascii="Times New Roman;serif" w:hAnsi="Times New Roman;serif"/>
          <w:b w:val="false"/>
          <w:color w:val="000000"/>
          <w:sz w:val="20"/>
          <w:shd w:fill="FFFFFF" w:val="clear"/>
        </w:rPr>
        <w:t>Bardet-Biedl syndrome ("</w:t>
      </w:r>
      <w:r>
        <w:rPr>
          <w:rFonts w:ascii="Times New Roman;serif" w:hAnsi="Times New Roman;serif"/>
          <w:b w:val="false"/>
          <w:color w:val="000000"/>
          <w:sz w:val="20"/>
        </w:rPr>
        <w:t>BBS"), referred to as the Initial Investment Amount, and we received an additional $37.5 million on September 29, 2022 of the Investment Amount upon EMA approval for BBS. On September 12, 2023, we received the remaining $24.4 million of the Investment Amount, net of debt issuance costs, following the achievement of a specified amount of cumulative net sales of IMCIVREE between July 1, 2022 and September 30, 2023.</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Investment Amount and pursuant to the RIFA, we agreed to pay the Investors a tiered royalty on our annual net revenues, or Revenue Interest, including worldwide net product sales and upfront payments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$11.2 million in the six months ended June 30, 2026. As of June 30, 2026 we have made cumulative payments of $51.5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occurs, the Investors may accelerate payments due under the RIFA up to the Hard Cap plus any other obligations payable under the RIFA.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repayment period commenced on July 8, 2022 for the Initial Investment Amount, and expires on the earlier of (i) 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The aggregate fair value of the embedded derivative asset (liability) was $0.6 million and $1.2 million as of June 30, 2026 and December 31, 2025, respectively. We remeasure the embedded derivative to fair value each reporting period until the time the features lapse and/or termination of the deferred royalty obligation. For the three months ended June 30, 2026 and 2025, we recognized other expense of $(0.2) million and $0.5 million, respectively, due to the remeasurement of the embedded derivative asset. For the six months ended June 30, 2026 and 2025, we recognized other expense of $(0.6) million and $0.4 million, respectively, due to the remeasurement of the embedded derivative asset.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the deferred royalty obligation as of June 30, 2026 was $106.1 million based on $100.0 million of proceeds, net of the fair value of the bifurcated embedded derivative liability upon execution of the RIFA, and debt issuance costs incurred. The carrying value is classified as $12.7 million within current liabilities and $93.4 million within long-term liabilities on the consolidated balance sheet as of June 30, 2026. The carrying value of the deferred royalty obligation approximated fair value as of June 30, 2026 and December 31, 2025. The effective interest rate as of June 30, 2026 was 17.16%. In connection with the deferred royalty obligation, we incurred debt issuance costs totaling $3.3 million. Debt issuance costs have been netted against the debt and are being amortized over the estimated term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agreements, principally relating to licensed technology; milestones under these agreements are generally recognized in the period in which the achievement of the underlying milestones becomes probable. When the achievement of these milestones or sales have not occurred, such contingencies are not recorded in the Company’s consolidated financial statements. The Company also has various contracts with CROs and CMOs that generally provide for termination on notice, with the exact amounts in the event of termination to be based on the timing of the termination and the terms of the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estimates that potential milestone payments of up to $18 million could become payable by the Company during the next 12 months depending on the achievement and timing of specified milestones. No amounts related to these milestones have been accrued as the underlying triggering events had not occurred as of June 30, 2026 and are not probable.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two business segments, which are U.S. and international segments for the development and commercialization of therapies for patients with rare diseases. A single management team that reports to the Chief Executive Officer who comprehensively manages the entire business. The Company meets the aggregation criteria of ASC 280 and therefore has one reportable segment for the six months ended June 30, 2026 and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profit or loss, including significant segment expenses (in thousands):</w:t>
      </w:r>
    </w:p>
    <w:tbl>
      <w:tblPr>
        <w:tblW w:w="9498" w:type="dxa"/>
        <w:jc w:val="left"/>
        <w:tblInd w:w="0" w:type="dxa"/>
        <w:tblLayout w:type="fixed"/>
        <w:tblCellMar>
          <w:top w:w="28" w:type="dxa"/>
          <w:left w:w="28" w:type="dxa"/>
          <w:bottom w:w="28" w:type="dxa"/>
          <w:right w:w="28" w:type="dxa"/>
        </w:tblCellMar>
      </w:tblPr>
      <w:tblGrid>
        <w:gridCol w:w="1411"/>
        <w:gridCol w:w="1242"/>
        <w:gridCol w:w="1246"/>
        <w:gridCol w:w="211"/>
        <w:gridCol w:w="798"/>
        <w:gridCol w:w="109"/>
        <w:gridCol w:w="109"/>
        <w:gridCol w:w="109"/>
        <w:gridCol w:w="109"/>
        <w:gridCol w:w="211"/>
        <w:gridCol w:w="798"/>
        <w:gridCol w:w="109"/>
        <w:gridCol w:w="109"/>
        <w:gridCol w:w="109"/>
        <w:gridCol w:w="109"/>
        <w:gridCol w:w="211"/>
        <w:gridCol w:w="901"/>
        <w:gridCol w:w="109"/>
        <w:gridCol w:w="109"/>
        <w:gridCol w:w="109"/>
        <w:gridCol w:w="109"/>
        <w:gridCol w:w="211"/>
        <w:gridCol w:w="79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 - U.S.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 - International</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net product revenue </w:t>
            </w:r>
          </w:p>
        </w:tc>
        <w:tc>
          <w:tcPr>
            <w:tcW w:w="100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net </w:t>
            </w:r>
          </w:p>
        </w:tc>
        <w:tc>
          <w:tcPr>
            <w:tcW w:w="100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headcount expense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Preclinical, clinical and development expense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&amp; medical affairs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general &amp; administrative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Geographic Data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allocates, for the purpose of geographic data reporting, its revenue based upon the location of its customers. Total product revenue, net, by geographic area was as follows (in thousands):</w:t>
      </w:r>
    </w:p>
    <w:tbl>
      <w:tblPr>
        <w:tblW w:w="7712" w:type="dxa"/>
        <w:jc w:val="left"/>
        <w:tblInd w:w="0" w:type="dxa"/>
        <w:tblLayout w:type="fixed"/>
        <w:tblCellMar>
          <w:top w:w="28" w:type="dxa"/>
          <w:left w:w="28" w:type="dxa"/>
          <w:bottom w:w="28" w:type="dxa"/>
          <w:right w:w="28" w:type="dxa"/>
        </w:tblCellMar>
      </w:tblPr>
      <w:tblGrid>
        <w:gridCol w:w="814"/>
        <w:gridCol w:w="721"/>
        <w:gridCol w:w="729"/>
        <w:gridCol w:w="224"/>
        <w:gridCol w:w="767"/>
        <w:gridCol w:w="116"/>
        <w:gridCol w:w="116"/>
        <w:gridCol w:w="116"/>
        <w:gridCol w:w="116"/>
        <w:gridCol w:w="224"/>
        <w:gridCol w:w="767"/>
        <w:gridCol w:w="116"/>
        <w:gridCol w:w="109"/>
        <w:gridCol w:w="109"/>
        <w:gridCol w:w="109"/>
        <w:gridCol w:w="211"/>
        <w:gridCol w:w="826"/>
        <w:gridCol w:w="109"/>
        <w:gridCol w:w="109"/>
        <w:gridCol w:w="109"/>
        <w:gridCol w:w="109"/>
        <w:gridCol w:w="211"/>
        <w:gridCol w:w="72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50,987 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31,982 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86,220 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long-lived assets at locations outside the United States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events or transactions that occur after the balance sheet date but prior to the issuance of the financial statements to provide additional evidence for certain estimates or to identify matters that require additional disclosure.</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described in Note 9, </w:t>
      </w:r>
      <w:r>
        <w:rPr>
          <w:rFonts w:ascii="Times New Roman;serif" w:hAnsi="Times New Roman;serif"/>
          <w:b w:val="false"/>
          <w:i/>
          <w:color w:val="000000"/>
          <w:sz w:val="20"/>
        </w:rPr>
        <w:t>Series A Convertible Preferred Stock</w:t>
      </w:r>
      <w:r>
        <w:rPr>
          <w:rFonts w:ascii="Times New Roman;serif" w:hAnsi="Times New Roman;serif"/>
          <w:b w:val="false"/>
          <w:color w:val="000000"/>
          <w:sz w:val="20"/>
        </w:rPr>
        <w:t xml:space="preserve">, on July 1, 2026, the Company paid cash dividends of approximately $1.5 million in the aggregate to the holders of the Series A Convertible Preferred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ind w:left="0" w:right="0" w:firstLine="720"/>
        <w:jc w:val="both"/>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 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 the promise or potential of any of our products or product candidates; the marketing, commercialization, and sales of IMCIVREE (setmelanotide), including marketing approval in Japan and the timing thereof; the design, success, cost and timing of our product development activities and clinical trials for setmelanotide, RM-718, bivamelagon, and our other product candidates; our ability to obtain regulatory approval for setmelanotide in further indications, as well as for RM-718, bivamelagon, and our other product candidates; our financial performance, including our expectations regarding our existing cash, operating losses, expenses and sources of future financing;</w:t>
      </w:r>
      <w:r>
        <w:rPr>
          <w:color w:val="000000"/>
        </w:rPr>
        <w:t xml:space="preserve"> </w:t>
      </w:r>
      <w:r>
        <w:rPr>
          <w:rFonts w:ascii="Times New Roman;serif" w:hAnsi="Times New Roman;serif"/>
          <w:b w:val="false"/>
          <w:i/>
          <w:color w:val="000000"/>
          <w:sz w:val="20"/>
        </w:rPr>
        <w:t>the sufficiency of our cash, cash equivalents and short-term investments to fund our operations; expected milestone payments and the timing thereof;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revenue generation, and cost of revenue; expectations surrounding our manufacturing arrangements;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We are a global, commercial-stage biopharmaceutical company dedicated to transforming the lives of patients living with rare neuroendocrine diseases. We are focused on advancing our melanocortin-4 receptor (MC4R) agonists, including our lead asset, IMCIVREE</w:t>
      </w:r>
      <w:r>
        <w:rPr>
          <w:rFonts w:ascii="Times New Roman;serif" w:hAnsi="Times New Roman;serif"/>
          <w:b w:val="false"/>
          <w:color w:val="000000"/>
          <w:sz w:val="1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(setmelanotide), as precision medicines designed to treat hyperphagia and severe obesity caused by MC4R pathway diseases. While obesity affects hundreds of millions of people worldwide, we are advancing therapies for a subset of individuals who have hyperphagia, a pathological, insatiable hunger and impaired satiety accompanied by persistent and abnormal food-seeking behaviors, decreased energy expenditure and severe obesity due to diseases such as acquired or congenital hypothalamic obesity (HO), Bardet-Biedl syndrome (BBS) or other diseases caused by impaired MC4R pathway signaling. The MC4R pathway is a neuroendocrine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United Kingdom, Canada and other countries and regions. </w:t>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IMCIVREE is approved by the U.S. Food and Drug Administration (FDA) to reduce excess body weight and maintain weight reduction long term in adult and pediatric patients aged 4 years and older with acquired HO and in adult and pediatric patients aged 2 years and older with syndromic or monogenic obesity due to BBS or pro-opiomelanocortin (POMC), proprotein convertase subtilisin/kexin type 1 (PCSK1), or leptin receptor (LEPR) deficiency as determined by genetic testing demonstrating variants in POMC, PCSK1, or LEPR genes that are interpreted as pathogenic, likely pathogenic, or of uncertain significance (VUS). The European Commission (EC) has authorized IMCIVREE for the treatment of obesity and the control of hunger </w:t>
      </w:r>
      <w:r>
        <w:rPr>
          <w:rFonts w:ascii="Times New Roman;serif" w:hAnsi="Times New Roman;serif"/>
          <w:b w:val="false"/>
          <w:color w:val="000000"/>
          <w:sz w:val="20"/>
        </w:rPr>
        <w:t xml:space="preserve">in adults and children 4 years of age and above with acquired hypothalamic obesity due to hypothalamic injury or impairment, and </w:t>
      </w:r>
      <w:r>
        <w:rPr>
          <w:rFonts w:ascii="Times New Roman;serif" w:hAnsi="Times New Roman;serif"/>
          <w:b w:val="false"/>
          <w:color w:val="000000"/>
          <w:sz w:val="20"/>
          <w:shd w:fill="FFFFFF" w:val="clear"/>
        </w:rPr>
        <w:t>for the treatment of obesity and the control of hunger associated with</w:t>
      </w:r>
      <w:r>
        <w:rPr>
          <w:color w:val="000000"/>
        </w:rPr>
        <w:t xml:space="preserve"> </w:t>
      </w:r>
      <w:r>
        <w:rPr>
          <w:rFonts w:ascii="Times New Roman;serif" w:hAnsi="Times New Roman;serif"/>
          <w:b w:val="false"/>
          <w:color w:val="000000"/>
          <w:sz w:val="20"/>
          <w:shd w:fill="FFFFFF" w:val="clear"/>
        </w:rPr>
        <w:t xml:space="preserve">genetically confirmed BBS or loss-of-function biallelic POMC, including PCSK1, deficiency or biallelic LEPR deficiency in adults and children 2 years of age and above. The United Kingdom’s Medicines &amp; Healthcare Products Regulatory Agency (MHRA) has authorized IMCIVREE for the treatment of obesity and the control of hunger associated with genetically confirmed BBS or loss-of-function biallelic POMC, including PCSK1, deficiency or biallelic LEPR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deficiency in adults and children 2 years of age and above. In addition to the United States, we have achieved market access or named patient sales of IMCIVREE for BBS or POMC and LEPR deficiencies, or both, in more </w:t>
      </w:r>
      <w:r>
        <w:rPr>
          <w:rFonts w:ascii="Times New Roman;serif" w:hAnsi="Times New Roman;serif"/>
          <w:b w:val="false"/>
          <w:color w:val="000000"/>
          <w:sz w:val="20"/>
        </w:rPr>
        <w:t xml:space="preserve">than 25 countries </w:t>
      </w:r>
      <w:r>
        <w:rPr>
          <w:rFonts w:ascii="Times New Roman;serif" w:hAnsi="Times New Roman;serif"/>
          <w:b w:val="false"/>
          <w:color w:val="000000"/>
          <w:sz w:val="20"/>
          <w:shd w:fill="FFFFFF" w:val="clear"/>
        </w:rPr>
        <w:t>outside the United States, and we continue to collaborate with authorities to achieve access in additional markets.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IMCIVREE’s label expansion to treat patients living with acquired HO was approved by the U.S. FDA on March 19, 2026, and a similar expansion of its marketing authorization was approved by the European Commission on April 30, 2026, making it the first approved therapy in the United States and the first approved therapy in Europe for patients with this rare disease. These approvals were supported by the positive pivotal Phase 3 TRANSCEND trial of setmelanotide in 142 patients with acquired HO. The global study met its primary endpoint, with a statistically significant -18.4% placebo-adjusted reduction in body mass index (BMI). For the primary endpoint of mean BMI change from baseline, study participants on setmelanotide therapy (n=94) achieved a -15.8% reduction compared with a +2.6% increase among patients on placebo (n=48) at 52 weeks (p&lt;0.0001). Setmelanotide was generally well tolerated in the Phase 3 trial. The most common adverse events (affecting &gt;20% of participants) were skin hyperpigmentation, nausea, vomiting and headache. In addition, on May 5, 2026, we announced that our Japanese New Drug Application (JNDA) for setmelanotide to treat acquired HO was accepted, validated and is now under review by Japan’s Pharmaceuticals and Medical Devices Agency (PMDA)</w:t>
      </w:r>
      <w:r>
        <w:rPr>
          <w:rFonts w:ascii="Times New Roman;serif" w:hAnsi="Times New Roman;serif"/>
          <w:b w:val="false"/>
          <w:color w:val="008080"/>
          <w:sz w:val="20"/>
        </w:rPr>
        <w:t xml:space="preserve">. </w:t>
      </w:r>
      <w:r>
        <w:rPr>
          <w:rFonts w:ascii="Times New Roman;serif" w:hAnsi="Times New Roman;serif"/>
          <w:b w:val="false"/>
          <w:color w:val="000000"/>
          <w:sz w:val="20"/>
        </w:rPr>
        <w:t>We anticipate anticipate launch of IMCIVREE for acquired HO in Japan, pending a decision by Japan's Ministry of Health, Labour and Welfare (MHLW), by year-end 2026.</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hypothalamic obesity is a rare form of obesity that occurs following damage to the hypothalamic region of the brain. This disease most frequently follows the growth or surgical removal of craniopharyngioma, astrocytoma or other rare brain tumors. Additional causes of injury may include traumatic brain injury, stroke, or inflammation. Patients experience accelerated weight gain, a reduction in energy expenditure, and hyperphagia (a chronic pathological condition characterized by insatiable hunger, impaired satiety, and persistent abnormal food-seeking behaviors) leading to accelerated onset of severe obesity. We estimate there are approximately 10,000 people living with hypothalamic obesity in the U.S., 5,000 to 8,000 people living with hypothalamic obesity in Japan, and approximately 10,000 people living with hypothalamic obesity in the E.U.</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our commercial efforts and inclusive of late-stage development efforts, we are advancing what we believe is the most comprehensive clinical research and development program ever initiated in MC4R pathway diseases, with multiple ongoing and planned clinical trials. Our MC4R pathway program is designed to expand the total number of patients who we believe would benefit from setmelanotide therapy or advance one of our other drug candidates, including RM-718, which is designed to be a more selective MC4R agonist with weekly administration, and bivamelagon, an investigational oral small molecule MC4R agonist in Phase 2 clinical trials. As mentioned above, our Phase 3 trial of setmelanotide in patients with acquired HO met the primary and key secondary endpoints, and we have initiated an additional, independent substudy in patients with congenital hypothalamic obesity as part of that trial.</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advancing our next-generation MC4R agonists in clinical trials. In July 2025, we announced bivamelagon achieved statistically significant and clinically meaningful BMI reductions at 14 weeks of treatment in a Phase 2 trial in patients with acquired HO. We have also completed enrollment in Part C of the Phase 1 trial evaluating the weekly RM-718 in patients with acquired hypothalamic obesity and announced preliminary, promising data on August 4, 2026. </w:t>
      </w:r>
    </w:p>
    <w:p>
      <w:pPr>
        <w:pStyle w:val="TextBody"/>
        <w:bidi w:val="0"/>
        <w:spacing w:lineRule="auto" w:line="268" w:before="0" w:after="0"/>
        <w:ind w:left="0" w:right="0" w:firstLine="720"/>
        <w:jc w:val="both"/>
        <w:rPr/>
      </w:pPr>
      <w:r>
        <w:rPr>
          <w:rFonts w:ascii="Times New Roman;serif" w:hAnsi="Times New Roman;serif"/>
          <w:b w:val="false"/>
          <w:color w:val="000000"/>
          <w:sz w:val="20"/>
        </w:rPr>
        <w:t>We also are advancing MC4R agonists with the intention to improve the treatment landscape for patients living with Prader</w:t>
        <w:noBreakHyphen/>
        <w:t>Willi syndrome (PWS), a rare, complex genetic neurodevelopmental disorder characterized by hyperphagia, severe obesity risk, and significant metabolic, cognitive, and behavioral complications. We estimate there are between 12,500 and 16,000 patients living with PWS in the United States and a similar number in Europe, based on updated internal prevalence estimates developed using a bottoms-up methodology analyzing incidence, age-specific survival and claims-based validation. Further, we estimate that 80% to 90% of PWS patients are living with hyperphagia and obesity, or approximately 8,500 – 12,750 patients. There are currently limited therapeutic options that effectively reduce the extreme hyperphagia and address low resting energy expenditure associated with PWS. Based on the central role of MC4R pathway dysfunction in PWS, we believe that targeting this biology represents a compelling therapeutic approach. On June 13, 2026, we announced positive preliminary data from a Phase 2 trial evaluating setmelanotide in patients with PWS that demonstrated treatment with setmelanotide was associated with improvements across multiple clinically relevant endpoints, including BMI, BMI-Z and measures for hyperphagia and anxiety.</w:t>
      </w:r>
      <w:r>
        <w:rPr>
          <w:color w:val="000000"/>
        </w:rPr>
        <w:t xml:space="preserve"> </w:t>
      </w:r>
      <w:r>
        <w:rPr>
          <w:rFonts w:ascii="Times New Roman;serif" w:hAnsi="Times New Roman;serif"/>
          <w:b w:val="false"/>
          <w:color w:val="000000"/>
          <w:sz w:val="20"/>
        </w:rPr>
        <w:t xml:space="preserve">In addition to this ongoing trial of setmelanotide, we have begun enrolling patients in a Phase 2 trial evaluating RM-718 in PWS.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both"/>
        <w:rPr/>
      </w:pPr>
      <w:r>
        <w:rPr>
          <w:rFonts w:ascii="Times New Roman;serif" w:hAnsi="Times New Roman;serif"/>
          <w:b w:val="false"/>
          <w:color w:val="000000"/>
          <w:sz w:val="20"/>
          <w:shd w:fill="FFFFFF" w:val="clear"/>
        </w:rPr>
        <w:t xml:space="preserve">We continue to leverage what we believe is the largest known DNA database focused on obesity - with approximately 120,000 sequencing samples as of December 31, 2025 - to improve the understanding, diagnosis and care of people living with severe obesity due to certain variants in genes associated with the MC4R pathway. Our Phase 3 EMANATE trial did not achieve the primary endpoint in each of its four independent substudies evaluating setmelanotide in genetically caused MC4R pathway diseases, but we did see positive signals in two genetic indications. </w:t>
      </w:r>
      <w:r>
        <w:rPr>
          <w:rFonts w:ascii="Times New Roman;serif" w:hAnsi="Times New Roman;serif"/>
          <w:b w:val="false"/>
          <w:color w:val="000000"/>
          <w:sz w:val="20"/>
        </w:rPr>
        <w:t xml:space="preserve">We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240"/>
        <w:jc w:val="both"/>
        <w:rPr/>
      </w:pPr>
      <w:r>
        <w:rPr>
          <w:rFonts w:ascii="Times New Roman;serif" w:hAnsi="Times New Roman;serif"/>
          <w:b w:val="false"/>
          <w:color w:val="000000"/>
          <w:sz w:val="20"/>
        </w:rPr>
        <w:t xml:space="preserve">analyze the EMANATE results and evaluate potential clinical development paths to develop one of our product candidates in patients with SRC1 (NCOA1) deficiency and POMC insufficiency, including with our next-generation MC4R agonists bivamelagon or RM-718. In addition, we plan to continue to evaluate the potential for MC4R agonism in the genes and gene families previously identified through the exploratory Phase 2 DAYBREAK trial, including the SEMA3 family, PHIP, TBX3 or PLXNA family. </w:t>
      </w:r>
      <w:r>
        <w:rPr>
          <w:rFonts w:ascii="Times New Roman;serif" w:hAnsi="Times New Roman;serif"/>
          <w:b w:val="false"/>
          <w:color w:val="000000"/>
          <w:sz w:val="20"/>
          <w:shd w:fill="FFFFFF" w:val="clear"/>
        </w:rPr>
        <w:t xml:space="preserve">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setmelanotide's initial FDA-approved indications, including obesity due to biallelic POMC, PCSK1 or LEPR deficiencies, and BBS. Our epidemiology estimates for the two more prevalent indications studied in our Phase 3 EMANATE trial (SRC1 deficiency and POMC/PCSK1 insufficiency) suggest that approximately 26,000 U.S. patients with one of these genetically driven obesities have the potential to respond well to setmelanotide. Similarly, our epidemiology estimates for patients with genetic indications who demonstrated an initial response following stage 1 of our Phase 2 DAYBREAK trial is approximately 65,300. We believe that all these patients face similar challenges as other patients with rare diseases, namely lack of awareness, resources, tests, tools and, especially, therapeutic options. </w:t>
      </w:r>
    </w:p>
    <w:p>
      <w:pPr>
        <w:pStyle w:val="TextBody"/>
        <w:bidi w:val="0"/>
        <w:spacing w:lineRule="auto" w:line="26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Additional recent clinical, regulatory, corporate and commercial updates include: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On Aug. 4, 2026, we announced that more than 400 patient start forms had been received for IMCIVREE for acquired HO from approximately 300 prescribers as of June 30, 2026, since the approval by the FDA on March 19, 2026;</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Revenue from global sales of IMCIVREE was $71.3 million for the second quarter of 2026, an increase of 19% on a sequential basis from the first quarter of 2026. The number of patients on reimbursed therapy globally increased by greater than 20% as compared to the first quarter of 2026.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U.S.: Revenue of $51.0 million, or 72% of product revenue, was generated in the United States in the second quarter of 2026, an increase of $14.1 million or 38% compared to the first quarter of 2026. The sequential quarter over quarter growth in U.S. revenue was driven primarily by increased patient demand for IMCIVREE in acquired HO, as well as continued growth in demand in Bardet-Biedl syndrome (BBS).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Ex-U.S.: Revenue of $20.3 million, or 28% of product revenue, was generated outside the United States, a sequential decrease of $(2.9) million or (13)% compared to the first quarter of 2026. The Company incurred a $3.8 million charge associated with a retrospective rebate in France, of which $3.1 million was related to revenue booked in periods prior to the second quarter of 2026. The number of reimbursed patients on IMCIVREE continued to increase in the second quarter of 2026.</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On Aug. 4, 2026, we announced preliminary data from Part C of the phase 2 study of RM-718 in acquired HO patients. Eleven patients with acquired HO were enrolled in the ongoing, open-label trial. Key preliminary findings include: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-11.6% reduction in mean BMI from baseline (n=7) at 16 weeks of RM-718;</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RM-718 efficacy results at 16 weeks comparable to mean BMI reduction of -10.1% with bivamelagon (600 mg dose; n=7) at 14 weeks and -10.1% BMI reduction with setmelanotide at 16 weeks (n=64 patients in Phase 2 and 3 trials);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Two (2) mild instances of hyperpigmentation were reported and were limited to the injection site, with no generalized hyperpigmentation observed.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RM-718 was generally well tolerated, with the most common adverse events being injection site reactions, nausea, and vomiting;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Eight (8) patients remained on active treatment as of July 16, 2026, including two (2) patients who had not yet reached 16 weeks on therapy. Two participants discontinued treatment due to adverse events: injection site induration and nausea. One patient withdrew from the extension portion of the trial.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On Aug. 4, 2026, we announced that six abstracts, including three oral presentations and three poster presentations have been accepted for presentation at the European Society for Pediatric Endocrinology’s Annual Meeting (ESPE 2026) September 8-10, 2026. The presentations include: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Efficacy and safety of setmelanotide in pediatric patients with acquired hypothalamic obesity: final phase 3 trial results;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Impact of setmelanotide on metabolic index scores in pediatric participants with acquired hypothalamic obesity - A Phase 3 trial post-hoc analysis;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Pediatric patients with acquired hypothalamic obesity treated with setmelanotide: real-world BMI and hunger data for up to 12 months in France;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Long-term weight outcomes of setmelanotide in pediatric participants with Bardet-Biedl syndrome or with POMC or LEPR deficiency and obesity;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The association of clinical features of Bardet-Biedl syndrome in a large population of patients with obesity and a positive genetic test for biallelic BBS variants;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Clinical features associated with pathogenic or likely pathogenic biallelic Bardet-Biedl syndrome variants in a large population of patients with obesity;</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On July 8, 2026, we announced that results from Rhythm’s pivotal Phase 3 TRANSCEND trial evaluating setmelanotide in patients with acquired hypothalamic obesity were published in </w:t>
      </w:r>
      <w:r>
        <w:rPr>
          <w:rFonts w:ascii="Times New Roman;serif" w:hAnsi="Times New Roman;serif"/>
          <w:b w:val="false"/>
          <w:i/>
          <w:color w:val="000000"/>
          <w:sz w:val="20"/>
        </w:rPr>
        <w:t>The New England Journal of Medicine;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On June 13, 2026, during the Endocrine Society’s Annual Meeting (ENDO 2026) we announced positive preliminary data from a Phase 2 trial evaluating setmelanotide in patients with PWS that demonstrated patients with PWS (N=17) achieved clinically meaningful BMI or BMI z-score reductions, reductions in fat mass with preservation of lean mass, and improvements in hyperphagia and anxiety measures. Results from the six-month analysis demonstrate that treatment with setmelanotide was associated with improvements across multiple clinically relevant endpoints, as of a data cut off date of May 7, 2026. Highlights include: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Consistent BMI reductions in pediatric and adult patients at Month 6:</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-3.06% mean reduction in BMI (N=17 pts);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-3.11% mean reduction in BMI in adult patients (n=10); with six achieving &gt;2.5% BMI reduction, and four achieving &gt;4% BMI reduction;</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3.00% mean reduction in BMI in pediatric patients (n=7);</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0.35 mean reduction in BMI z-score from baseline in pediatric patients (n=7);</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Five (5) of seven pediatric patients achieved clinically meaningful BMI z-score reduction </w:t>
      </w:r>
      <w:r>
        <w:rPr>
          <w:rFonts w:ascii="Times New Roman;serif" w:hAnsi="Times New Roman;serif"/>
          <w:b w:val="false"/>
          <w:color w:val="000000"/>
          <w:sz w:val="20"/>
          <w:u w:val="single"/>
        </w:rPr>
        <w:t>&gt;</w:t>
      </w:r>
      <w:r>
        <w:rPr>
          <w:rFonts w:ascii="Times New Roman;serif" w:hAnsi="Times New Roman;serif"/>
          <w:b w:val="false"/>
          <w:color w:val="000000"/>
          <w:sz w:val="20"/>
        </w:rPr>
        <w:t>0.2;</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Setmelanotide achieved preservation of lean mass and reductions in fat mass across 16 patients with data available from DEXA scans: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+0.74% mean gain in lean mass and -4.19% mean loss in fat mass across 16 patients;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Six (6) of nine adult patients achieved &gt;5% reduction in fat mass;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Five (5) of seven pediatric patients gained ≥2.95% in lean mass;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Clinically meaningful improvement in hyperphagia score observed in patients with moderate to severe hyperphagia, defined as a ≥7-point reduction in Hyperphagia Questionnaire for Clinical Trials (HQ-CT) score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Eight (8) of 10 patients who entered trial with moderate to severe hyperphagia (</w:t>
      </w:r>
      <w:r>
        <w:rPr>
          <w:rFonts w:ascii="Times New Roman;serif" w:hAnsi="Times New Roman;serif"/>
          <w:b w:val="false"/>
          <w:color w:val="000000"/>
          <w:sz w:val="20"/>
          <w:u w:val="single"/>
        </w:rPr>
        <w:t>&gt;</w:t>
      </w:r>
      <w:r>
        <w:rPr>
          <w:rFonts w:ascii="Times New Roman;serif" w:hAnsi="Times New Roman;serif"/>
          <w:b w:val="false"/>
          <w:color w:val="000000"/>
          <w:sz w:val="20"/>
        </w:rPr>
        <w:t>13 at baseline) achieved clinically meaningful improvement of 7 points or better.</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Improvement in PWS Anxiousness and Distress Behaviors Questionnaire (PADQ) which measures anxiousness, emotional distress, and behavioral dysregulation.</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Of the 15 patients who had a baseline score &gt;11, 10 patients achieved clinically meaningful improvement of ≥11 points; and</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Safety and tolerability results have been consistent with the well-established profile observed with setmelanotide.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In conjunction with the presentation of the above data, Rhythm also provided an update to its epidemiology estimates for PWS, including a PWS prevalence in each of the U.S. and Europe at between 12,500 - 16,000 and an estimate that 8,500 - 12,750 PWS patients are living with hyperphagia and obesity in each of the U.S. and Europe. These estimates are based on our internal review and interpretation of the literature and available prevalence data, combined with our analysis of survival rate data.</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Also during ENDO 2026, we had additional data presentations that included long-term setmelanotide data in acquired HO; one-year bivamelagon data in acquired HO; post-hoc analysis of patients with acquired HO patients from the Phase 3 TRANSCEND trial with a history of bariatric surgery; weight category improvements patients with acquired HO achieved with one year of setmelanotide treatment; real-world efficacy analysis of U.S. patients with BBS; and results from the real-world RESTORE study of hyperphagia reduction in BBS patients treated with setmelanotide;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On May 28, 2026, we announced the publication of a new evidence-based, consensus-driven diagnostic algorithm for Bardet-Biedl syndrome (BBS) in the peer-reviewed </w:t>
      </w:r>
      <w:r>
        <w:rPr>
          <w:rFonts w:ascii="Times New Roman;serif" w:hAnsi="Times New Roman;serif"/>
          <w:b w:val="false"/>
          <w:i/>
          <w:color w:val="000000"/>
          <w:sz w:val="20"/>
        </w:rPr>
        <w:t xml:space="preserve">American Journal of Medical Genetics; </w:t>
      </w:r>
      <w:r>
        <w:rPr>
          <w:rFonts w:ascii="Times New Roman;serif" w:hAnsi="Times New Roman;serif"/>
          <w:b w:val="false"/>
          <w:color w:val="000000"/>
          <w:sz w:val="20"/>
        </w:rPr>
        <w:t xml:space="preserve">and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On May 12, 2026, we announced six data presentations at The European Congress of Endocrinology (ECE), including real-world efficacy results in patients with acquired HO treated with setmelanotide enrolled in France’s early-access program, results from a study that evaluated hyperphagia severity in adults with Bardet-Biedl syndrome (BBS), results that demonstrated setmelanotide treatment in patients with acquired HO led to significant improvements in multiple metabolic index scores, and a study that highlighted the persistent and under-recognized health burden of acquired HO across life stages, drawing on the experiences of individuals with childhood-onset craniopharyngioma (CO-CP) from the Netherlands, Germany, and the UK.</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currently anticipate the following, near-term milestones: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Complete enrollment in the setmelanotide substudy in congenital HO in the second half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Complete enrollment in the Phase 1/2,</w:t>
      </w:r>
      <w:r>
        <w:rPr>
          <w:color w:val="000000"/>
        </w:rPr>
        <w:t xml:space="preserve"> </w:t>
      </w:r>
      <w:r>
        <w:rPr>
          <w:rFonts w:ascii="Times New Roman;serif" w:hAnsi="Times New Roman;serif"/>
          <w:b w:val="false"/>
          <w:color w:val="000000"/>
          <w:sz w:val="20"/>
          <w:shd w:fill="FFFFFF" w:val="clear"/>
        </w:rPr>
        <w:t>Part D trial evaluating RM-718 in PWS in the second half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Anticipate launch of IMCIVREE for acquired HO in Japan pending a decision by Japan's Ministry of Health, Labour and Welfare (MHLW) by year-end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Initiate a pivotal Phase 3 trial evaluating bivamelagon in acquired HO by year-end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Anticipate country-level launches of IMCIVREE for acquired HO in Europe beginning in 2027.</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IMCIVREE's initial approval in the United States and marketing authorizations in the EU, Great Britain and Canada, we are continuing to pursue a country-by-country strategy to establish market access and reimbursement for IMCIVREE in additional countries. We expect we may need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raised funds through the issuance of common and preferred equity, the sale of assets and a Revenue Interest Financing Agreement, or RIFA.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we may need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collaborations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pStyle w:val="TextBody"/>
        <w:bidi w:val="0"/>
        <w:spacing w:lineRule="auto" w:line="288" w:before="24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accumulated deficit of $1.5 billion. Our net loss was $49.3 million and $46.6 million for the three months ended June 30, 2026 and June 30, 2025. Our net loss was $104.9 million and $96.1 million for the six months ended June 30, 2026 and June 30, 2025.We expect to continue to incur significant expenses and operating losses for the foreseeable future. Our expenses may increase in connection with our ongoing activities, as we: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continue to conduct clinical trials for setmelanotide </w:t>
      </w:r>
      <w:r>
        <w:rPr>
          <w:rFonts w:ascii="Times New Roman;serif" w:hAnsi="Times New Roman;serif"/>
          <w:b w:val="false"/>
          <w:color w:val="000000"/>
          <w:sz w:val="20"/>
          <w:shd w:fill="FFFFFF" w:val="clear"/>
        </w:rPr>
        <w:t>and our other product candidates</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engage contract manufacturing organizations, or CMOs, for the manufacture of clinical and commercial-grade setmelanotide;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seek regulatory approval for setmelanotide for </w:t>
      </w:r>
      <w:r>
        <w:rPr>
          <w:rFonts w:ascii="Times New Roman;serif" w:hAnsi="Times New Roman;serif"/>
          <w:b w:val="false"/>
          <w:color w:val="000000"/>
          <w:sz w:val="20"/>
          <w:shd w:fill="FFFFFF" w:val="clear"/>
        </w:rPr>
        <w:t>future indications, and for our other product candidates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expand our clinical </w:t>
      </w:r>
      <w:r>
        <w:rPr>
          <w:rFonts w:ascii="Times New Roman;serif" w:hAnsi="Times New Roman;serif"/>
          <w:b w:val="false"/>
          <w:color w:val="000000"/>
          <w:sz w:val="20"/>
          <w:shd w:fill="FFFFFF" w:val="clear"/>
        </w:rPr>
        <w:t>and financial operations and build a marketing and commercialization infrastructure</w:t>
      </w:r>
      <w:r>
        <w:rPr>
          <w:rFonts w:ascii="Times New Roman;serif" w:hAnsi="Times New Roman;serif"/>
          <w:b w:val="false"/>
          <w:color w:val="000000"/>
          <w:sz w:val="20"/>
        </w:rPr>
        <w:t xml:space="preserv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engage in the sales and marketing efforts necessary to support the continued commercial efforts of IMCIVREE globally;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take into account the levels, timing and collection of revenue earned from sales of IMCIVREE and other products approved in the future, if any;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 to operate as a public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existing cash and cash equivalents and short-term investments were approximately $330.9 million. We expect that our cash and cash equivalents and short-term investments as of June 30, 2026, will be sufficient to fund our planned operations for at least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generated approximately $553.9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the EU in March 2022 under the paid early access program. IMCIVREE was approved by the FDA and the EC in adult and pediatric patients six years of age and older with obesity due to BBS in June and September 2022, respectively.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IMCIVREE was approved by the FDA to reduce excess body weight and maintain reduction long term in adult and pediatric patients aged 4 years and older with acquired hypothalamic obesity (aHO).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these initial approvals, sales of IMCIVREE have grown, and we expect will continue to grow.</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the six months ended June 30, 2025, we recognized a reduction of previously-recognized license revenue of $5.0 million in connection with the termination of our exclusive license agreement with RareStone. See Note 12, </w:t>
      </w:r>
      <w:r>
        <w:rPr>
          <w:rFonts w:ascii="Times New Roman;serif" w:hAnsi="Times New Roman;serif"/>
          <w:b w:val="false"/>
          <w:i/>
          <w:color w:val="000000"/>
          <w:sz w:val="20"/>
        </w:rPr>
        <w:t>Significant Agreements</w:t>
      </w:r>
      <w:r>
        <w:rPr>
          <w:rFonts w:ascii="Times New Roman;serif" w:hAnsi="Times New Roman;serif"/>
          <w:b w:val="false"/>
          <w:color w:val="000000"/>
          <w:sz w:val="20"/>
        </w:rPr>
        <w:t>, to the unaudited condensed consolidated financial statements included under Part I, Item 1 of this Quarterly Report on Form 10-Q.</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inventory of IMCIVREE produced prior to FDA approval is available for commercial or clinical use. Most of the manufacturing costs have been recorded as research and development expenses in prior periods. We expect cost of sales to increase in 2026 as we continue to sell inventory that is produced after we began capitalizing manufacturing costs for IMCIVREE commercial inventory.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drug discovery and genetic sequencing efforts, and the clinical development of setmelanotide, which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cost of lab supplies and acquiring, developing and manufacturing preclinical and clinical study materials;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of genetic sequencing of potential patients in clinical studies;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facilities, depreciation, and other expenses, which include rent and maintenance of facilities, insurance and other operating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research and development expenses:</w:t>
      </w:r>
    </w:p>
    <w:tbl>
      <w:tblPr>
        <w:tblW w:w="8291" w:type="dxa"/>
        <w:jc w:val="center"/>
        <w:tblInd w:w="0" w:type="dxa"/>
        <w:tblLayout w:type="fixed"/>
        <w:tblCellMar>
          <w:top w:w="28" w:type="dxa"/>
          <w:left w:w="28" w:type="dxa"/>
          <w:bottom w:w="28" w:type="dxa"/>
          <w:right w:w="28" w:type="dxa"/>
        </w:tblCellMar>
      </w:tblPr>
      <w:tblGrid>
        <w:gridCol w:w="1004"/>
        <w:gridCol w:w="884"/>
        <w:gridCol w:w="88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Research and development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43,428 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79,281 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We are unable to predict the duration and costs of the current or future clinical trials of our product candidates.</w:t>
      </w:r>
      <w:r>
        <w:rPr>
          <w:color w:val="000000"/>
          <w:shd w:fill="FFFFFF" w:val="clear"/>
        </w:rPr>
        <w:t xml:space="preserve"> </w:t>
      </w:r>
      <w:r>
        <w:rPr>
          <w:rFonts w:ascii="Times New Roman;serif" w:hAnsi="Times New Roman;serif"/>
          <w:b w:val="false"/>
          <w:color w:val="000000"/>
          <w:sz w:val="20"/>
          <w:shd w:fill="FFFFFF" w:val="clear"/>
        </w:rPr>
        <w:t>The duration, costs, and timing of clinical trials and development of setmelanotide, RM-718, bivamelagon, and a potential therapeutic product candidate for congenital hyperinsulinism (CHI) will depend on a variety of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rate of progress, and expense of our ongoing, as well as any additional, clinical trials and other research and development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rate of enrollment in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safety and efficacy demonstrated by setmelanotide and other product candidates in future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regulatory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clinical trial design;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and receipt of any regulatory approvals.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our product candidates would significantly change the costs and timing associated with its development and potential commercialization.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expenses consist of professional fees related to preparation for the continued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other related costs, including stock-based compensation, relating to our full-time employees not involved in R&amp;D or commercial activities. Other significant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include rent, information technology, legal fees relating to patent and corporate matters and fees for accounting and consulting services.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selling, general and administrative expenses:</w:t>
      </w:r>
    </w:p>
    <w:tbl>
      <w:tblPr>
        <w:tblW w:w="9765" w:type="dxa"/>
        <w:jc w:val="center"/>
        <w:tblInd w:w="0" w:type="dxa"/>
        <w:tblLayout w:type="fixed"/>
        <w:tblCellMar>
          <w:top w:w="28" w:type="dxa"/>
          <w:left w:w="28" w:type="dxa"/>
          <w:bottom w:w="28" w:type="dxa"/>
          <w:right w:w="28" w:type="dxa"/>
        </w:tblCellMar>
      </w:tblPr>
      <w:tblGrid>
        <w:gridCol w:w="1325"/>
        <w:gridCol w:w="1166"/>
        <w:gridCol w:w="1169"/>
        <w:gridCol w:w="109"/>
        <w:gridCol w:w="109"/>
        <w:gridCol w:w="109"/>
        <w:gridCol w:w="496"/>
        <w:gridCol w:w="246"/>
        <w:gridCol w:w="246"/>
        <w:gridCol w:w="246"/>
        <w:gridCol w:w="246"/>
        <w:gridCol w:w="246"/>
        <w:gridCol w:w="496"/>
        <w:gridCol w:w="246"/>
        <w:gridCol w:w="246"/>
        <w:gridCol w:w="109"/>
        <w:gridCol w:w="109"/>
        <w:gridCol w:w="109"/>
        <w:gridCol w:w="509"/>
        <w:gridCol w:w="317"/>
        <w:gridCol w:w="220"/>
        <w:gridCol w:w="220"/>
        <w:gridCol w:w="220"/>
        <w:gridCol w:w="220"/>
        <w:gridCol w:w="444"/>
        <w:gridCol w:w="277"/>
        <w:gridCol w:w="310"/>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67,448 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45,947 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131,039 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85,034 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carrying value of assets and liabilities that are not readily apparent from other sources. Actual results may differ from these estimates under different assumptions or conditions.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changes to our critical accounting policies as reported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together with the changes in those items in dollars and as a percentage:</w:t>
      </w:r>
    </w:p>
    <w:tbl>
      <w:tblPr>
        <w:tblW w:w="8005" w:type="dxa"/>
        <w:jc w:val="left"/>
        <w:tblInd w:w="0" w:type="dxa"/>
        <w:tblLayout w:type="fixed"/>
        <w:tblCellMar>
          <w:top w:w="28" w:type="dxa"/>
          <w:left w:w="28" w:type="dxa"/>
          <w:bottom w:w="28" w:type="dxa"/>
          <w:right w:w="28" w:type="dxa"/>
        </w:tblCellMar>
      </w:tblPr>
      <w:tblGrid>
        <w:gridCol w:w="1086"/>
        <w:gridCol w:w="954"/>
        <w:gridCol w:w="959"/>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188"/>
        <w:gridCol w:w="188"/>
        <w:gridCol w:w="37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119,807 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93,798 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(45,296)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(48,854)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(46,295)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(46,632)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pPr>
      <w:r>
        <w:rPr>
          <w:rFonts w:ascii="Times New Roman;serif" w:hAnsi="Times New Roman;serif"/>
          <w:b w:val="false"/>
          <w:i/>
          <w:color w:val="000000"/>
          <w:sz w:val="20"/>
        </w:rPr>
        <w:t>Product revenue, net</w:t>
      </w:r>
      <w:r>
        <w:rPr>
          <w:rFonts w:ascii="Times New Roman;serif" w:hAnsi="Times New Roman;serif"/>
          <w:b w:val="false"/>
          <w:color w:val="000000"/>
          <w:sz w:val="20"/>
        </w:rPr>
        <w:t xml:space="preserve">. Product revenue, net increased by $22.8 million to $71.3 million for the three months ended June 30, 2026 from $48.5 million for the three months ended June 30, 2025, an increase of 47%, primarily due to higher volume of product sold both domestically and internationally. </w:t>
      </w:r>
      <w:r>
        <w:rPr>
          <w:rFonts w:ascii="Times New Roman;serif" w:hAnsi="Times New Roman;serif"/>
          <w:b w:val="false"/>
          <w:color w:val="000000"/>
          <w:sz w:val="20"/>
          <w:shd w:fill="FFFFFF" w:val="clear"/>
        </w:rPr>
        <w:t>The increase was offset by a reduction to product revenue, net of $3.8 million due to an increase in international government rebates, primarily related to growth of sales in France.</w:t>
      </w:r>
      <w:r>
        <w:rPr>
          <w:color w:val="000000"/>
        </w:rPr>
        <w:t xml:space="preserve"> </w:t>
      </w:r>
      <w:r>
        <w:rPr>
          <w:rFonts w:ascii="Times New Roman;serif" w:hAnsi="Times New Roman;serif"/>
          <w:b w:val="false"/>
          <w:color w:val="000000"/>
          <w:sz w:val="20"/>
        </w:rPr>
        <w:t xml:space="preserve">We expect our sales of IMCIVREE to continue to increase. We have achieved market access or named patient sales for IMCIVREE for BBS or POMC and LEPR deficiencies, or both, in more than 25 countries outside the United States, and we continue to collaborate with authorities to achieve access in additional markets. For the three months ended June 30, 2026, and 2025, a substantial amount of our product revenue, or </w:t>
      </w:r>
      <w:r>
        <w:rPr>
          <w:rFonts w:ascii="Times New Roman;serif" w:hAnsi="Times New Roman;serif"/>
          <w:b w:val="false"/>
          <w:color w:val="000000"/>
          <w:sz w:val="20"/>
          <w:shd w:fill="FFFFFF" w:val="clear"/>
        </w:rPr>
        <w:t>72%</w:t>
      </w:r>
      <w:r>
        <w:rPr>
          <w:color w:val="000000"/>
        </w:rPr>
        <w:t xml:space="preserve"> </w:t>
      </w:r>
      <w:r>
        <w:rPr>
          <w:rFonts w:ascii="Times New Roman;serif" w:hAnsi="Times New Roman;serif"/>
          <w:b w:val="false"/>
          <w:color w:val="000000"/>
          <w:sz w:val="20"/>
        </w:rPr>
        <w:t>and 66%, respectively, was generated from sales of our product to patients in the United States.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Cost of sales increased by $3.4 million to $8.9 million for the three months ended June 30, 2026, from $5.5 million for the three months ended June 30, 2025, an increase of 61%, </w:t>
      </w:r>
      <w:r>
        <w:rPr>
          <w:rFonts w:ascii="Times New Roman;serif" w:hAnsi="Times New Roman;serif"/>
          <w:b w:val="false"/>
          <w:color w:val="000000"/>
          <w:sz w:val="20"/>
          <w:shd w:fill="FFFFFF" w:val="clear"/>
        </w:rPr>
        <w:t xml:space="preserve">which was driven by an increase in net product revenue in the three months ended </w:t>
      </w:r>
      <w:r>
        <w:rPr>
          <w:rFonts w:ascii="Times New Roman;serif" w:hAnsi="Times New Roman;serif"/>
          <w:b w:val="false"/>
          <w:color w:val="000000"/>
          <w:sz w:val="20"/>
        </w:rPr>
        <w:t>June 30, 2026. Cost of sales is composed of royalty expense due to Ipsen Pharma S.A.S., or Ipsen, on our net product revenue, amortization of our capitalized sales-based milestone payment made to Ipsen upon our first commercial sale in the United States and EU, the cost of product, as well as costs associated with our patient assistance programs. Specifically, the $3.4 million increase in cost of sales in the three months ended June 30, 2026, from the same period in 2025, was due to $1.1 million of additional royalties due to our growth in net product revenue and $2.3 million attributed to increased product costs associated with higher net product revenue. We expect cost of sales as a percentage of revenue to continue to be in a range of 10% to 12% in the foreseeable future.</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Research and development expense. </w:t>
      </w:r>
      <w:r>
        <w:rPr>
          <w:rFonts w:ascii="Times New Roman;serif" w:hAnsi="Times New Roman;serif"/>
          <w:b w:val="false"/>
          <w:color w:val="000000"/>
          <w:sz w:val="20"/>
        </w:rPr>
        <w:t>Research and development expense increased by $1.1 million to $43.4 million for the three months ended June 30, 2026, from $42.3 million for the three months ended June 30, 2025, an increase of 3%. The net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$3.3 million related to personnel costs including $2.2 million in stock-based compensation, and $1.1 million related to salaries, benefits and other compensation costs related to the hiring of additional full-time employees in order to support the growth of our research and development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$1.4 million in data analytics primarily related to the company's sponsored genetic testing programs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$0.8 million in pre-clinical expenses due to an increase in CHI-related costs.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above increases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net decrease of $3.5 million due to phasing of spending associated with chemistry, manufacturing, and controls (CMC) costs for drug formulation and autoinjector development to support our ongoing clinical trials related to RM-718,</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$1.0 million net decrease in clinical trial costs driven primarily by a $3.6 million decrease in clinical trial costs due to the wind-down of various studies including our EMANATE Phase 3, and Phase 3 HO Setmelanotide trial, offset by an increase of $2.0 million related to various Bivamelagon studies.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Selling, general and administrative expense increased by $21.5 million to $67.4 million for the three months ended June 30, 2026, from $45.9 million for the three months ended June 30, 2025, an increase of 47%. The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$18.7 million related to personnel costs including $7.9 million of stock-based compensation, and $10.8 million related to salaries, benefits and other compensation costs related to the hiring of additional full-time employees to support our expanding business operations as well as to establish commercial operations in international regions,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$1.9 million related to increased marketing and promotion costs to support continued product revenue growth and our product launch for acquired Hypothalamic Obesity.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decreased by $0.7 million to $(0.3) million for the three months ended June 30, 2026 from $(1.0) million for the three months ended June 30, 2025. The decrease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of $1.2 million of non-cash interest expense in the three months ended June 30, 2026, associated with the accretion of the LG Chem liability, which was fully settled in July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above decrease was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other expense of $0.7 million recognized on the change in fair value of the embedded derivative on our deferred royalty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together with the changes in those items in dollars and as a percentage:</w:t>
      </w:r>
    </w:p>
    <w:tbl>
      <w:tblPr>
        <w:tblW w:w="8214" w:type="dxa"/>
        <w:jc w:val="left"/>
        <w:tblInd w:w="0" w:type="dxa"/>
        <w:tblLayout w:type="fixed"/>
        <w:tblCellMar>
          <w:top w:w="28" w:type="dxa"/>
          <w:left w:w="28" w:type="dxa"/>
          <w:bottom w:w="28" w:type="dxa"/>
          <w:right w:w="28" w:type="dxa"/>
        </w:tblCellMar>
      </w:tblPr>
      <w:tblGrid>
        <w:gridCol w:w="1086"/>
        <w:gridCol w:w="954"/>
        <w:gridCol w:w="959"/>
        <w:gridCol w:w="211"/>
        <w:gridCol w:w="901"/>
        <w:gridCol w:w="109"/>
        <w:gridCol w:w="109"/>
        <w:gridCol w:w="109"/>
        <w:gridCol w:w="109"/>
        <w:gridCol w:w="211"/>
        <w:gridCol w:w="796"/>
        <w:gridCol w:w="109"/>
        <w:gridCol w:w="109"/>
        <w:gridCol w:w="109"/>
        <w:gridCol w:w="109"/>
        <w:gridCol w:w="211"/>
        <w:gridCol w:w="721"/>
        <w:gridCol w:w="109"/>
        <w:gridCol w:w="109"/>
        <w:gridCol w:w="109"/>
        <w:gridCol w:w="109"/>
        <w:gridCol w:w="269"/>
        <w:gridCol w:w="271"/>
        <w:gridCol w:w="31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131,367 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81,206 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50,161 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(100,913)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(92,300)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1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(95,713)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(104,937)</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(96,130)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(8,807)</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i/>
          <w:color w:val="000000"/>
          <w:sz w:val="20"/>
        </w:rPr>
        <w:t>Product revenue, net</w:t>
      </w:r>
      <w:r>
        <w:rPr>
          <w:rFonts w:ascii="Times New Roman;serif" w:hAnsi="Times New Roman;serif"/>
          <w:b w:val="false"/>
          <w:color w:val="000000"/>
          <w:sz w:val="20"/>
        </w:rPr>
        <w:t xml:space="preserve">. Product revenue, net increased by $45.1 million to $131.4 million for the six months ended June 30, 2026, from $86.2 million for the six months ended June 30, 2025, an increase of 52% primarily due to higher volume of product sold both domestically and internationally. </w:t>
      </w:r>
      <w:r>
        <w:rPr>
          <w:rFonts w:ascii="Times New Roman;serif" w:hAnsi="Times New Roman;serif"/>
          <w:b w:val="false"/>
          <w:color w:val="000000"/>
          <w:sz w:val="20"/>
          <w:shd w:fill="FFFFFF" w:val="clear"/>
        </w:rPr>
        <w:t xml:space="preserve">The increase was offset by a reduction to product revenue, net of $3.8 million due to an increase in international government rebates, primarily related to growth of sales in France. </w:t>
      </w:r>
      <w:r>
        <w:rPr>
          <w:rFonts w:ascii="Times New Roman;serif" w:hAnsi="Times New Roman;serif"/>
          <w:b w:val="false"/>
          <w:color w:val="000000"/>
          <w:sz w:val="20"/>
        </w:rPr>
        <w:t>We expect our sales of IMCIVREE to continue to increase. We have achieved market access or named patient sales of IMCIVREE for BBS or POMC and LEPR deficiencies, or both, in more than 25 countries outside the United States, and we continue to collaborate with authorities to achieve access in additional markets. For the six months ended June 30, 2026, and 2025, the majority of our product revenue</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67%</w:t>
      </w:r>
      <w:r>
        <w:rPr>
          <w:color w:val="000000"/>
          <w:shd w:fill="FFFFFF" w:val="clear"/>
        </w:rPr>
        <w:t xml:space="preserve"> </w:t>
      </w:r>
      <w:r>
        <w:rPr>
          <w:rFonts w:ascii="Times New Roman;serif" w:hAnsi="Times New Roman;serif"/>
          <w:b w:val="false"/>
          <w:color w:val="000000"/>
          <w:sz w:val="20"/>
          <w:shd w:fill="FFFFFF" w:val="clear"/>
        </w:rPr>
        <w:t>and 65%, respectively, was generated from sales of our product to pharmacies for patients in the United States.</w:t>
      </w:r>
    </w:p>
    <w:p>
      <w:pPr>
        <w:pStyle w:val="TextBody"/>
        <w:bidi w:val="0"/>
        <w:spacing w:lineRule="auto" w:line="288" w:before="0" w:after="240"/>
        <w:ind w:left="0" w:right="0" w:firstLine="720"/>
        <w:jc w:val="both"/>
        <w:rPr/>
      </w:pPr>
      <w:r>
        <w:rPr>
          <w:rFonts w:ascii="Times New Roman;serif" w:hAnsi="Times New Roman;serif"/>
          <w:b w:val="false"/>
          <w:i/>
          <w:color w:val="000000"/>
          <w:sz w:val="20"/>
          <w:shd w:fill="FFFFFF" w:val="clear"/>
        </w:rPr>
        <w:t>License revenue</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we recognized a reduction of previously-recognized license revenue of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in connection with the termination of our exclusive license agreement with RareStone. See Note 12, </w:t>
      </w:r>
      <w:r>
        <w:rPr>
          <w:rFonts w:ascii="Times New Roman;serif" w:hAnsi="Times New Roman;serif"/>
          <w:b w:val="false"/>
          <w:i/>
          <w:color w:val="000000"/>
          <w:sz w:val="20"/>
          <w:shd w:fill="FFFFFF" w:val="clear"/>
        </w:rPr>
        <w:t>Significant Agreements</w:t>
      </w:r>
      <w:r>
        <w:rPr>
          <w:rFonts w:ascii="Times New Roman;serif" w:hAnsi="Times New Roman;serif"/>
          <w:b w:val="false"/>
          <w:color w:val="000000"/>
          <w:sz w:val="20"/>
          <w:shd w:fill="FFFFFF" w:val="clear"/>
        </w:rPr>
        <w:t>, to the unaudited condensed consolidated financial statements included under Part I, Item 1 of this Quarterly Report on Form 10-Q.</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Cost of sales increased by $6.9 million to $16.1 million for the six months ended June 30, 2026 from $9.2 million for the six months ended June 30, 2025, an increase of 75%, which was driven by an increase in sales volume and net product revenue in the six months ended June 30, 2026. Cost of sales is composed of royalty expense due to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$6.9 million increase in cost of sales in the six months ended June 30, 2026, from the same period in 2025 was due to $2.2 million of additional royalties due to our growth in sales and $4.7 million attributed to increased product costs associated with higher sales volume. We expect cost of sales as a percentage of revenue to continue to be in a range of 10% to 12%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Research and development expense. </w:t>
      </w:r>
      <w:r>
        <w:rPr>
          <w:rFonts w:ascii="Times New Roman;serif" w:hAnsi="Times New Roman;serif"/>
          <w:b w:val="false"/>
          <w:color w:val="000000"/>
          <w:sz w:val="20"/>
        </w:rPr>
        <w:t>Research and development expense increased by $5.9 million to $85.2 million for the six months ended June 30, 2026 from $79.3 million for the six months ended June 30, 2025, an increase of 7%. The net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$10.4 million related to personnel costs, including $5.7 million related to salaries, benefits and other compensation costs related to the hiring of additional full-time employees in order to support the growth of our research and development programs, and $4.7 million of stock-based compensation,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$1.2 million in data analytics primarily related to the Company's sponsored genetic testing program,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$1.0 million in non-clinical expenses due to an increase in CHI-related costs,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$0.9 million in patents, licenses and other regulatory expenses.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above increases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of $4.9 million due to phasing of spending associated with chemistry, manufacturing, and controls (CMC) costs for drug formulation and autoinjector development to support our ongoing RM-718 and bivamelagon trials,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net decrease of $2.6 million in our clinical trial costs due to the completion and wind down of various studies including our long-term extension trial, EMANATE phase 3, HO Phase 3, partially offset by an uptick in Bivamelagon-related clinical trials.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Selling, general and administrative expense increased by $46.0 million to $131.0 million for the six months ended June 30, 2026 from $85.0 million for the six months ended June 30, 2025, an increase of 54%. The increase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 increase of $38.8 million related to personnel costs including $15.7 million of stock-based compensation, and $23.2 million related to salaries, benefits and other compensation costs related to the hiring of additional full-time employees to support our expanding business operations both domestic and internationally,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$5.5 million related to increased marketing and promotion costs to support continued revenue growth, and our launch for acquired Hypothalamic Obesity,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$1.8 million in market access and commercial services to support our expanding international business operations.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decreased by $0.4 million to $3.0 million</w:t>
      </w:r>
      <w:r>
        <w:rPr>
          <w:color w:val="000000"/>
        </w:rPr>
        <w:t xml:space="preserve"> </w:t>
      </w:r>
      <w:r>
        <w:rPr>
          <w:rFonts w:ascii="Times New Roman;serif" w:hAnsi="Times New Roman;serif"/>
          <w:b w:val="false"/>
          <w:color w:val="000000"/>
          <w:sz w:val="20"/>
        </w:rPr>
        <w:t>for the six months ended June 30, 2026 from $3.4 million of other expense for the six months ended June 30, 2025. The decrease was primarily due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of $2.3 million of non-cash interest expense in the six months ended June 30, 2026, associated with the accretion of the LG Chem liability, which was paid in July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decrease was partially offset by:</w: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of $1.0 million for the change in fair value of the embedded derivative of our deferred royalty obligation during as we recognized a loss of $0.6 million during the six months ended June 30, 2026 compared to a gain of $0.4 million</w:t>
      </w:r>
      <w:r>
        <w:rPr>
          <w:color w:val="000000"/>
        </w:rPr>
        <w:t xml:space="preserve"> </w:t>
      </w:r>
      <w:r>
        <w:rPr>
          <w:rFonts w:ascii="Times New Roman;serif" w:hAnsi="Times New Roman;serif"/>
          <w:b w:val="false"/>
          <w:color w:val="000000"/>
          <w:sz w:val="20"/>
        </w:rPr>
        <w:t>during the six months ended June 30, 2025, and</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an increase of $0.6 million in unrealized loss on foreign currency.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cash and cash equivalents and short-term investments were approximately $330.9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six months ended June 30, 2026 and 2025:</w:t>
      </w:r>
    </w:p>
    <w:tbl>
      <w:tblPr>
        <w:tblW w:w="8019" w:type="dxa"/>
        <w:jc w:val="left"/>
        <w:tblInd w:w="0" w:type="dxa"/>
        <w:tblLayout w:type="fixed"/>
        <w:tblCellMar>
          <w:top w:w="28" w:type="dxa"/>
          <w:left w:w="28" w:type="dxa"/>
          <w:bottom w:w="28" w:type="dxa"/>
          <w:right w:w="28" w:type="dxa"/>
        </w:tblCellMar>
      </w:tblPr>
      <w:tblGrid>
        <w:gridCol w:w="2013"/>
        <w:gridCol w:w="1771"/>
        <w:gridCol w:w="1781"/>
        <w:gridCol w:w="211"/>
        <w:gridCol w:w="721"/>
        <w:gridCol w:w="109"/>
        <w:gridCol w:w="109"/>
        <w:gridCol w:w="109"/>
        <w:gridCol w:w="109"/>
        <w:gridCol w:w="211"/>
        <w:gridCol w:w="721"/>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cash in all periods resulted primarily from our net loss adjusted for non-cash charges and changes in components of operating assets and liabilities.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$53.3 million for the six months ended June 30, 2026 and consisted primarily of a net loss of $104.9 million adjusted for non-cash items of $58.0 million, which consisted of stock-based compensation, non-cash interest expense, non-cash accretion and amortization of short-term investments, depreciation and amortization, non-cash rent expense, the change in the fair value of our embedded derivative asset, and the foreign currency impacts. Additionally, the change in operating assets and liabilities used net cash of approximately $6.4 million and was primarily driven by net increases in accounts receivable of $14.3 million, primarily due to the increase in product revenue, the change in inventory of $5.4 million, and the change in deferred revenue of $0.2 million. These net uses of cash were offset by an increase in accounts payable, accrued expenses and other liabilities of $10.8 million, the change in prepaid expenses and other current assets of $2.3 million, and the change in other long-term assets of $0.4 million.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Net cash used in operating activities was </w:t>
      </w:r>
      <w:r>
        <w:rPr>
          <w:rFonts w:ascii="Times New Roman;serif" w:hAnsi="Times New Roman;serif"/>
          <w:b w:val="false"/>
          <w:color w:val="000000"/>
          <w:sz w:val="20"/>
          <w:shd w:fill="FFFFFF" w:val="clear"/>
        </w:rPr>
        <w:t>$63.7 million</w:t>
      </w:r>
      <w:r>
        <w:rPr>
          <w:color w:val="000000"/>
        </w:rPr>
        <w:t xml:space="preserve"> </w:t>
      </w:r>
      <w:r>
        <w:rPr>
          <w:rFonts w:ascii="Times New Roman;serif" w:hAnsi="Times New Roman;serif"/>
          <w:b w:val="false"/>
          <w:color w:val="000000"/>
          <w:sz w:val="20"/>
        </w:rPr>
        <w:t>for the six months ended June 30, 2025 and consisted primarily of a net loss of $96.1 million adjusted for non-cash items of $35.9 million, which consisted of stock-based compensation, non-cash interest expense, non-cash accretion and amortization of short-term investments, depreciation and amortization, rent expense, the change in the fair value of our embedded derivative asset, and the change in unrealized gain on foreign currency. The change in operating assets and liabilities used net cash of approximately $3.4 million and was primarily driven by net increases in prepaid expenses and other current assets of $10.0 million, the change in accounts receivable of $7.1 million, and the change in deferred revenue of $1.3 million. These net uses of cash were offset by an increase in accounts payable, accrued expenses and other liabilities of $9.6 million, and net decreases in other long-term assets of $5.5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cash provided by investing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$71.1 million for the six months ending June 30, 2026 and relates to purchases of short-term investments for $85.7 million, offset by gross maturities of short-term investments of $156.8 million.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provided by investing activities was </w:t>
      </w:r>
      <w:r>
        <w:rPr>
          <w:rFonts w:ascii="Times New Roman;serif" w:hAnsi="Times New Roman;serif"/>
          <w:b w:val="false"/>
          <w:color w:val="000000"/>
          <w:sz w:val="20"/>
          <w:shd w:fill="FFFFFF" w:val="clear"/>
        </w:rPr>
        <w:t>$78.8 million</w:t>
      </w:r>
      <w:r>
        <w:rPr>
          <w:color w:val="000000"/>
        </w:rPr>
        <w:t xml:space="preserve"> </w:t>
      </w:r>
      <w:r>
        <w:rPr>
          <w:rFonts w:ascii="Times New Roman;serif" w:hAnsi="Times New Roman;serif"/>
          <w:b w:val="false"/>
          <w:color w:val="000000"/>
          <w:sz w:val="20"/>
        </w:rPr>
        <w:t xml:space="preserve">for the six months ended June 30, 2025 and relates to gross maturities of short-term investments of </w:t>
      </w:r>
      <w:r>
        <w:rPr>
          <w:rFonts w:ascii="Times New Roman;serif" w:hAnsi="Times New Roman;serif"/>
          <w:b w:val="false"/>
          <w:color w:val="000000"/>
          <w:sz w:val="20"/>
          <w:shd w:fill="FFFFFF" w:val="clear"/>
        </w:rPr>
        <w:t>$139.3 million</w:t>
      </w:r>
      <w:r>
        <w:rPr>
          <w:rFonts w:ascii="Times New Roman;serif" w:hAnsi="Times New Roman;serif"/>
          <w:b w:val="false"/>
          <w:color w:val="000000"/>
          <w:sz w:val="20"/>
        </w:rPr>
        <w:t xml:space="preserve">, offset by purchases of short-term investments for </w:t>
      </w:r>
      <w:r>
        <w:rPr>
          <w:rFonts w:ascii="Times New Roman;serif" w:hAnsi="Times New Roman;serif"/>
          <w:b w:val="false"/>
          <w:color w:val="000000"/>
          <w:sz w:val="20"/>
          <w:shd w:fill="FFFFFF" w:val="clear"/>
        </w:rPr>
        <w:t>$60.5 million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Net cash (used in) provided by financing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$6.6 million for the six months ended June 30, 2026, and consisted of $11.2 million of repayments of our deferred royalty obligation and $9.7 million for the net settlement of equity awards. These uses of cash were offset by proceeds of $14.3 million from the exercise of stock options and the issuance of common stock from our Employee Stock 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Net cash provided by financing activities was </w:t>
      </w:r>
      <w:r>
        <w:rPr>
          <w:rFonts w:ascii="Times New Roman;serif" w:hAnsi="Times New Roman;serif"/>
          <w:b w:val="false"/>
          <w:color w:val="000000"/>
          <w:sz w:val="20"/>
          <w:shd w:fill="FFFFFF" w:val="clear"/>
        </w:rPr>
        <w:t>$31.6 million</w:t>
      </w:r>
      <w:r>
        <w:rPr>
          <w:color w:val="000000"/>
        </w:rPr>
        <w:t xml:space="preserve"> </w:t>
      </w:r>
      <w:r>
        <w:rPr>
          <w:rFonts w:ascii="Times New Roman;serif" w:hAnsi="Times New Roman;serif"/>
          <w:b w:val="false"/>
          <w:color w:val="000000"/>
          <w:sz w:val="20"/>
        </w:rPr>
        <w:t xml:space="preserve">for the six months ended June 30, 2025, and consisted of net proceeds of </w:t>
      </w:r>
      <w:r>
        <w:rPr>
          <w:rFonts w:ascii="Times New Roman;serif" w:hAnsi="Times New Roman;serif"/>
          <w:b w:val="false"/>
          <w:color w:val="000000"/>
          <w:sz w:val="20"/>
          <w:shd w:fill="FFFFFF" w:val="clear"/>
        </w:rPr>
        <w:t>$34.0 million</w:t>
      </w:r>
      <w:r>
        <w:rPr>
          <w:color w:val="000000"/>
        </w:rPr>
        <w:t xml:space="preserve"> </w:t>
      </w:r>
      <w:r>
        <w:rPr>
          <w:rFonts w:ascii="Times New Roman;serif" w:hAnsi="Times New Roman;serif"/>
          <w:b w:val="false"/>
          <w:color w:val="000000"/>
          <w:sz w:val="20"/>
        </w:rPr>
        <w:t xml:space="preserve">from our ATM equity offering, as well as proceeds of </w:t>
      </w:r>
      <w:r>
        <w:rPr>
          <w:rFonts w:ascii="Times New Roman;serif" w:hAnsi="Times New Roman;serif"/>
          <w:b w:val="false"/>
          <w:color w:val="000000"/>
          <w:sz w:val="20"/>
          <w:shd w:fill="FFFFFF" w:val="clear"/>
        </w:rPr>
        <w:t>$6.5 million</w:t>
      </w:r>
      <w:r>
        <w:rPr>
          <w:color w:val="000000"/>
        </w:rPr>
        <w:t xml:space="preserve"> </w:t>
      </w:r>
      <w:r>
        <w:rPr>
          <w:rFonts w:ascii="Times New Roman;serif" w:hAnsi="Times New Roman;serif"/>
          <w:b w:val="false"/>
          <w:color w:val="000000"/>
          <w:sz w:val="20"/>
        </w:rPr>
        <w:t xml:space="preserve">from the exercise of stock options and the issuance of common stock from our Employee Stock Purchase Plan. These proceeds were offset by </w:t>
      </w:r>
      <w:r>
        <w:rPr>
          <w:rFonts w:ascii="Times New Roman;serif" w:hAnsi="Times New Roman;serif"/>
          <w:b w:val="false"/>
          <w:color w:val="000000"/>
          <w:sz w:val="20"/>
          <w:shd w:fill="FFFFFF" w:val="clear"/>
        </w:rPr>
        <w:t>$8.9 million</w:t>
      </w:r>
      <w:r>
        <w:rPr>
          <w:color w:val="000000"/>
        </w:rPr>
        <w:t xml:space="preserve"> </w:t>
      </w:r>
      <w:r>
        <w:rPr>
          <w:rFonts w:ascii="Times New Roman;serif" w:hAnsi="Times New Roman;serif"/>
          <w:b w:val="false"/>
          <w:color w:val="000000"/>
          <w:sz w:val="20"/>
        </w:rPr>
        <w:t>of repayments of our deferred royalty obligation.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our cash and cash equivalents and short-term investments as of June 30, 2026 will be sufficient to fund our planned operations for at least 24 months.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to continue to commercialize setmelanotide, by growing our internal sales force or entering into collaborations with third parties and providing support services for patients;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scope, progress, results and costs of clinical trials for our setmelanotide program </w:t>
      </w:r>
      <w:r>
        <w:rPr>
          <w:rFonts w:ascii="Times New Roman;serif" w:hAnsi="Times New Roman;serif"/>
          <w:b w:val="false"/>
          <w:color w:val="000000"/>
          <w:sz w:val="20"/>
          <w:shd w:fill="FFFFFF" w:val="clear"/>
        </w:rPr>
        <w:t>as well as for RM-718 and bivamelagon, and in connection with a therapeutic product candidate for CHI</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costs, timing and outcome of regulatory review of our setmelanotide program </w:t>
      </w:r>
      <w:r>
        <w:rPr>
          <w:rFonts w:ascii="Times New Roman;serif" w:hAnsi="Times New Roman;serif"/>
          <w:b w:val="false"/>
          <w:color w:val="000000"/>
          <w:sz w:val="20"/>
          <w:shd w:fill="FFFFFF" w:val="clear"/>
        </w:rPr>
        <w:t>as well as for RM-718 and bivamelagon, and in connection with a therapeutic product candidate for CHI</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obligations owed to Ipsen, Camurus AB, and LGC pursuant to our license agreements;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establish and maintain additional collaborations on favorable terms, if at all;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the global economy, including credit and financial markets, has recently experienced extreme volatility and disruptions, including severely diminished liquidity and credit availability, rising interest and inflation rates, declines and fluctuations in consumer confidence and economic growth, increases in unemployment rates, the imposition of tariffs and other trade barriers, uncertainty about economic stability, and rising political uncertainty. Any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Until such time, if ever, as we can generate substantial product revenues, we expect to finance our cash needs through a combination of equity offerings, debt financings, collaborations, strategic alliances and licensing arrangements. </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2, 2021, we entered into a Sales Agreement (the "Prior Sales Agreement") with TD Securities (USA) LLC (“TD Cowen”), pursuant to which we may issue and sell shares of our common stock, having an aggregate offering price of up to $100.0 million, from time to time through an “at the market” equity offering program under which TD Cowen acts as sales agent (the “ATM Program”). Between August 10, 2023 and August 21, 2023, we sold approximately two million shares of our common stock in the ATM Program for net proceeds of approximately $48.9 million.</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29, 2024, the Company and TD Cowen entered into Amendment No. 1 to Sales Agreement (the “Amendment”) to increase the aggregate offering price of the shares of common stock that may be issued and sold pursuant to the Prior Sales Agreement to $200.0 million (excluding the aggregate offering price of shares of common stock issued and sold pursuant to the Prior Sales Agreement prior to February 29, 2024). In connection with the Amendment, on February 29, 2024, we filed with the SEC a prospectus supplement, dated February 29, 2024, related to the issuances and sales under the Prior Sales Agreement, as amended by the Amendment.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December 10, 2024 to December 31, 2024, the Company sold 744,595 shares of common stock in the ATM Program for net proceeds of $41.2 million as of December 31, 2024. The Company sold an additional 587,510 shares of common stock in the ATM Program from January 1, 2025 through January 21, 2025 for net proceeds of approximately $32.1 million in the quarter ending March 31, 2025.</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26, 2026, the Company and TD Cowen entered into a new Sales Agreement (the “Sales Agreement”) pursuant to which the Company may issue and sell shares of its common stock, having an aggregate offering price of up to $200.0 million, through its ATM Program. The Sales Agreement supersedes the Prior Sales Agreement between TD Cowen and the Company, dated November 2, 2021, as amended on February 29, 2024, and the Prior Sales Agreement terminated upon the effectiveness of the Sales Agreement. In connection with the Sales Agreement, on February 26, 2026, the Company filed with the SEC a registration statement on Form S-3ASR containing a base prospectus and a prospectus supplement, each dated February 26, 2026, pursuant to which issuances and sales under the Sales Agreement will be made.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previously disclosed in Note 14, </w:t>
      </w:r>
      <w:r>
        <w:rPr>
          <w:rFonts w:ascii="Times New Roman;serif" w:hAnsi="Times New Roman;serif"/>
          <w:b w:val="false"/>
          <w:i/>
          <w:color w:val="000000"/>
          <w:sz w:val="20"/>
        </w:rPr>
        <w:t xml:space="preserve">Commitment and Contingencies, </w:t>
      </w:r>
      <w:r>
        <w:rPr>
          <w:rFonts w:ascii="Times New Roman;serif" w:hAnsi="Times New Roman;serif"/>
          <w:b w:val="false"/>
          <w:color w:val="000000"/>
          <w:sz w:val="20"/>
        </w:rPr>
        <w:t xml:space="preserve">as of June 30, 2026, we estimate that potential milestone payments of up to $18 million could become payable by the Company during the next 12 months depending on the achievement and timing of specified milestones.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the above, there were no other material changes to our principal contractual obligations and commitments as reported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no material changes to our quantitative and qualitative disclosures about market risks as reported in Part II, Item 7A “Quantitative and Qualitative Disclosures About Market Risks”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Evaluation of Disclosure Controls and Procedures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2026, our disclosure controls and procedures were effective at the reasonable assurance level.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4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PART II - OTHER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Item 1A. Risk Factors</w:t>
      </w:r>
    </w:p>
    <w:p>
      <w:pPr>
        <w:pStyle w:val="TextBody"/>
        <w:bidi w:val="0"/>
        <w:spacing w:lineRule="auto" w:line="288" w:before="0" w:after="4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June 30, 2026 (the “Quarterly Report”), including our unaudited condensed consolidated financial statements and the related notes thereto, and “Management’s Discussion and Analysis of Financial Condition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Financial Position and Need for Capital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global, commercial-stage biopharmaceutical company with a limited operating history on which to base your investment decision. Our operations to date have been primarily focused on developing and commercializing IMCIVREE (setmelanotide) to treat patients living with hyperphagia and severe obesity caused by rare MC4R pathway diseases. We are currently in the early stages of commercializing IMCIVREE in its approved indications in the United States, Canada, and EU and the United Kingdom and advancing setmelanotide through clinical development for additional indications in the United States for potential additional approvals in other countries. Biopharmaceutical product development is a highly speculative undertaking and involves a substantial degree of risk.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first commercialized IMCIVREE in the United States in the first quarter of 2021 and therefore do not have a long history operating as a commercial company. We are continuing to transition from a company with a research and development focus to a company capable of supporting commercial activities worldwide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2023, in order to expand our pipeline and build on our focus on rare endocrinology diseases, we acquired Xinvento B.V., a Netherlands-based biotech company focused on developing therapies for congenital hyperinsulinism (CHI). Our CHI program remains in the discovery phase and we do not expect to derive revenue from our CHI program for many years, if at all. Regulatory approvals may not be received when anticipated or not at all and ultimately we may fail to realize the anticipated benefits of our CHI program or those benefits may take longer to realize than expected.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substantially all our efforts and financial resources on the research and development of setmelanotide, which is approved by the FDA and Health Canada and authorized by the EC and the 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losses were $49.3 million, $104.9 million, $46.6 million and $96.1 million for three and six months ended June 30, 2026 and 2025, respectively. As of June 30, 2026, we had an accumulated deficit of $1,456.8 million. Substantially all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(now in Phase 1 trials), and bivamelagon, an investigational oral small molecule, which is also designed to be a more selective MC4R agonist, (recently completed a Phase 2 clinical trial), and with the development of any other product candidates we may choose to pursue, including a product candidate for CHI, yet to be identified. We also expect to devote substantial financial resources to the research and development and potential commercialization of a product candidate for CHI.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since we have achieved market access or named patient sales of IMCIVREE for BBS or POMC and LEPR deficiencies, or both, in more than 25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become profitable depends upon our ability to generate revenue. Our ability to generate revenue depends on a number of factors, including, but not limited to, our ability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 to commercialize setmelanotide by building a commercial organization and/or entering into collaborations with third parties;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ensure IMCIVREE is available to patients;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achieve market acceptance of setmelanotide in the medical community and with third-party payors;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initiate and successfully complete later-stage clinical trials for setmelanotide, RM-718, bivamelagon, or other product candidates that meet their clinical endpoints;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continue to initiate and successfully complete all studies required to obtain U.S. and foreign marketing approvals for setmelanotide as a treatment to address patients with deficiencies affecting the MC4R pathway;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successfully manufacture or contract with others to manufacture setmelanotide, or RM-718 and bivamelagon if approved.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we may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in the early stages of commercializing IMCIVREE in its approved indications in the United States, Canada, the EU and the United Kingdom and advancing setmelanotide through clinical development for additional indications in the United States and for potential additional approvals in other countries. Developing pharmaceutical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and in connection with our CHI program and the potential identification and development of a product candidate for CHI.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needs thereafter, as well as research and development activities for setmelanotide, RM-718, bivamelagon, and a product candidate for our CHI program. We may also need to raise additional funds if we choose to pursue additional indications and/or geographies for setmelanotide or otherwise expand more rapidly than we presently anticipate.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raised funds through the issuance of common and preferred equity, the sale of assets and a Revenue Interest Agreement, or RIFA. As of June 30, 2026, our cash and cash equivalents and short-term investments were approximately $330.9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and a product candidate for our CHI program.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we may not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additional fundraising efforts may divert our management from their day-to-day activities, which may adversely affect our ability to commercialize IMCIVREE and develop setmelanotide, RM-718, bivamelagon, and a product candidate for our CHI program.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2022, we entered into the RIFA, with entities managed by HealthCare Royalty Management, collectively referred to as the RIFA Investors. Pursuant to the RIFA and subject to customary closing conditions, the RIFA Investors agreed to pay us an aggregate investment amount of up to $100.0 million (the “RIFA Investment Amount”). Under the terms of the RIFA, we received $37.5 million on June 29, 2022 upon FDA approval of IMCIVREE in BBS, and an additional $37.5 million on September 29, 2022, following EMA approval for BBS on September 6, 2022. On September 12, 2023, we received the remaining $24.4 million of the RIFA Investment Amount, net of debt issuance costs, following the achievement of a specified amount of cumulative net sales of IMCIVREE between July 1, 2022 and September 30,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Investment Amount and pursuant to the RIFA, we agreed to pay the RIFA Investors a tiered royalty on our annual net revenues (the “Revenue Interest”), including worldwide net product sales and upfront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payments and milestones. The applicable tiered percentage will initially be 11.5% on annual net revenues up to $125 million, 7.5% on annual net revenues of between $125 million and $300 million and 2.5% on annual net revenues exceeding $300 million. If the RIFA Investors have not received cumulative minimum payments equal to 60% of the amount funded by the Investors to date by March 31, 2027 or 120% of the amount funded by the RIFA Investors to date by March 31, 2029, we must make a cash payment immediately following each applicable date to the Investors sufficient to gross the Investors up to such minimum amounts after giving full consideration of the cumulative amounts paid by us to the RIFA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June 30, 2026 we have made $51.5 million of payments.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RIFA Investors’ rights to receive the Revenue Interests will terminate on the date on which the RIFA Investors have received payments equal to a certain percentage of the funded portion of the Investment Amount including the aggregate of all payments made to the RIFA Investors as of such date, each percentage tier referred to as the Hard Cap, unless the RIFA is earlier terminated. The total Revenue Interests payable by us to the RIFA Investors is capped between 185% and 250% of the RIFA Investment Amount paid to us, dependent on the aggregate royalty paid between 2028 and 2032. If a change of control event occurs, the RIFA Investors may accelerate payments due under the RIFA, up to the Hard Cap plus any other obligations payable under the RIFA.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obligations under the RIFA could have significant negative consequences for our security holders and our business, results of operations and financial condition by,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limiting our ability to obtain additional financing or enter into IMCIVREE collaboration or other business agreements;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requiring the dedication of a portion of our cash flow from operations to service our indebtedness, which will reduce the amount of cash available for other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incur additional debt (including without limitation additional amounts under the RIFA), the risks described above could increase.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Development of Setmelanotide, Bivamelagon, RM-718 and our CHI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in all patient populations studied and there can be no guarantee that future trials will achieve their endpoints.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BBS and hypothalamic obesity, and believe we have demonstrated proof of concept in Phase 2 clinical trials in impairments due to a variant in one of the two alleles in the POMC, PCSK1, or LEPR genes (HET obesity), as well as the SRC1 and SH2B1 genes, all genetic diseases of extreme and unrelenting appetite and obesity. We hypothesize that patients with other upstream genetic variants in genes upstream of the MC4R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or magnitude of response sufficient to demonstrate statistical significance in such populations.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setbacks may be caused by new safety or efficacy observations in clinical trials or in post-approval use in the real world,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 but even if we obtain results in our Phase 3 clinical trials that we believe are positive, there is no guarantee that the FDA or the EC or foreign regulatory authorities will agree that such results are sufficient to support submission or approval of an NDA or NDA supplement.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preclinical and clinical trials that we announce or publish from time to time may change as more data become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disclose real-world data from early access programs in particular patient cohorts, which are not controlled trials and may not be predictive of future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a particular program, the approvability or commercialization of the particular product candidate or product and our Company in general. In addition, the information we choose to publicly disclose regarding a particular study or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is based on what is typically extensive information, and others may not agree with what we determine is material or otherwise appropriate information to include in our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exclusive license agreement with LGC is important to our business. If we or LGC fail to adequately perform under the agreement, the development of bivamelagon could be delayed, or if we or LGC terminate the agreement, we would lose our rights to develop and commercialize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2024, we entered into a license agreement and share issuance agreement with LG Chem, Ltd. ("LGC"). Pursuant to the terms of the license agreement, we obtained exclusive worldwide rights to develop LGC’s proprietary compound bivamelagon. We agreed to pay LGC royalties of between low- to mid-single digit percent of net revenues from our MC4R portfolio, including bivamelagon, commencing in 2029 and dependent upon achievement of various regulatory and indication approvals, and subject to customary deductions and anti-stacking. Royalties may further increase to a low double-digit percent royalty, though such royalty would only be applicable on net sales of bivamelagon in a region if bivamelagon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and, under some circumstances, we could be subject to certain ongoing payments, penalties and fees, all of which in turn would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number of patients with each of the MC4R pathway variants we are targeting is small and has not been established with precision. If the actual number of patients is smaller than we estimate, our revenue and ability to achieve profitability may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2025, our database had approximately 120,000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multiple epidemiological methods, we have estimated the potential addressable patient populations with these MC4R pathway deficiencies based on the following sources and assumptions (which remain subject to change based on ongoing research and publications by us or any third party):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POMC Deficiency Obesity.</w:t>
      </w:r>
      <w:r>
        <w:rPr>
          <w:color w:val="000000"/>
        </w:rPr>
        <w:t xml:space="preserve"> </w:t>
      </w:r>
      <w:r>
        <w:rPr>
          <w:rFonts w:ascii="Times New Roman;serif" w:hAnsi="Times New Roman;serif"/>
          <w:b w:val="false"/>
          <w:color w:val="000000"/>
          <w:sz w:val="20"/>
        </w:rPr>
        <w:t xml:space="preserve">POMC Deficiency Obesity is defined by the presence of biallelic variants in the </w:t>
      </w:r>
      <w:r>
        <w:rPr>
          <w:rFonts w:ascii="Times New Roman;serif" w:hAnsi="Times New Roman;serif"/>
          <w:b w:val="false"/>
          <w:i/>
          <w:color w:val="000000"/>
          <w:sz w:val="20"/>
        </w:rPr>
        <w:t>POMC</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PCSK1</w:t>
      </w:r>
      <w:r>
        <w:rPr>
          <w:color w:val="000000"/>
        </w:rPr>
        <w:t xml:space="preserve"> </w:t>
      </w:r>
      <w:r>
        <w:rPr>
          <w:rFonts w:ascii="Times New Roman;serif" w:hAnsi="Times New Roman;serif"/>
          <w:b w:val="false"/>
          <w:color w:val="000000"/>
          <w:sz w:val="20"/>
        </w:rPr>
        <w:t>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belief, based on discussions with experts in rare diseases, that the number of diagnosed cases could increase several-fold with increased awareness of this deficiency and the availability of new treatments;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figures for adults and children, and Centers for Disease Control and Prevention, or CDC, prevalence numbers for adults with severe obesity (body mass index, or BMI, greater than 40 kg/m2) and for children with severe early-onset obesity (99th percentile at ages two to 17 years old);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POMC deficiency obesity patients (including both POMC and PCSK1 gene diseases), defined as patients having biallelic variants in the POMC or PCSK1 genes that are interpreted as pathogenic, likely pathogenic, or of uncertain significance, of approximately 0.05%.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LEPR Deficiency Obesity</w:t>
      </w:r>
      <w:r>
        <w:rPr>
          <w:rFonts w:ascii="Times New Roman;serif" w:hAnsi="Times New Roman;serif"/>
          <w:b w:val="false"/>
          <w:color w:val="000000"/>
          <w:sz w:val="20"/>
        </w:rPr>
        <w:t xml:space="preserve">. LEPR Deficiency Obesity is defined by the presence of biallelic variants in the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epidemiology studies on LEPR deficiency obesity in small cohorts of patients comprising children with severe obesity and adults with severe obesity who have a history of early onset obesity;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figures for adults and children and CDC prevalence numbers for adults with severe obesity (BMI, greater than 40 kg/m2) and for children with severe early-onset obesity (99th percentile at ages two to 17 years old);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with wider availability of genetic testing expected for LEPR deficiency obesity and increased awareness of new treatments, our belief that up to 40% of patients with these diseases may eventually be diagnosed;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LEPR deficiency obesity patients, defined as patients having biallelic variants in the LEPR gene that are interpreted as pathogenic, likely pathogenic, or of uncertain significance, of approximately 0.09%.</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Bardet-Biedl Syndrome</w:t>
      </w:r>
      <w:r>
        <w:rPr>
          <w:rFonts w:ascii="Times New Roman;serif" w:hAnsi="Times New Roman;serif"/>
          <w:b w:val="false"/>
          <w:color w:val="000000"/>
          <w:sz w:val="20"/>
        </w:rPr>
        <w:t>. Our addressable patient population estimate for BBS is approximately 4,000 to 5,000 patients in the United States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published prevalence estimates of one in 100,000 in North America, which projects to approximately 3,250 people in the United States. We believe the majority of these patients are addressable patients;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comparisons to our patient identification efforts in Europe where we believe there are approximately 1,500 patients diagnosed and being cared for at academic centers in Europe;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patient identification efforts to date in the United States;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biallelic pathogenic or likely pathogenic variants in BBS genes of approximately 0.3%;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belief that with wider availability of genetic testing expected for BBS and increased awareness of new treatments, the number of patients diagnosed with this disorder will increase.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POMC, PCSK1, or LEPR Heterozygous Obesities; SRC1 and SH2B1 Obesities</w:t>
      </w:r>
      <w:r>
        <w:rPr>
          <w:rFonts w:ascii="Times New Roman;serif" w:hAnsi="Times New Roman;serif"/>
          <w:b w:val="false"/>
          <w:color w:val="000000"/>
          <w:sz w:val="20"/>
        </w:rPr>
        <w:t>. Our potential 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population data and CDC prevalence numbers for early onset obesity (≥120% the 95th percentile with onset prior to 6 years of 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of patients with POMC, PCSK1, or LEPR heterozygous, SRC1 or SH2B1 variants interpreted as pathogenic, likely pathogenic, or of uncertain significance of approximately 10-15%;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clinical response rate of 40% for patients carrying pathogenic or likely pathogenic variants, and 20% for patients carrying a variant of uncertain significance.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clinical response rate used in this calculation is based on the clinical data currently available to us from our trials and may change as more data become available.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MC4R Deficiency Obesity</w:t>
      </w:r>
      <w:r>
        <w:rPr>
          <w:rFonts w:ascii="Times New Roman;serif" w:hAnsi="Times New Roman;serif"/>
          <w:b w:val="false"/>
          <w:color w:val="000000"/>
          <w:sz w:val="20"/>
        </w:rPr>
        <w:t>. Our addressable patient population estimate for MC4R-rescuable deficiency obesity is approximately 10,000 patients in the United States. This estimate is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U.S. Census Bureau population data and CDC prevalence numbers for early onset obesity (≥120% the 95th percentile between the ages of 2-5 years);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comprehensive biochemical screening study indicating there may be a defined subset of individuals who carry MC4R variants that may be rescued by an MC4R agonist;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internal sequencing yield for MC4R deficiency obesity patients of approximately 2.0% prior to application of functional filters.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Obesity due to a deficiency in the MC4R pathway caused by variants in the SEMA3 family, PHIP, TBX3 or PLXNA family</w:t>
      </w:r>
      <w:r>
        <w:rPr>
          <w:rFonts w:ascii="Times New Roman;serif" w:hAnsi="Times New Roman;serif"/>
          <w:b w:val="false"/>
          <w:color w:val="000000"/>
          <w:sz w:val="20"/>
        </w:rPr>
        <w:t>. Our addressable patient population estimate for obesity patient with variants in these genes is approximately 63,500 patients in the United States. This estimate is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United States with early-onset obesity.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Hypothalamic obesity</w:t>
      </w:r>
      <w:r>
        <w:rPr>
          <w:rFonts w:ascii="Times New Roman;serif" w:hAnsi="Times New Roman;serif"/>
          <w:b w:val="false"/>
          <w:color w:val="000000"/>
          <w:sz w:val="20"/>
        </w:rPr>
        <w:t>. Our addressable patient population estimate for hypothalamic obesity (HO) is approximately 10,000 patients in the United States. We estimate there are 5,000 to 8,000 people living with hypothalamic obesity in Japan, and approximately 10,000 people living with hypothalamic obesity in the E.U. These estimates are based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diagnosis of an underlying HO etiology such as craniopharyngioma (CP), astrocytoma, or other brain tumors with CP accounting for approximately 50% of HO etiologies;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annual incidence of CP of approximately 1.3 to 2.2 per million per year in the United States, which projects to approximately 600 cases of CP per year based on a United States population of approximately 329 million;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approximately 50% (based on a published range of 6% to 91%) of CP patients develop HO;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published estimates of overall survival (OS) after CP diagnosis, with a 20-year OS of 84%;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allowing for patients that develop HO due to other factors besides CP, results in an estimated HO prevalence after CP diagnosis in the United States exceeding 2,500-7,500 patients;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internal Company estimate is based on reported incidence of hypothalamic obesity following CP and long-term survival rates.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etiology of the disease, our estimates on HO are based on our internal review and interpretation of the literature and available prevalence data.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Prader-Willi Syndrome</w:t>
      </w:r>
      <w:r>
        <w:rPr>
          <w:rFonts w:ascii="Times New Roman;serif" w:hAnsi="Times New Roman;serif"/>
          <w:b w:val="false"/>
          <w:color w:val="000000"/>
          <w:sz w:val="20"/>
        </w:rPr>
        <w:t xml:space="preserve">. Our estimated prevalence of PWS is between approximately 12,500 and 16,000 patients in each of the United States and Europe, and we estimate that approximately 8,500 to 12,750 PWS patients are living with hyperphagia and obesity in each of the United States and Europe.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These estimates are based on our internal review and interpretation of the literature and available prevalence data, combined with our analysis of survival rate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and/or retention of patients in clinical trials, our regulatory submissions or receipt of additional marketing approvals could be delayed or prevented.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size and nature of the patient population;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and efficacy of approved drugs for the disease under investigation;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patient eligibility criteria for the trial in question as defined in the protocol;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and benefits of the product candidate under study;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clinicians’ willingness to screen their patients for genetic markers to indicate which patients may be eligible for enrollment in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or temporary suspension of the enrollment of patients in our planned clinical trial due to public health emergencies;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ability to obtain and maintain patient consents;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pediatric population is an important patient population for setmelanotide, RM-718, and bivamelagon,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Failures or delays in the commencement or completion of our planned clinical trials could result in increased costs to us and could delay, prevent or limit our ability to generate revenue, achieve profitability and continue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Successful completion of our ongoing and planned clinical trials is a prerequisite to submitting an NDA or NDA supplement to the FDA, a marketing authorization application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inability to generate sufficient preclinical or other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data to support the initiation of clinical studies;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the completion of preclinical laboratory tests, animal studies and formulation studies in accordance with FDA’s good laboratory practice requirements and other applicable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filing or receiving authorization to proceed under an additional investigational new drug application, or IND, or similar foreign application if required;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reaching a consensus with the FDA and other regulatory agencies on study design and obtaining regulatory authorization to commence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delays in reaching or failing to reach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obtaining or maintaining Institutional Review Board, or IRB, and/or ethics committee approval or opinion to conduct a clinical trial at a prospective site or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inadequate quantity or quality of setmelanotide, RM-718, bivamelagon or other materials necessary to conduct clinical trials, including delays in the manufacturing of sufficient supply of finished drug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identifying, recruiting and training suitable clinical investigators;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recruiting and enrolling suitable patients to participate in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severe or unexpected drug related side effects experienced by patients in a clinical trial, including side effects previously identified in our completed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difficulty collaborating with patient groups and investigators;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by our CROs, other third parties or us to perform in accordance with the FDA’s or any other regulatory authority’s GCPs or applicable regulatory guidelines in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occurrence of adverse events associated with setmelanotide, RM-718 or bivamelagon that are viewed to outweigh their potential benefits, or occurrence of adverse events in trial of the same or similar class of agents conducted by other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to the clinical trial protocols;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clinical sites deviating from trial protocol or dropping out of a trial;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standard of care on which a clinical development plan was based, which may require new or additional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selection of clinical endpoints that require prolonged periods of observation or analyses of resulting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 of clinical trials of our product candidates being greater than we anticipate;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development of antibodies to the drug or adjuvants may result in loss of efficacy or safety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to conduct the clinical trial in accordance with regulatory requirements or our clinical trial protocols;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inspection of the clinical trial operations or trial sites by the FDA or other equivalent competent authorities that reveals deficiencies or violations that require us to undertake corrective action, including the imposition of a clinical hold;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inconclusive results, unforeseen safety issues, adverse side effects or lack of effectiveness;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government regulations or administrative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problems with clinical trial supply materials;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Delays in the completion of any preclinical or non-clinical studies or clinical trials of setmelanotide, RM-718 or bivamelagon will increase our costs, slow down our product candidate development and the regulatory approval processes and delay or potentially jeopardize our ability to commence product sales, generate product revenue and achieve profitability. In addition, many of the factors that cause, or lead to, a delay in the commencement or completion of clinical trials may also ultimately lead to the denial of a regulatory approval for setmelanotide, RM-718 or bivamelagon. Any delays to our preclinical studies or clinical trials that occur as a result could shorten any period during which we may have the exclusive right to commercialize setmelanotide, RM-718 or bivamelagon,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FDA’s and other regulatory authorities’ policies with respect to clinical trials may change and additional government regulations may be enacted. For instance,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on April 28, 2025, the UK adopted an amendment to the UK clinical trials regulations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became applicable on April 28, 2026 following a one-year transition period. </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governing clinical trials, our development plans may be impacted.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 in the pharmaceutical industry is costly, risky, time-intensive and complicated. In particular, our CHI program is a pre-clinical discovery-stage program and we may not succeed in identifying a CHI program candidate to translate to development and even if we do we may not succeed in developing a CHI program product candidate.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in the pharmaceutical industry is an expensive, high-risk, lengthy, complicated, resource intensive process. In order to develop a product successfully, we must,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conduct scientific discovery in areas that are uncertain, unproven and complex;</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identify potential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submit for and receive regulatory approvals or allowances to perform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design and conduct appropriate preclinical studies and clinical trials according to good laboratory practices and good clinical practices and disease-specific expectations of the FDA and other regulatory bodies;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Select and recruit suitable clinical investigators and subjects for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 and correctly interpret data establishing adequate safety of our product candidates and demonstrating that our product candidates are effective for their proposed indications;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Submit for and receive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Manufacture the product candidates according to current Good Manufacturing Practices, or cGMPs, and other applicable standards and regulations.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is a high rate of failure inherent in this process, and potential products that appear promising at early stages of the research and development process may fail for a number of reasons. Importantly, positive results from preclinical studies of a product candidate may not be predictive of similar results in human clinical trials, promising results from earlier clinical trials of a product candidate may not be replicated in later clinical trials, and observations from ongoing trials, including observations based on interim, preliminary, or blinded data, may not be representative of results after the trials are completed and all data are collected and analyzed. Many companies in the pharmaceutical and biotechnology industries have suffered significant setbacks in late-stage clinical trials even after achieving positive results in earlier stages of development and have abandoned development efforts or sought partnerships in order to continue development.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there are many other difficulties and uncertainties inherent in pharmaceutical research and development that could significantly delay or otherwise materially impair our ability to develop future product candidates, including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Conditions imposed by regulators, ethics committees or institutional review boards for preclinical testing and clinical trials relating to the scope or design of our clinical trials, including selection of endpoints and number of required patients or clinical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Challenges in designing clinical trials that may support any potential claims of superiority over current standard of care or future competitive therapies;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Restrictions placed upon, or other difficulties with respect to, clinical trials and clinical trial sites, including with respect to potential clinical holds or suspension or termination of clinical trials due to, among other things, potential safety or ethical concerns or noncompliance with regulatory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Delayed or reduced enrollment in clinical trials, high discontinuation rates or overly concentrated patient enrollment in specific geographic regions;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by third-party contractors, contract research organizations, or CROs, clinical investigators, clinical laboratories, or suppliers to comply with regulatory requirements or meet their contractual obligations in a timely manner;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Greater than anticipated cost of our clinical trials;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Insufficient product supply or inadequate product quality.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Evolving competitive landscape for our products and product candidates, which could cause us to modify our development programs, notwithstanding positive data or trial results in existing trials, in order to seek alternate indications or routes of administration or to substitute or otherwise modify our product candidates in light of the evolving competitive landscape and changing commercial prospects for our product and product candidates.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cannot state with certainty when or whether our CHI program will ever identify a product candidate to translate from research to the development stage or whether our other product candidates now under development will be approved or launched; whether, if initially granted, such approval will be maintained; whether we will be able to develop, license, or otherwise acquire additional products or product candidates; or whether our products, once launched, will be commercially successful.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Failure to successfully develop setmelanotide for additional indications or to develop product candidates for any of the foregoing reasons may materially adversely affect our business, financial condition, results of operations and prospects and the value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Setmelanotide, RM-718 or bivamelagon may cause undesirable side effects that could delay or prevent additional regulatory approvals, limit the commercial profile of approved labeling, or result in significant negative consequences following marketing approval.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First generation MC4R agonists were predominantly small molecules that failed in clinical trials due to significant safety issues, particularly increases in blood pressure, and had limited efficacy. Undesirable side effects caused by setmelanotide, RM-718 or bivamelagon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Setmelanotide, RM-718 and bivamelagon are MC4R agonists. Potential side effects of MC4R agonism, which have been noted either with setmelanotide or with other MC4R agonists in clinical trials and preclinical studies, may include: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adverse effects on cardiovascular parameters, such as increases in heart rate and blood pressure;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erections in males and similar effects in women, such as sexual arousal, clitoral swelling and hypersensitivity;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nausea and vomiting;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reduced appetite;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headache;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effects on mood, depression, anxiety and other psychiatric manifestations;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effects, for which an investigator reported as unrelated to setmelanotide or for which no increased incidence or pattern or causal relationship is currently evident.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injection site reactions have been seen in subcutaneous, or SC, injections with setmelanotide. Also, setmelanotide has likely off target effects on the closely related MC1 receptor, which mediates skin pigmentation in response to sun exposure. Other MC1 receptor mediated effects include darkening of skin blemishes, such as freckles and moles, and hair color change. These MC1 receptor mediated skin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if we or others identify undesirable side effects associated with or caused by the products, or any other similar product, before or after regulatory approvals, a number of potentially significant negative consequences could result,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authorities may request that we withdraw the product from the market or may limit or vary their approval of the product through labeling or other means;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authorities may require the addition of labeling statements, such as a “boxed” warning or a contraindication;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change the way the product is distributed or administered or change the labeling of the product;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conduct additional studies and clinical trials or comply with other post-market requirements to assess possible serious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be required to conduct long term safety follow-up evaluations, including setting up disease and drug based registries;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decide to remove the product from the marketplace;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other MC4 agonist products or product candidates may be perceived by regulators or other third parties as unsafe, which could adversely affect our development efforts and product portfolio;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could be sued and held liable for injury caused to individuals exposed to or taking the product;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setmelanotide, RM-718 or bivamelagon, and could substantially increase the costs of commercializing setmelanotide, RM-718 or bivamelagon and significantly impact our ability to successfully commercialize setmelanotide, RM-718 or bivamelagon and generate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orphan drug designations for setmelanotide, RM-718 or bivamelagon or to obtain or maintain orphan exclusivity. Even with exclusivity, competitors may obtain approval for different drugs that treat the same indications as setmelanotide, RM-718 and bivamelagon.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with the same approved use or indication within such disease or condition for that marketing exclusivity period, except in limited circumstances.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serif" w:hAnsi="Times New Roman;serif"/>
          <w:b w:val="false"/>
          <w:i/>
          <w:color w:val="000000"/>
          <w:sz w:val="20"/>
        </w:rPr>
        <w:t>POMC, PCSK1,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LEPR deficiency in adults and children 6 years of age and above. Following the FDA’s approval in December 2024 of the expanded indication for IMCIVREE to include patients as young as 2 years of age, in March 2025, the FDA expanded the scope of the current orphan drug exclusivity for IMCIVREE to provide for seven years of orphan-drug exclusivity for setmelanotide to reduce excess body weight and maintain weight reduction long term in pediatric patients aged 2 years to less than 6 years with syndromic or monogenic obesity due to POMC, PCSK1, LEPR deficiency as determined by an FDA-approved test demonstrating variants in POMC, PCSK1, or LEPR genes that are interpreted as pathogenic, likely pathogenic, or VUS.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been granted orphan designation for setmelanotide for the treatment of: (i) Alström syndrome in both the United States and the EU; (ii) Prader-Willi syndrome in the United States and the EU; and (iii) acquired hypothalamic obesity in the EU and Japan.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not be able to maintain the benefits of orphan drug exclusivity, or that the FDA or the EC or Japan’s Ministry of Health, Labour and Welfare will grant orphan designations for setmelanotide for other uses. In addition, orphan drug designation neither shortens the development time or regulatory review time of a drug nor gives the drug any advantage in the regulatory review or approval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though we have obtained orphan drug exclusivity for certain uses of setmelanotide, such exclusivities may not effectively protect setmelanotide from competition because different drugs can be approved for the same indications and uses. In the United States, even after an orphan drug is approved, the FDA may subsequently approve another drug for the same indication or use within the relevant rare disease or condition if the FDA concludes that the latter drug is not the same drug or is clinically superior with respect to the relevant indication or use in that it is shown to be safer, more effective or makes a major contribution to patient care. As discussed above, similar rules apply in the EU.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Although we have obtained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and PRIME designation in the EU for setmelanotide for the treatment of obesity and the control of hunger associated with deficiency disorders of the MC4R pathway, the FDA may rescind the Breakthrough Therapy designation and the EMA may withdraw the PRIME designation and we may be unable to obtain Breakthrough Therapy designation or the PRIME designation for other uses. In addition, Breakthrough Therapy designation by the FDA or PRIME designation by the EMA may not lead to a faster development, regulatory review or approval process, and neither do they increase the likelihood that setmelanotide will receive additional marketing approvals in the United States or additional marketing authorizations in the EU.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translate the once-daily, subcutaneous injection formulations of setmelanotide into alternate formulations, including alternate methods of delivery for setmelanotide or alternative methods of delivery for or other product candidates that would be acceptable to the FDA or other equivalent competent authorities in foreign jurisdictions or commercially successful.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believe that this once-weekly formulation may be more convenient and less burdensome than setmelanotide, which is currently approved as a once-daily administration, we have paused development of this once-weekly formulation in favor of advancing RM-718. In the event RM-718 shows sufficiently positive efficacy and safety results, we plan to discontinue development of the weekly formulation of setmelanotide. Concurrently, we are engaging with applicable regulatory authorities to address the impact of our discontinuing development of the weekly formulation of setmelanotide, which was a component of our pediatric investigation plan, or PIP, in the EU (and the United Kingdom). In Q1 2025, we submitted a request to modify the PIP to remove elements related to the weekly formulation with agreement received in Q2 2025. We cannot estimate the probability of success with respect to our development of additional formulations, nor the resources and time needed to succeed. If we are unable to develop and gain approval of new formulations of setmelanotide or of our other product candidates, our products may not achieve significant market acceptance and our business, financial condition and results of operations may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would require substantial financial resources, and could delay or prevent the receipt of additional regulatory approvals for setmelanotide, or adversely affect those approvals we have already obtained.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focused our development of setmelanotide as a treatment for obesity caused by certain genetic deficiencies affecting the MC4R pathway. To date, we have employed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diagnostic that is not otherwise commercially available, then the FDA may require approval or clearance of that diagnostic, known as a companion diagnostic, at the same time as, or in connection with, the FDA approval of such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Following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legislative changes, European institutions adopted a “progressive” roll-out of the IVDR to prevent disruption in the supply of in vitro diagnostic medical devices.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authority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the FDA or a comparable regulatory authority requires clearance, approval or certification of a companion diagnostic for setmelanotide, RM-718 or bivamelagon,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IMCIVREE is currently approved by the FDA for use in adults and pediatric patients two years of age and older with syndromic or monogenic obesity due to BBS and due to POMC, PCSK1, or LEPR deficiencies as confirmed by genetic testing demonstrating variants in </w:t>
      </w:r>
      <w:r>
        <w:rPr>
          <w:rFonts w:ascii="Times New Roman;serif" w:hAnsi="Times New Roman;serif"/>
          <w:b w:val="false"/>
          <w:i/>
          <w:color w:val="000000"/>
          <w:sz w:val="20"/>
        </w:rPr>
        <w:t>POMC, PCSK1</w:t>
      </w:r>
      <w:r>
        <w:rPr>
          <w:rFonts w:ascii="Times New Roman;serif" w:hAnsi="Times New Roman;serif"/>
          <w:b w:val="false"/>
          <w:color w:val="000000"/>
          <w:sz w:val="20"/>
        </w:rPr>
        <w:t xml:space="preserve">, 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IMCIVREE is also approved by the FDA for use in adults and pediatric patients four years of age and older with acquired hypothalamic obesity. Any delay or failure by us or our current or future collaborators to develop or obtain regulatory clearance or approval of, or certification of, such tests, if and when necessary, could delay or prevent us from obtaining such additional approvals for setmelanotide, or adversely affect the approvals we have already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and expect that we will continue to rely, on third parties to conduct research and discovery activities and in our clinical trials. If these third parties do not successfully carry out their contractual obligations or meet expected timelines, we may not be able to advance our pre-clinical and clinical programs or obtain, on a timely basis or at all, additional regulatory approvals for or commercialize our product candidates, and our business could be substantially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agreements with third-party CROs to operationalize, provide monitors for and to manage data for our research and discovery efforts (including in our CHI program) and our ongoing clinical trials. We rely heavily on these parties for the execution of research and discovery activities and clinical trials and control only certain aspects of their activities. As a result, we have less direct control over the start-up, conduct, timing and completion of these activities and clinical trials, and the management of data developed through these activities and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activities and these trials and are subject to enforcement which may include civil and criminal liabilities for any violations of FDA rules and regulations and the comparable foreign regulatory provisions during the conduct of our clinical trials. Outside parties may: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have staffing difficulties;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 to comply with contractual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devote inadequate resources to our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experience regulatory compliance 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undergo changes in priorities or become financially distressed;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form more favorable relationships with other entities, some of which may be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factors, among others, may materially adversely affect the willingness or ability of third parties to conduct our research and discovery activities and our clinical trials and may subject us to unexpected cost increases that are beyond our control. Nevertheless, we are responsible for ensuring that all of our activities and each of our studies is conducted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accordance with the applicable protocol, legal, regulatory and scientific standards, and our reliance on third parties, including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third-party CROs terminate, we may not be able to enter into arrangements with alternative CROs. If CROs do not successfully carry out their contractual obligations or meet expected timelines, if they need to be replaced or if the quality or accuracy of the clinical and other data they obtain are compromised due to the failure to adhere to our protocols, regulatory requirements or for other reasons, any related activities or clinical trials may be extended, delayed or terminated, and we may not be able to obtain regulatory approval for, or successfully commercialize a CHI therapeutic product, setmelanotide, RM-718 or bivamelagon. As a result, our financial results and the commercial prospects for setmelanotide, RM-718 or bivamelagon, would be harmed, our costs could increase and our ability to generate revenue could be delayed.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the Commercialization of IMCIVREE and, if Approved, our Products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provide reimbursement.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and coverage and adequate reimbursement may not be applied consistently or obtained in the first instance or that step edits or other conditions on reimbursement may be imposed. Furthermore, rules and regulations regarding reimbursement change frequently, in some cases on short notice, and we believe that changes in these rules and regulations are likely.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some foreign countries, particularly in Canada, the United Kingdom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Health Technology Assessment, or HTA, of medicinal products, however, is becoming an increasingly common part of the pricing and reimbursement procedures in Canada,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The extent to which pricing and reimbursement decisions are influenced by the HTA of the specific medicinal product varies . In addition, in the EU,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data from our Phase 2 trial, in 2023 setmelanotide was granted pre-marketing early-access authorization (AP1) in France for use in patients with hypothalamic obesity. This authorization was granted within France's early-access framework by the French National Agency for Medicines and Health Products Safety (ANSM), with the involvement of the French High Health Authority (HAS), and permits temporary access to a (presumed) innovative product candidate prior to European marketing authorization provided that certain conditions are met and especially when no suitable alternatives exist and when the benefit</w:t>
        <w:noBreakHyphen/>
        <w:t>risk profile is considered favorable. Through the AP1 program we have collected real</w:t>
        <w:noBreakHyphen/>
        <w:t>world evidence that we believe may support the potential of setmelanotide in this patient population; however, such data may not be predictive of outcomes in controlled trials or of any future regulatory decisions. Early</w:t>
        <w:noBreakHyphen/>
        <w:t>access authorization is time</w:t>
        <w:noBreakHyphen/>
        <w:t>limited, subject to ongoing review and renewal, may be modified, suspended, or terminated at any time by the competent authorities, and does not constitute, nor imply, marketing authorization in France, the EU, or elsewhere. AP1 status may not be maintained or extended, additional patients may not receive treatment under this program, and European or other regulatory authorities may not approve setmelanotide for hypothalamic obesity.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establish, maintain or expand our sales, marketing and distribution capabilities or enter into agreements with third parties to market, sell, and distribute IMCIVREE, we may not be able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market access, named patient sales, patient services, reimbursement and distribution capabilities, whether independently or with third parties, or if we are unable to do so on commercially reasonable terms, our business, results of operations, financial condition and prospects would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which accounts for the largest portion of our total revenues, the Company sells its product through a specialty pharmacy and through a 3PL company. Internationally, we make sales primarily to specialty distributors and retail pharmacy chains, as well as hospitals, many of which are government-owned or supported. We believe our pharmacy and distribution partners are appropriate and optimized for our commercialization efforts at present, however, these arrangements may not continue to operate as intended or be sufficient as we expand our commercialization efforts to include additional indications, such as acquired hypothalamic obesity. In particular, we partner with our U.S. specialty pharmacy for a significant portion of our revenue. Switching to an alternative, or adding another, specialty pharmacy or distributor would involve substantial cost and require extensive management time and focus. In addition, there is a natural transition period when a new specialty pharmacy or distributor commences work. If we choose to or are required to transition to a new specialty pharmacy or distributor, such transition could result in a material decline in our revenue,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never receive regulatory approval to market setmelanotide outside of the United States, Canada, the European Union and the United Kingdom.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seek marketing authorizations in various countries worldwide. For example, we are seeking marketing authorization for setmelanotide to treat acquired hypothalamic obesity in Japan and are targeting a commercial launch in late 2026, subject to approval. In order to market any product outside of the United States, Canada, the EU or the United Kingdom,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achieve or maintain market acceptance for IMCIVREE, which would limit the revenue that we generate from the sale of IMCIVREE.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acceptance of IMCIVREE will depend on a number of factors,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complexities of clinical diagnosis and/or genetic testing, as needed, for certain of IMCIVREE’s indications, including obtaining and interpreting clinical or genetic results that support patient treatment with IMCIVREE;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relative convenience and ease of SC injections as the necessary method of administration of IMCIVREE, including as compared with other treatments for patients with obesity;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prevalence and severity of any adverse side effects associated with IMCIVREE;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alternative treatments, including a number of obesity therapies already approved or expected to be commercially launched in the near future;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increase awareness of these diseases among our target populations through marketing and other cross-functional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size of the target patient population, and the willingness of the target patient population to try new therapies and of physicians to prescribe these therapies;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IMCIVREE to treat the maximum range of pediatric patients, and any limitations on its indications for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strength of marketing and distribution support and timing of market introduction of competitive products;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publicity concerning IMCIVREE or competing products and treatments;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 and cost effectiveness;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effectiveness of our sales and marketing strategies and our ability to increase awareness of IMCIVREE through marketing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obtain sufficient third-party coverage or reimbursement;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willingness of patients to pay out-of-pocket in the absence of third-party coverage (including in the case of named patient sales, which can be a costly and uncertain source of revenues) and the willingness of healthcare providers to obtain reimbursement, which can be challenging and may factor into their decision to prescribe IMCIVREE;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and generate data that could, even absent regulatory approvals, establish a perception of efficacy in our targeted patient population, which could make IMCIVREE appear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potential product liability exposure, and, if claims are brought against us, we may incur substantial 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setmelanotide, RM-718, and bivamelagon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withdrawal of patients from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substantial monetary awards to patients or other claimants;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decreased demand for IMCIVREE or any future product candidates following marketing approval, if obtained;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damage to our reputation and exposure to adverse publicity;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litigation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distraction of management’s attention from our primary business;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inability to successfully commercialize IMCIVREE or any future product candidates, if approved.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product liability insurance coverage for our clinical trials and commercial product.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completely on third-party suppliers to manufacture our clinical and commercial drug supplies of setmelanotide, RM-718, and bivamelagon, and we intend to rely on third parties to produce preclinical, clinical and commercial supplies of any future product candidate.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to manufacture our clinical and commercial drug supply internally for setmelanotide, RM-718, bivamelagon,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contract with third parties for the manufacture of setmelanotide, RM-718, and bivamelagon and intend to continue to do so in the future. We have entered into process development and manufacturing service agreements with our CMOs, PolyPeptide Group, Braine L'Alleud, or Polypeptide, Neuland Laboratories, and Astrea Monts S.A.S. (formerly Recipharm), or Astrea, for certain process development and manufacturing services for regulatory starting materials and/or raw materials in connection with the manufacture of setmelanotide. We have entered into commercial supply agreements with various CMOs, including with PolyPeptide and Astrea for manufacturing of drug substance and drug product for IMCIVREE. Under our agreements, we pay these third parties for services and or manufacturing in accordance with the terms of mutually agreed upon work orders, which we may enter into from time to time. We may engage additional third-party suppliers to manufacture our clinical and/or commercial drug supplies in the future. We also have engaged other third parties to assist in, among other things, distribution, post-approval safety reporting and pharmacovigilance activities. We cannot be certain that we can engage third-party suppliers on terms as favorable as those that are currently in place. There are a limited number of companies that can produce raw materials and API in the quantities and with the quality and purity that we require for our product. We believe our current network of manufacturing partners are able to fulfill our requirements, and are capable of continuing to expand capacity as needed. However,if our current suppliers are not able to continue to provide us with the quantities, quality, or purity of raw materials and API that we currently require or in the future will require, it could materially harm our ability to manufacture our products until a new source of supply, if any, could be identified and qualified in a reasonable time or on commercially reasonable terms. Any performance failure on the part of our suppliers could interrupt production of our products, which could have a material adverse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evaluated, and will continue to evaluate, potential relationships with additional suppliers to increase overall capacity as well as further reduce risks associated with reliance on a limited number of suppliers for manufacturing.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bivamelagon or if it withdraws its approval in the future, we may need to find alternative manufacturing facilities, which would adversely impact our ability to develop, obtain regulatory approval for or market setmelanotide, RM-718,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CMOs are manufacturing finished drug product for use in our upcoming or ongoing clinical trials and for commercial supply. We believe we currently have a sufficient amount of finished setmelanotide, RM-718, bivamelagon,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and our commercial IMCIVREE supply, which could delay, prevent or limit our ability to generate revenue and continue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long term supply agreements in place with all of our contractors involved with the manufacturing of our weekly formulation of setmelanotide, RM-718, and bivamelagon. We currently place individual batch or campaign orders with the CMOs/suppliers that are individually contracted under existing master services and quality agreements for the weekly formulation of setmelanotide, RM-718, and bivamelagon.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if approved. Our current scale of manufacturing appears adequate to support all of our current needs for clinical trial and initial commercial supplies for setmelanotide, RM-718, and bivamelagon, if approved. However, going forward, we may need to identify additional CMOs or partners to produce setmelanotide, RM-718, and bivamelagon on a larger scale.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our pharmaceutical products are manufactured outside of the United States. Recently, the U.S. government has initiated substantial changes in U.S. trade policy and U.S. trade agreements, including the initiation of tariffs on certain foreign goods, and has indicated an intention to impose tariffs on imported pharmaceutical products. In response to these tariffs, foreign governments have instituted or are considering imposing tariffs on certain U.S. goods, in addition to other retaliatory measures. If the U.S. imposes additional tariffs or other trade measures on pharmaceutical products, and in response other countries take further retaliatory trade measures, these actions could impose additional costs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proprietary technology or maintain issued patents directed to setmelanotide, RM-718, and bivamelagon, others could compete against us sooner, which could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patents may not have, and any of our pending patent applications that mature into issued patents may not include, claims with a scope sufficient to protect setmelanotide, RM-718, and bivamelagon. In addition, our CHI program intellectual property may not have the scientific value and commercial potential which we envision.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positions. The patent positions of biotechnology and pharmaceutical companies, including our patent positions, involve complex legal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factual questions, and, therefore, the issuance, scope, validity and enforceability of any patent claims that we may obtain cannot be predicted with certainty.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serif" w:hAnsi="Times New Roman;serif"/>
          <w:b w:val="false"/>
          <w:i/>
          <w:color w:val="000000"/>
          <w:sz w:val="20"/>
        </w:rPr>
        <w:t>ex parte</w:t>
      </w:r>
      <w:r>
        <w:rPr>
          <w:color w:val="000000"/>
        </w:rPr>
        <w:t xml:space="preserve"> </w:t>
      </w:r>
      <w:r>
        <w:rPr>
          <w:rFonts w:ascii="Times New Roman;serif" w:hAnsi="Times New Roman;serif"/>
          <w:b w:val="false"/>
          <w:color w:val="000000"/>
          <w:sz w:val="20"/>
        </w:rPr>
        <w:t xml:space="preserve">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 RM-718,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may also be able to design around our patents. Other parties may develop and obtain patent protection for more effective technologies, designs or methods. The laws of some foreign countries may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RM-718, or bivamelagon are invalidated or found unenforceable, our financial position and results of operations would be materially and adversely impacted. In addition, if a court found that valid, enforceable patents held by third parties covered setmelanotide, RM-718, or bivamelagon, our financial position and results of operations would also be materially and adversely impacted.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setmelanotide, RM-718, or bivamelagon;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be able to successfully commercialize IMCIVREE or our other product candidates before our relevant patents expire;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others will not develop similar or alternative technologies that do not infringe our patents;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of our patents will be found to ultimately be valid and enforceable;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develop additional proprietary technologies or product candidates that are separately patentable;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upon unpatented trade secrets, unpatented know-how, and continuing technological innovation to develop and maintain our competitive positions,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 consuming and unsuccessful.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infringe the intellectual property rights of others, which may prevent or delay our product development efforts and stop us from commercializing or increase the costs of commercializing IMCIVREE or our other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non-U.S. patents and pending applications exist that cover melanocortin receptor analogs and methods of using these analogs.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characterized by extensive litigation regarding patents and other intellectual property rights. Other parties may allege that setmelanotide, RM-718, or bivamelagon or the use of our technologies infringes patent claims or other intellectual property rights held by them or that we are employing their proprietary technology without authorization.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time-consuming:</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cease development of setmelanotide and commercialization of IMCIVREE or our other product candidates;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pay substantial damages for past use of the asserted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obtain a license from the holder of the asserted intellectual property, which license may not be available on reasonable terms, if at all;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 the case of trademark claims, rename setmelanotide and/or its trade name IMCIVREE.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risks coming to fruition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claims that former employees, collaborators or other third parties have an inventorship or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Issued patents covering setmelanotide or our other product candidates could be found invalid or unenforceable if challenged in court.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we or one of our licensing partners threatened or initiated legal proceedings against a third party to enforce a patent covering setmelanotide or one of our other product candidates, the defendant could claim that the patent covering setmelanotide or the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post grant review and equivalent proceedings in foreign jurisdictions, for example, opposition proceedings. Such proceedings could result in revocation or amendment of our patents in such a way that they no longer cover setmelanotide, our other product candidates,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or our other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setmelanotide and our other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dependent on licensed intellectual property. If we were to lose our rights to licensed intellectual property, we may not be able to continue developing or commercializing setmelanotide or bivamelagon.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licensed our rights to setmelanotide from Ipsen, and our rights to bivamelagon from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respectively, as well as harm our competitive business position and our business prospects. Furthermore, if our license agreement with LGC were terminated, we may be subject to certain refunds or be subject to certain payments to LGC.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enter into additional license agreements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termination could result in our loss of the right to use the licensed intellectual property, which could materially adversely affect our ability to develop and commercialize setmelanotide or bivamelagon, as well as harm our competitive business position and our business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While we have registered trademarks for the commercial trade name IMCIVREE (setmelanotide) in the United States, the European Union, and other jurisdictions, we have not yet obtained trademark protection for IMCIVREE in certain foreign jurisdictions and failure to secure such registrations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registered trademarks. Opposition or cancellation proceedings may be filed against our trademarks, and our trademarks may not survive those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marketing approval for setmelanotide and our other product candidates, one or more of the U.S. patents we own or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We have received patent term extension for IMCIVREE and will apply for patent term extension for our other product candidates at the appropriate time, however, we may not be granted an extension for these other product candidates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setmelanotide contains active ingredients that the FDA determined to be a new chemical entity, it was afforded five years of non-patent data exclusivity by the FDA. Following the expiration of this exclusivity period, the FDA may approve generic products referencing the information included in our NDA for setmelanotide. Manufacturers may seek to launch these generic products, even if we still have patent protection for setmelanotide. Legislation enacted by Congress has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United States enacted the America Invents Act of 2011, wide is a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employees have been previously employed at other biotechnology or pharmaceutical companies, including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or our other product candidates, which would materially adversely affect our commercial development efforts.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Regulatory Approval and Marketing of IMCIVREE and Other Legal and Compliance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business depends largely on its successful clinical development, regulatory approval and commercialization of our product candidates. In the United States, IMCIVREE is approved to reduce excess body weight and maintain weight reduction long term in adults and pediatric patients 2 years of age and older with syndromic or monogenic obesity due to BBS or POMC, PCSK1 or LEPR deficiency as determined by genetic testing demonstrating variants in </w:t>
      </w:r>
      <w:r>
        <w:rPr>
          <w:rFonts w:ascii="Times New Roman;serif" w:hAnsi="Times New Roman;serif"/>
          <w:b w:val="false"/>
          <w:i/>
          <w:color w:val="000000"/>
          <w:sz w:val="20"/>
        </w:rPr>
        <w:t>POMC, PCSK1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LEPR</w:t>
      </w:r>
      <w:r>
        <w:rPr>
          <w:color w:val="000000"/>
        </w:rPr>
        <w:t xml:space="preserve"> </w:t>
      </w:r>
      <w:r>
        <w:rPr>
          <w:rFonts w:ascii="Times New Roman;serif" w:hAnsi="Times New Roman;serif"/>
          <w:b w:val="false"/>
          <w:color w:val="000000"/>
          <w:sz w:val="20"/>
        </w:rPr>
        <w:t>genes that are interpreted as pathogenic, likely pathogenic, or of uncertain significance, and in adults and pediatric patients four years of age and older with acquired hypothalamic obesity.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in adults and children 4 years of age and above with acquired hypothalamic obesity (aHO) due to hypothalamic injury or impairment, and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Setmelanotide will require substantial additional clinical development, testing and regulatory approval before we are permitted to commence commercialization in indications beyond those currently approved for IMCIVREE in the United States, the EU and the United Kingdom,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be able to demonstrate to the satisfaction of the FDA, the EMA, or other equivalent competent authorities in foreign jurisdictions that our product candidates are safe and effective for their intended uses;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the number, size, conduct or implementation of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require that we conduct additional clinical trials or pre-clinical studies;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CROs that we retain to conduct our clinical trials may take actions outside of our control that materially adversely impact our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disagree with our interpretation of data from our preclinical studies and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authorities in foreign jurisdictions may not approve the formulation, labeling or specifications of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other equivalent competent authorities in foreign jurisdictions may not accept data generated at our clinical trial sites;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the EMA, or the equivalent competent authorities in foreign jurisdictions may require, as a condition of approval, additional preclinical studies or clinical trials, limitations on approved labeling or distribution and use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be able to meet any post-market requirements or commitments agreed to in connection with regulatory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may require development of a REMS as a condition of additional approvals or may impose additional requirements that limit the promotion, advertising, distribution, or sales of our product candidate;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other equivalent competent foreign regulatory agencies may deem our manufacturing processes or our facilities or the facilities of our CMOs inadequate to preserve the identity, strength, quality, purity, or potency of our product;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FDA or the equivalent competent authorities in foreign jurisdictions may change its approval policies or adopt new regulations and 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Future regulatory legislation or regulation may increase the difficulty and cost for us to obtain marketing approval of and commercialize our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 pharmaceutical legislation has been undergoing a complete review process, in the context of the Pharmaceutical Strategy for Europe initiative, launched by the EC in November 2020. The EC’s proposal for a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Following positive votes by Members States and the European Parliament on the provisional agreement in March 2026, the proposed revisions (affecting the duration of regulatory data protection and market protection, including for orphan medicinal products, revising the eligibility for expedited pathways, etc.) must now be formally adopted by the Ministers of Health in the Employment, Social Policy, Health and Consumer Affairs Council, or EPSCO, and the European Parliament Plenary, currently anticipated in Q3-Q4 2026. The proposed changes are not expected to become applicable before 2028 and may however have a significant impact on the pharmaceutical industry and our business in the long term. Furthermore, on April 28, 2025, the UK adopted an amendment to the UK clinical trials regulations intended to support a more streamlined and flexible regulation of clinical trials, removing unnecessary administrative burdens on trial sponsors, while protecting the interests of trial participants. It also intends to bring the UK regulatory framework for clinical trials, which is still based on the EU Clinical Trials Directive, into closer alignment with the (EU) CTR. The amendment became applicable April 28, 2026, following a one-year transition period. The revisions, may, however, have a significant impact on the pharmaceutical industry and our business in the long term.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FDA oversees the rare pediatric disease priority review voucher program (the “PRV Program”), which aims to incentive drug development for rare pediatric diseases. Under the PRV Program, a company sponsor that receives a drug approval may qualify for a voucher that can be redeemed to receive priority review for a different product and these vouchers can be transferred or sold. Under the current provisions in the law enacting the PRV Program, the PRV Program will sunset after September 30, 2029. Any changes to the PRV Program could impact existing and future development programs and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Disruptions at the FDA, including those caused by changing policy priorities, funding shortages staffing or other resource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and foreign regulatory authorities to review and or approve new products can be affected by a variety of factors, including reductions in force or hiring freezes,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including uncertainty associated with the new presidential administration in the United States. Average review times at the FDA and foreign regulatory authorities have fluctuated in recent years as a result of some of these factors and could also fluctuate in the future.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and started to implement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policy changes, funding shortages or staffing limitations or any other disruptions prevent or hinder the FDA or other regulatory authorities from conducting their regular inspections, reviews, or other activities, including providing us with advice on our development programs in a timely manner, such events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may impose significant restrictions on setmelanotide’s indicated uses or marketing or impose ongoing requirements for potentially costly post approval studies, and the same may be true for our other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issue warning letters or untitled letters;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seek an injunction or impose civil or criminal penalties or monetary fines;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vary, suspend or withdraw marketing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suspend any ongoing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refuse to approve pending applications or supplements to applications submitted by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suspend or impose restrictions on operations, including costly new manufacturing requirements;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seize or detain setmelanotide, refuse to permit the import or export of setmelanotide, or request that we initiate a product recall.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additional downward pressure on the price that we, or any future collaborators, may receive for IMCIVREE or any product candidates approved for sale. New and changing laws and regulations may also create uncertainty about how such laws and regulations will be interpreted and applied. If the Company is found to have violated laws and regulations, it could materially adversely affect the Company’s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expansion of manufacturers’ rebate liability under the Medicaid Drug Rebate Program by increasing the minimum rebate for both branded and generic drugs, revising the “average manufacturer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definition, and extending manufacturer rebate liability from fee-for-service Medicaid utilization to include the utilization of Medicaid managed care organizations as well;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Patient Centered Outcomes Research Institute to oversee, identify priorities in, and conduct comparative clinical effectiveness research, along with funding for such research;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establishment of the Center for Medicare and Medicaid Innovation within CMS to test innovative payment and service delivery models to lower Medicare and Medicaid spending, including prescription drug spending.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its enactment, certain provisions of the ACA have been subject to judicial, executive, and legislative challenges and may be subject to additional challenges in the future. In addition, other legislative changes have been proposed and adopted since the ACA was enacted. For example, 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or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IRA manufacturer discount program that replaced the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In April 2024, CMS informed us that we are deemed a specified manufacturer. At present, we do not have coverage for IMCIVREE under Medicare Part D and, accordingly, the impact of the IRA manufacturer discount program is not currently material to our business, however, future changes to IMCIVREE's Part D coverage and/or the IRA could have a substantial impact on our future revenues.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IMCIVREE is not currently reimbursed under Medicare Part D, but if we were to be reimbursed under Medicare Part D in the future, the reimbursement amount will be impacted by the 10 and 20 percent discounts under the IRA’s new discounting program. We anticipate that these increased discounts could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IRA manufacturer discounting program also increases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IMCIVREE or any other product candidate that we commercialize.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IMCIVREE.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IMCIVREE or the frequency with which IMCIVREE is prescribed or used.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color w:val="000000"/>
        </w:rPr>
        <w:t>“</w:t>
      </w:r>
      <w:r>
        <w:rPr>
          <w:rFonts w:ascii="Times New Roman;serif" w:hAnsi="Times New Roman;serif"/>
          <w:b w:val="false"/>
          <w:i/>
          <w:color w:val="000000"/>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Failure to obtain or maintain coverage and adequate reimbursement for IMCIVREE or our other product candidates, if any and if approved, could limit our ability to market those products and decrease our ability to generate revenue”</w:t>
      </w:r>
      <w:r>
        <w:rPr>
          <w:color w:val="000000"/>
        </w:rPr>
        <w:t xml:space="preserve"> </w:t>
      </w:r>
      <w:r>
        <w:rPr>
          <w:rFonts w:ascii="Times New Roman;serif" w:hAnsi="Times New Roman;serif"/>
          <w:b w:val="false"/>
          <w:color w:val="000000"/>
          <w:sz w:val="20"/>
        </w:rPr>
        <w:t>in this Quarterly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recently-enacted IRA imposes rebates under Medicare Part B and Medicare Part D that are triggered by price increases that outpace inflation (first due in 2023), as described under the risk factor</w:t>
      </w:r>
      <w:r>
        <w:rPr>
          <w:color w:val="000000"/>
        </w:rPr>
        <w:t xml:space="preserve"> “</w:t>
      </w:r>
      <w:r>
        <w:rPr>
          <w:rFonts w:ascii="Times New Roman;serif" w:hAnsi="Times New Roman;serif"/>
          <w:b w:val="false"/>
          <w:i/>
          <w:color w:val="000000"/>
          <w:sz w:val="20"/>
        </w:rPr>
        <w:t>Current and future healthcare reform 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above. The Medicare Part D rebate, if applicable, will be calculated on the basis of the AMP figures we report pursuant to the MDRP.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FDA and other regulatory agencies actively enforce the laws and regulations prohibiting the promotion of off-label uses.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the reduction of excess body weight and maintenance of weight reduction long term in adult and pediatric patients 2 years of age and older with monogenic or syndromic obesity due to BBS or POMC, PCSK1, or LEPR, deficiency confirmed by genetic testing demonstrating variants in POMC, PCSK1, or LEPR genes that are interpreted as pathogenic, likely pathogenic, or of uncertain significance, and in adults and pediatric patients four years of age and older with acquired hypothalamic obesity.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setmelanotide, the active ingredient in IMCIVREE, in subjects with other forms of obesity caused by defects in the MCR4 pathway. We are not currently permitted to, and do not, market or promote setmelanotide for these uses.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employees may engage in misconduct or other improper activities, whether knowingly or unknowingly, including violating applicable regulatory standards and requirements or engaging in insider trading, which could significantly harm our business.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w:t>
      </w:r>
      <w:r>
        <w:rPr>
          <w:color w:val="000000"/>
        </w:rPr>
        <w:t xml:space="preserve"> “</w:t>
      </w:r>
      <w:r>
        <w:rPr>
          <w:rFonts w:ascii="Times New Roman;serif" w:hAnsi="Times New Roman;serif"/>
          <w:b w:val="false"/>
          <w:i/>
          <w:color w:val="000000"/>
          <w:sz w:val="20"/>
        </w:rPr>
        <w:t>We may be subject to federal and state healthcare laws and regulations. If we are unable to comply or have not fully complied with such laws and regulations, we could face criminal sanctions, damages, substantial civil penalties, reputational harm and diminished profits and future earnings”</w:t>
      </w:r>
      <w:r>
        <w:rPr>
          <w:color w:val="000000"/>
        </w:rPr>
        <w:t xml:space="preserve"> </w:t>
      </w:r>
      <w:r>
        <w:rPr>
          <w:rFonts w:ascii="Times New Roman;serif" w:hAnsi="Times New Roman;serif"/>
          <w:b w:val="false"/>
          <w:color w:val="000000"/>
          <w:sz w:val="20"/>
        </w:rPr>
        <w:t>of this Quarterly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Actual or perceived failure to comply with data protection, privacy and security laws and regulations could lead to government enforcement actions and significant penalties against us, and adversely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our contracts governing our processing of personal information, or other privacy and security obligations could result in negative publicity, government investigations and enforcement actions, claims by third parties and damage to our reputation, any of which could have a material adverse effect on our financial performance, business and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enacted in numerous other states, and are continuing to be proposed at the state and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Federal Trade Commission, or FTC, and many state Attorneys General continue to enforce federal and state consumer protection laws against companies for the collection, use, and dissemination of personal information,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as such, there is a risk that our interpretation of its applicability, scope, and requirements is incorrect, incomplete, or misapplied. Compliance with the DSP may require us to invest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abroad may also be subject to increased scrutiny or attention from data protection authorities.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or EEA, and the UK or in the context of our activities in the EEA or UK,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or UK, security breach notifications, and security and confidentiality of the personal data, and violations of these requirements could result in substantial fines, up to the greater of 20 million Euros / 17.5 million GBP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other requirements, the GDPR also regulate transfers of personal data subject to the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use artificial intelligence, or AI,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new laws and regulations will be adopted in the United States and in other non-U.S. jurisdictions, or that existing laws and regulations, including competition and antitrust laws, may be interpreted in ways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growth depends, in part, on our ability to continue to penetrate foreign markets, where we will be subject to additional regulatory burdens and other risks and uncertainties.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customers’ ability to obtain reimbursement for setmelanotide in foreign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directly control commercial activities because we are relying on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language barriers for technical training;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sales of setmelanotide could also be adversely affected by the imposition of governmental controls, political and economic instability, trade restrictions and changes in tariffs, including the imposition of tariffs by the United States or any other tariffs that could apply directly or indirectly to the costs of goods required to manufacture setmelanotide.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Laws and regulations governing any international operations we may have in the future may impact our ability to develop, manufacture and sell setmelanotide or our other product candidates outside of the United States and require us to develop and implement costly compliance programs.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continue to expand our operations outside of the United States, we must dedicate additional resources to comply with numerous laws and regulations in each jurisdiction in which we plan to operate. For example, we enrolled patients from Japan for our Phase 3 TRANSCEND clinical trial and submitted our full data package to Japan's Pharmaceuticals and Medical Devices Agency to seek marketing authorization for setmelanotide to treat acquired hypothalamic obesity in Japan.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impact our ability to develop, manufacture or sell certain product candidates and products outside of the United States, which could limit our growth potential and increase our development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results of the United Kingdom’s departure from the EU, and the resulting impact of differing regulations, may have a negative effect on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end of the Brexit transition period on January 1, 2021, and the implementation of the Windsor Framework on January 1, 2025, the UK has not been directly subject to EU law with respect to medicinal products and has operated under a separate regulatory regime to the EU. As a result of the Northern Ireland Protocol, different rules applied in Northern Ireland than in Great Britain; broadly, Northern Ireland continued to follow the EU regulatory regime. However, on January 1, 2025, an arrangement called the “Windsor Agreement”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medicinal products. There could be additional uncertainty and risk around what these changes mean to our business. With the exception of the adopted amendment to the UK clinical trials regulations on April 28, 2025, it is currently unclear to what extent the UK government will seek to align its regulations with the EU with respect to medicinal products. EU law, which has been transposed into UK law through secondary legislation, still remains applicable in the UK, however, new EU legislation such as the CTR is not applicable in the UK. While the UK has indicated a general intention that new laws regarding the manufacture and commercialization of medicinal products in the UK will align closely with EU law, there remain limited detailed proposals for the future regulation of medicinal products.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the UK from the EU in the future, which may impact clinical and development activities that occur in the UK. Similarly, clinical trial submissions in the UK cannot be bundled with those of EU member states within the EMA Clinical Trial Information System (CTIS). Any divergent requirements may increase the cost and complexity of running our business, including with respect to the conduct of clinical trials.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The UK is no longer covered by the EU’s procedures for the grant of MA. A separate MA is required to market medicinal products in the UK. Such changes could increase our costs and otherwise adversely affect our business. Any delay in obtaining, or an inability to obtain regulatory approvals, as a result of Brexit or otherwise, may prevent us from commercializing our product candidates in the UK and restrict our ability to generate revenue and achieve or sustain profitability. If any of these outcomes occur, we may be forced to restrict or delay efforts to seek regulatory approval in the UK for our product candidates, which could significantly and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Employee Matters and Managing Growth</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success depends on our ability to retain our key employees and consultants, and to attract, retain and motivate qualified personnel.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technical, clinical development, regulatory,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 In addition, we rely on existing employment-related visa programs to attract and retain qualified personnel. Immigration policy changes and uncertainty associated with the new presidential administration in the United States, including potential changes to the number of employment-related visas available as well as the process to obtain them, could make it more difficult to retain existing personnel and to recruit qualified candidates. For example, on September 19, 2025, it was announced that subject to limited exceptions, petitions for H-1B visas should be approved only if they are accompanied by a payment of $100,000. This policy is currently subject to litigation and could hamper our recruitment efforts for any new personnel who require such a visa. Additional changes in U.S. immigration policies, rules, laws or orders could further increase our recruitment costs or delay key projects that require specialized expertise. In addition, restrictions or delays in the issuance of other visas or in immigration processing could adversely affect our ability to collaborate effectively with our employees outside the U.S. and to retain the qualified personnel needed for our operations. If we and our impacted candidates or employees are unable to obtain work visas in sufficient quantities or at a sufficient rate for a significant period of time, our business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need to develop and expand our Company, and we may encounter difficulties in managing this development and expansion, which could disrupt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We may not be able to successfully recruit the personnel we require to operate and expand our business, including our expansion into new countries and markets due to a number of factors, including a lack of understanding of local employment practices, cultural barriers, low or no brand recognition as a desired employer or place to work, or the perceived risk of joining a company with a limited operating history. If our management is unable to effectively manage our expected development and expansion, our expenses may increase more than expected, our ability to generate or increase our revenue could be reduced and we may not be able to implement our business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produce, collect, process and store sensitive data, including intellectual property, our proprietary business information and that of our suppliers, as well as personally identifiable information, including of our employees. Similarly, our third-party CROs, CMOs and other contractors and consultants possess certain amounts of our sensitive data. We have implemented certain physical, administrative and technical controls intended to ensure the confidentiality, integrity and availability of such sensitive information, and the secure maintenance of this information is material to our operations and business strategy. Even with the implementation of security measures, our information technology systems and those of our third-party CROs, CMOs and other contractors and consultants are susceptible to attack, damage, or interruption from computer security incidents and cyberattacks such as malware (e.g., ransomware), phishing and other social engineering attacks employee or contractor theft, misuse or human error, denial or degradation of service attacks, supply chain attacks, advanced persistent threats from nation-state actors, attacks developed or enhanced using artificial intelligence, and unauthorized access or use by persons inside or outside our organization. As a result of our hybrid work environment, we also face increased cybersecurity risks due to employees accessing company resources from insecure networks, and using personal (i.e., “bring-your-own-device”) or unmanaged devices which often lack enterprise-grade security controls and all of which creates additional opportunities for cybercriminals to exploit vulnerabilities and use social engineering techniques to carry out a cyberattack. Any such attack, incident or breach could compromise our information technology systems which may result in sensitive information being accessed, publicly disclosed, lost, corrupted or stolen. Further, cyberattacks are increasing in their frequency, persistence, sophistication and intensity, often conducted by organized and well-funded criminal groups with a wide range of motives and expertise. Consequently, our security controls may not always prevent a cyberattack, and a threat actor may remain undetected in our systems for an extended period of time. Our cybersecurity risk management program and processes, including our policies, controls or procedures, may not be fully implemented, complied with or effective in protecting our systems and information. We maintain cyber liability insurance; however, it may not be sufficient to cover the financial, legal, business or reputational losses that may result from a service interruption or breach of our systems.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healthcare industry is increasingly integrating AI technologies and tools. However, like any emerging technology, AI presents its own set of risks, many of which are not yet fully understood. For example, AI algorithms may have inherent flaws, and data sets could be insufficient, low-quality, or biased. Additionally, inappropriate or controversial data practices by data scientists, engineers, and end-users could compromise results of AI processes. If AI applications generate flawed or inaccurate analyses or date, it could lead to competitive disadvantages, legal liabilities, and harm to our brand or reputation. Furthermore, the use of AI-based software might result in the inadvertent release of confidential information.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legislative and regulatory landscape for privacy and data protection continues to evolve, and there has been an increasing amount of focus on privacy and data protection issues with the potential to affect our business, including laws in every state requiring security breach notification. Some laws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put into place certain safeguards with technology, process and education to mitigate the risks inherent in our information technology systems and to defend against cyberattacks and security incidents. Although we do not believe that we have experienced any significant system failure, accident or security breach to date, including any significant or material cyberattacks and/or other information technology security incidents, if such an event were to occur and cause interruptions in our operations, it could result in a material disruption of our programs and material harm to our business and reputation. For example, the breach or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or prevented.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for our common stock has been volatile and may continue to fluctuate significantly in response to a number of factors, most of which we cannot control, including,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plans for, progress of, or results from preclinical studies and clinical trials of setmelanotide and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the FDA or EMA to approve IMCIVREE for additional indications or to initially approve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announcements of new products, technologies, commercial relationships, acquisitions or other events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success or failure of other weight loss therapies and companies targeting the rare diseases we intend to address;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setmelanotide or our other product candidates, if approved, to achieve commercial success;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fluctuations in stock market prices and trading volumes of similar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general market conditions and overall fluctuations in U.S. and global equity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macroeconomic conditions or instability, including with respect to inflation rates or interest rates, curtailment of trade and other business restrictions such as tariffs or trade wars, boycotts, labor shortages, supply chain shortages, disruptions and instability in the banking industry and other parts of the financial services sector, outbreak of disease or epidemics, or other economic, political or legal changes, uncertainties or adverse developments;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terrorism and/or political instability, unrest and wars, which could delay or disrupt our business, and if such political unrest escalates or spills over to or otherwise impacts additional regions it could heighten many of the other risk factors included in this sections;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and other extreme weather events (including as a result of climate change), which could cause significant damage to the infrastructure upon which our business operations rely, and the timing, nature or severity of which we may be unable to prepare for;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political changes and uncertainty, including in the United States with the changes arising from a new presidential administration and resulting changes and uncertainty in administrative agencies with authority over our business;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variations in our quarterly operating results;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raise additional capital and the terms on which we can raise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sales of large blocks of our common stock, including sales by our executive officers, directors and significant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discussion of us or our stock price by the press and by online investor communities;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quarterly operating results may fluctuate significantly.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operating results to be subject to quarterly fluctuations, which may be significant and difficult to anticipate over time. Our net loss and other operating results will be affected by numerous factors, including:</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variations in the level of expenses related to our development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addition or termination of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lawsuit, including any intellectual property infringement lawsuit in which we may become involved;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developments affecting setmelanotide and our other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execution of any collaborative, licensing or similar arrangements, and the timing of payments we may make or receive under these arrangements;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achievement and timing of milestone payments under our existing collaboration and license agreements;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underlying demand for setmelanotide and our customers’ buying patterns.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quarterly operating results fall below the expectations of investors or securities analysts for any given quarter, the price of our common stock could decline substantially. Furthermore, any quarterly fluctuations in our operating results may, in turn, cause the price of our stock to fluctuate substantially.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use certain net operating loss carryovers and other tax attributes may be limited.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2025, we had approximately $917.3 million and $807.9 million of unused federal and state NOL carryforwards, respectively, and approximately $15.3 million and $4.6 million of unused federal and state carryforwards of research tax credits, respectively. Of the federal NOL carryforwards at December 31, 2025, $844.1 million can be carried forward indefinitely. Additionally, as of December 31, 2025, we had federal orphan drug credits related to qualifying research of $46.2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use of our tax attributes will also be limited to the extent that we do not generate positive taxable income in future tax periods. We do not expect to generate positive taxable income in the near future and we may never achieve tax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Substantial future sales or perceived potential sales of our common stock in the public market could cause the price of our common stock to decline significantly.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of our common stock in the public market, or the perception that these sales could occur, could cause the market price of our common stock to decline significantly. As of June 30, 2026, we had 68,816,868 shares of common stock outstanding. In addition, on February 26, 2026, we filed with the SEC a registration statement on Form S-3ASR containing a prospectus covering the resale from time to time by the holders of the Convertible Preferred Stock of up to an aggregate of 2,395,831 shares of common stock, to satisfy registration rights that the Company granted to such holders in connection with the issuance of the Convertible Preferred Stock. Holders of the Convertible Preferred Stock have converted Convertible Preferred Stock to common stock, and to the extent they continue to convert their shares to common stock and sell such shares, the price of our common stock could be significantly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at an increased risk of securities litigation, including class action 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and have an increased risk of securities litigation, including class action litigation. If we were to be sued, it could result in substantial costs and a diversion of management’s attention and resources, which could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and, consequently, your ability to achieve a return on your investment will depend on appreciation in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our Convertible Preferred Stock ranks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common stock is subordinated to our Convertible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our Investment Agreement, the Company issued 150,000 shares of a new series of the Company’s Convertible Preferred Stock for an aggregate purchase price of $150.0 million, or $1,000 per share. The Convertible Preferred Stock ranks senior to the shares of the Company’s common stock, with respect to the payment of dividends and the distribution of assets upon a liquidation, dissolution or winding up of the Company. The Convertible Preferred Stock has an initial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 a classified board of directors so that not all members of our board are elected at one time;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permit only the board of directors to establish the number of directors and fill vacancies on the board;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prohibit cumulative voting;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authorize our board of directors to amend the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 a super-majority vote of stockholders to amend some provisions described above.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 the past and may in the future acquire businesses or products, form strategic alliances or create joint ventures in the future, and we may not realize their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acquire additional businesses or products, form strategic alliances or create joint ventures with third parties that we believe will complement or augment our existing business. For example, in February 2023, in order to expand our pipeline and build on our focus on rare endocrinology diseases, we acquired Xinvento B.V., a Netherlands-based biotech company focused on developing therapies for CHI. As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 active market for our common stock may not be maintained.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stock began trading on the Nasdaq Global Market in October 2017 . We may not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or publish unfavorable research or reports about our business, our stock price and trading volume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Raising additional capital may cause dilution to our existing stockholders, restrict our operations or require us to relinquish rights.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above, under the heading</w:t>
      </w:r>
      <w:r>
        <w:rPr>
          <w:color w:val="000000"/>
        </w:rPr>
        <w:t xml:space="preserve"> “</w:t>
      </w:r>
      <w:r>
        <w:rPr>
          <w:rFonts w:ascii="Times New Roman;serif" w:hAnsi="Times New Roman;serif"/>
          <w:b w:val="false"/>
          <w:i/>
          <w:color w:val="000000"/>
          <w:sz w:val="20"/>
        </w:rPr>
        <w:t>Our common stock is subordinated to our Convertible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Unfavorable global political or economic conditions could adversely affect our business, financial condition or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political system,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the imposition of tariffs and other trade barriers, uncertainty about economic stability, and rising political uncertainty.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Further deterioration in credit and financial markets and confidence in economic conditions may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United States, the EU or Russia (e.g., potential cyberattacks, disruption of energy flows, etc.), which could adversely affect our business and/or our supply chain, our CROs, CMOs and other third parties with which we conduct business. The changes arising from a new presidential administration in the United States and the prospect of new leadership and reductions in the workforce or other resources in key administrative agencies (such as the FDA and SEC) as well as volatile political conditions in other countries in which we do business could also create additional uncertainty for our industry and our business, including in ways that we cannot foresee.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 interruptions could adversely affect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vulnerable to interruption by fire, severe weather conditions, power loss, telecommunications failure, terrorist activity, public health crises and pandemic diseases, and other natural and man-made disasters or events beyond our control. Our facilities and employees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The occurrence of any of these business disruptions could seriously harm our operations and financial condition and increase our 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incurred and will continue to incur substantial costs as a result of operating as a public company, our management will continue to devote substantial time to existing and new compliance initiatives and corporate governance policies, and we will need to hire additional qualified accounting, financial, legal and compliance personnel with appropriate public company experience.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and retain additional accounting, financial, legal and compliance personnel with appropriate public company experience and technical accounting and securities laws knowledge. Even if we are able to hire appropriate personnel, our existing operating expenses and operations will be impacted by the direct costs of their employment and the indirect consequences related to the diversion of management resources from product development and commercialization efforts. Moreover, these rules and regulations will continue to increase our legal and financial compliance costs and make some activities more time consuming and costly.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in the future fail to maintain an effective system of internal control over financial reporting. This may prevent us from accurately reporting our financial results or preventing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have previously identified a material weakness in our internal controls over financial reporting and may identify additional material weaknesses in the future or otherwise fail to maintain an effective system of internal controls,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may result in material misstatements of our consolidated financial statements or cause us to fail to meet our periodic reporting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designed and implemented new controls and measures to remediate this material weakness, and management has concluded that the material weaknesses described above have been remediated. However, we cannot assure you that the measures we are taking will be sufficient to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which could diminish investor confidence and cause a decline in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increasing focus on environmental sustainability and social initiatives could increase our costs, harm our reputation and adversely impact our financial results.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have undertaken certain initiatives, including disclosures, to improve the sustainability profile of our products and/or operations and respond to stakeholder expectations; however, such initiatives may be costly and may not have the desired effect. For example, sustainability-related initiatives are often based on methodologies, standards, or data that are still evolving and subject to varying interpretations. Our approach is also expected to evolve with time and may not align with the expectations or interpretations of any particular stakeholder. In addition, this emphasis on environmental, social and other sustainability matters has resulted and may result in the adoption of new laws and regulations, including new reporting requirements. Such requirements and other expectations are not uniform, and may be inconsistently interpreted or applied, which can increase the complexity and cost of compliance.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Any failure to successfully navigate stakeholder expectations may result in additional costs, reputational harm, or other adverse impacts to our business. Additionally, many of our business partners and suppliers may be subject to similar reporting and stakeholder expectations, which may augment or create additional risks, including risks that may not be known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 sellers of our stock may be manipulative and may drive down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We may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short sellers’ efforts or similar tactics in the future, and the market price of our common stock may decline as a result of their 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Use of Proceeds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(a)Disclosure in lieu of reporting on a Current Report on Form 8-K.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(b)Material changes to the procedures by which security holders may recommend nominees to the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(c)Insider Trading Arrangements and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13, 2026, Hunter Smith, the Company's Chief Financial Officer, adopted a trading plan intended to satisfy the affirmative defense conditions of Rule 10b5-1(c) under the Exchange Act for the sale of up to 62,774 shares of the Company's common stock as well as up to 100% of the shares of our common stock issued to Mr. Smith upon the settlement of outstanding restricted stock units, less the number of shares surrendered to the issuer or sold to cover tax withholding obligations in connection with the vesting and settlement of such restricted stock units, until May 12,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13, 2026, Yann Mazzabraud, the Company's Executive Vice President, Head of International, adopted a trading plan intended to satisfy the affirmative defense conditions of Rule 10b5-1(c) under the Exchange Act for the sale of up to 57,000 shares of the Company's common stock until August 15,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14, 2026, Alastair Garfield, the Company's Chief Scientific Officer, adopted a trading plan intended to satisfy the affirmative defense conditions of Rule 10b5-1(c) under the Exchange Act for the sale of up to 7,763 shares of the Company's common stock until February 13, 2027.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14, 2026, Jennifer Lee, the Company's Executive Vice President, Head of North America, adopted a trading plan intended to satisfy the affirmative defense conditions of Rule 10b5-1(c) under the Exchange Act for the sale of up to 76,201 shares of the Company's common stock as well as up to 100% of the shares of our common stock issued to Ms. Lee upon the settlement of outstanding restricted stock units, less the number of shares surrendered to the issuer or sold to cover tax withholding obligations in connection with the vesting and settlement of such restricted stock units, until March 1,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June 15, 2026, David Meeker, the Company's Chief Executive Officer, adopted a trading plan intended to satisfy the affirmative defense conditions of Rule 10b5-1(c) under the Exchange Act for the sale of up to 300,000 shares of the Company's common stock until March 15, 2027.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24, 2026, Lynn Tetrault, a member of the Company’s Board of Directors, terminated a trading plan intended to satisfy the affirmative defense conditions of Rule 10b5-1(c) under the Exchange Act, which was previously adopted on December 15, 2025 and provided for the sale of up to 55,000 shares of the Company’s common stock until September 16, 2026.</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than as disclosed above, 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9"/>
        <w:gridCol w:w="260"/>
        <w:gridCol w:w="109"/>
        <w:gridCol w:w="109"/>
        <w:gridCol w:w="109"/>
        <w:gridCol w:w="2044"/>
        <w:gridCol w:w="2030"/>
        <w:gridCol w:w="1882"/>
        <w:gridCol w:w="109"/>
        <w:gridCol w:w="109"/>
        <w:gridCol w:w="109"/>
        <w:gridCol w:w="206"/>
        <w:gridCol w:w="206"/>
        <w:gridCol w:w="210"/>
        <w:gridCol w:w="118"/>
        <w:gridCol w:w="118"/>
        <w:gridCol w:w="118"/>
        <w:gridCol w:w="215"/>
        <w:gridCol w:w="215"/>
        <w:gridCol w:w="220"/>
        <w:gridCol w:w="118"/>
        <w:gridCol w:w="118"/>
        <w:gridCol w:w="118"/>
        <w:gridCol w:w="233"/>
        <w:gridCol w:w="233"/>
        <w:gridCol w:w="336"/>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r>
          </w:p>
        </w:tc>
      </w:tr>
      <w:tr>
        <w:trPr/>
        <w:tc>
          <w:tcPr>
            <w:tcW w:w="8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rPr>
                <w:t>Amended and Restated Certificate of Incorporation of Rhythm Pharmaceuticals, Inc. dated October 10, 2017, and the Certificate of Amendment to the Amended and Restated Certificate of Incorporation of Rhythm Pharmaceuticals, Inc. dated June 25,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06/26/2025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12/18/2023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rPr>
                <w:t>Certificate of Designations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04/16/2024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rPr>
                <w:t>Amended and Restated Certificate of Designations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05/07/2024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S-3ASR</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ex-101nonxempl.htm">
              <w:r>
                <w:rPr>
                  <w:rStyle w:val="InternetLink"/>
                  <w:rFonts w:ascii="Times New Roman;serif" w:hAnsi="Times New Roman;serif"/>
                  <w:b w:val="false"/>
                  <w:color w:val="0000FF"/>
                  <w:sz w:val="20"/>
                  <w:u w:val="single"/>
                </w:rPr>
                <w:t>Rhythm Pharmaceuticals, Inc. 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ex-102pjcsever.htm">
              <w:r>
                <w:rPr>
                  <w:rStyle w:val="InternetLink"/>
                  <w:rFonts w:ascii="Times New Roman;serif" w:hAnsi="Times New Roman;serif"/>
                  <w:b w:val="false"/>
                  <w:color w:val="0000FF"/>
                  <w:sz w:val="20"/>
                  <w:u w:val="single"/>
                </w:rPr>
                <w:t>Severance Letter Agreement Dated June 25, 2026, between Rhythm Pharmaceuticals, Inc. and Pamela Cramer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ex-103hcrxfirs.htm">
              <w:r>
                <w:rPr>
                  <w:rStyle w:val="InternetLink"/>
                  <w:rFonts w:ascii="Times New Roman;serif" w:hAnsi="Times New Roman;serif"/>
                  <w:b w:val="false"/>
                  <w:color w:val="0000FF"/>
                  <w:sz w:val="20"/>
                  <w:u w:val="single"/>
                </w:rPr>
                <w:t>First Amendment to Revenue Interest Financing Agreement dated March 27, 2024, between Rhythm Pharmaceuticals, Inc. and HCR Rhythm SPV,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ex-104hcrxseco.htm">
              <w:r>
                <w:rPr>
                  <w:rStyle w:val="InternetLink"/>
                  <w:rFonts w:ascii="Times New Roman;serif" w:hAnsi="Times New Roman;serif"/>
                  <w:b w:val="false"/>
                  <w:color w:val="0000FF"/>
                  <w:sz w:val="20"/>
                  <w:u w:val="single"/>
                </w:rPr>
                <w:t>Second Amendment to Revenue Interest Financing Agreement dated June 29, 2026, between Rhythm Pharmaceuticals, Inc. and HCR Rhythm SPV,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xexx311.htm">
              <w:r>
                <w:rPr>
                  <w:rStyle w:val="InternetLink"/>
                  <w:rFonts w:ascii="Times New Roman;serif" w:hAnsi="Times New Roman;serif"/>
                  <w:b w:val="false"/>
                  <w:color w:val="0000FF"/>
                  <w:sz w:val="20"/>
                </w:rPr>
                <w:t>Certification of the Principal Executive Officer, as required by Section 302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xexx312.htm">
              <w:r>
                <w:rPr>
                  <w:rStyle w:val="InternetLink"/>
                  <w:rFonts w:ascii="Times New Roman;serif" w:hAnsi="Times New Roman;serif"/>
                  <w:b w:val="false"/>
                  <w:color w:val="0000FF"/>
                  <w:sz w:val="20"/>
                </w:rPr>
                <w:t>Certification of the Principal Financial Officer, as required by Section 302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xexx321.htm">
              <w:r>
                <w:rPr>
                  <w:rStyle w:val="InternetLink"/>
                  <w:rFonts w:ascii="Times New Roman;serif" w:hAnsi="Times New Roman;serif"/>
                  <w:b w:val="false"/>
                  <w:color w:val="0000FF"/>
                  <w:sz w:val="20"/>
                </w:rPr>
                <w:t>Certification of the Principal Executive Officer, as required by Section 906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ytm-20260630xexx322.htm">
              <w:r>
                <w:rPr>
                  <w:rStyle w:val="InternetLink"/>
                  <w:rFonts w:ascii="Times New Roman;serif" w:hAnsi="Times New Roman;serif"/>
                  <w:b w:val="false"/>
                  <w:color w:val="0000FF"/>
                  <w:sz w:val="20"/>
                </w:rPr>
                <w:t>Certification of the Principal Financial Officer, as required by Section 906 of the Sarbanes-Oxley Act of 2002 (18 U.S.C.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jc w:val="left"/>
        <w:rPr/>
      </w:pPr>
      <w:hyperlink w:anchor="i9e7f69f864764df59ac6e866685710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51" w:type="dxa"/>
        <w:jc w:val="left"/>
        <w:tblInd w:w="0" w:type="dxa"/>
        <w:tblLayout w:type="fixed"/>
        <w:tblCellMar>
          <w:top w:w="28" w:type="dxa"/>
          <w:left w:w="28" w:type="dxa"/>
          <w:bottom w:w="28" w:type="dxa"/>
          <w:right w:w="28" w:type="dxa"/>
        </w:tblCellMar>
      </w:tblPr>
      <w:tblGrid>
        <w:gridCol w:w="705"/>
        <w:gridCol w:w="619"/>
        <w:gridCol w:w="625"/>
        <w:gridCol w:w="551"/>
        <w:gridCol w:w="551"/>
        <w:gridCol w:w="551"/>
        <w:gridCol w:w="1096"/>
        <w:gridCol w:w="1096"/>
        <w:gridCol w:w="155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RHYTHM PHARMACEUTICALS,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Rhythm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Director Compensation Program</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Non-employee members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Rhythm Pharmaceuticals,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shall receive cash and equity compensation as set forth in this Non-Employee Director Compensation Program (this “</w:t>
      </w:r>
      <w:r>
        <w:rPr>
          <w:rFonts w:ascii="Times New Roman;serif" w:hAnsi="Times New Roman;serif"/>
          <w:b/>
          <w:i/>
          <w:color w:val="000000"/>
          <w:sz w:val="24"/>
        </w:rPr>
        <w:t>Program</w:t>
      </w:r>
      <w:r>
        <w:rPr>
          <w:color w:val="000000"/>
        </w:rPr>
        <w:t>”</w:t>
      </w:r>
      <w:r>
        <w:rPr>
          <w:rFonts w:ascii="Times New Roman;serif" w:hAnsi="Times New Roman;serif"/>
          <w:b w:val="false"/>
          <w:color w:val="000000"/>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serif" w:hAnsi="Times New Roman;serif"/>
          <w:b/>
          <w:i/>
          <w:color w:val="000000"/>
          <w:sz w:val="24"/>
        </w:rPr>
        <w:t>Non-Employee Director</w:t>
      </w:r>
      <w:r>
        <w:rPr>
          <w:color w:val="000000"/>
        </w:rPr>
        <w:t>”</w:t>
      </w:r>
      <w:r>
        <w:rPr>
          <w:rFonts w:ascii="Times New Roman;serif" w:hAnsi="Times New Roman;serif"/>
          <w:b w:val="false"/>
          <w:color w:val="000000"/>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is effective as of June 24,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I.    Cash Compensation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Annual Retainers</w:t>
      </w:r>
      <w:r>
        <w:rPr>
          <w:rFonts w:ascii="Times New Roman;serif" w:hAnsi="Times New Roman;serif"/>
          <w:b w:val="false"/>
          <w:color w:val="000000"/>
          <w:sz w:val="24"/>
        </w:rPr>
        <w:t xml:space="preserve">. Each Non-Employee Director shall receive an annual retainer of $50,000 for service on the Board.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Additional Annual Retainers</w:t>
      </w:r>
      <w:r>
        <w:rPr>
          <w:rFonts w:ascii="Times New Roman;serif" w:hAnsi="Times New Roman;serif"/>
          <w:b w:val="false"/>
          <w:color w:val="000000"/>
          <w:sz w:val="24"/>
        </w:rPr>
        <w:t>. In addition, each Non-Employee Director shall receive the following annual retainers:</w:t>
      </w:r>
    </w:p>
    <w:p>
      <w:pPr>
        <w:pStyle w:val="TextBody"/>
        <w:bidi w:val="0"/>
        <w:spacing w:lineRule="auto" w:line="288" w:before="0" w:after="240"/>
        <w:ind w:left="0" w:right="0" w:firstLine="2160"/>
        <w:jc w:val="both"/>
        <w:rPr/>
      </w:pPr>
      <w:r>
        <w:rPr>
          <w:rFonts w:ascii="Times New Roman;serif" w:hAnsi="Times New Roman;serif"/>
          <w:b w:val="false"/>
          <w:color w:val="000000"/>
          <w:sz w:val="24"/>
        </w:rPr>
        <w:t>1.     </w:t>
      </w:r>
      <w:r>
        <w:rPr>
          <w:rFonts w:ascii="Times New Roman;serif" w:hAnsi="Times New Roman;serif"/>
          <w:b w:val="false"/>
          <w:i/>
          <w:color w:val="000000"/>
          <w:sz w:val="24"/>
        </w:rPr>
        <w:t>Chair of the Board.</w:t>
      </w:r>
      <w:r>
        <w:rPr>
          <w:color w:val="000000"/>
        </w:rPr>
        <w:t xml:space="preserve"> </w:t>
      </w:r>
      <w:r>
        <w:rPr>
          <w:rFonts w:ascii="Times New Roman;serif" w:hAnsi="Times New Roman;serif"/>
          <w:b w:val="false"/>
          <w:color w:val="000000"/>
          <w:sz w:val="24"/>
        </w:rPr>
        <w:t>A Non-Employee Director serving as Chair of the Board shall receive an additional annual retainer of $30,000 for such service.</w:t>
      </w:r>
    </w:p>
    <w:p>
      <w:pPr>
        <w:pStyle w:val="TextBody"/>
        <w:bidi w:val="0"/>
        <w:spacing w:lineRule="auto" w:line="288" w:before="0" w:after="240"/>
        <w:ind w:left="0" w:right="0" w:firstLine="2160"/>
        <w:jc w:val="both"/>
        <w:rPr/>
      </w:pPr>
      <w:r>
        <w:rPr>
          <w:rFonts w:ascii="Times New Roman;serif" w:hAnsi="Times New Roman;serif"/>
          <w:b w:val="false"/>
          <w:color w:val="000000"/>
          <w:sz w:val="24"/>
        </w:rPr>
        <w:t>2.</w:t>
      </w:r>
      <w:r>
        <w:rPr>
          <w:color w:val="000000"/>
        </w:rPr>
        <w:t>    </w:t>
      </w:r>
      <w:r>
        <w:rPr>
          <w:rFonts w:ascii="Times New Roman;serif" w:hAnsi="Times New Roman;serif"/>
          <w:b w:val="false"/>
          <w:i/>
          <w:color w:val="000000"/>
          <w:sz w:val="24"/>
        </w:rPr>
        <w:t>Lead Director</w:t>
      </w:r>
      <w:r>
        <w:rPr>
          <w:rFonts w:ascii="Times New Roman;serif" w:hAnsi="Times New Roman;serif"/>
          <w:b w:val="false"/>
          <w:color w:val="000000"/>
          <w:sz w:val="24"/>
        </w:rPr>
        <w:t xml:space="preserve">. A Non-Employee Director serving as Lead Director shall receive an additional annual retainer of $35,000 for such service.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3.     </w:t>
      </w:r>
      <w:r>
        <w:rPr>
          <w:rFonts w:ascii="Times New Roman;serif" w:hAnsi="Times New Roman;serif"/>
          <w:b w:val="false"/>
          <w:i/>
          <w:color w:val="000000"/>
          <w:sz w:val="24"/>
        </w:rPr>
        <w:t>Audit Committee</w:t>
      </w:r>
      <w:r>
        <w:rPr>
          <w:rFonts w:ascii="Times New Roman;serif" w:hAnsi="Times New Roman;serif"/>
          <w:b w:val="false"/>
          <w:color w:val="000000"/>
          <w:sz w:val="24"/>
        </w:rPr>
        <w:t>. A Non-Employee Director serving as Chairperson of the Audit Committee shall receive an additional annual retainer of $25,000 for such service. A Non-Employee Director serving as a member other than the Chairperson of the Audit Committee shall receive an additional annual retainer of $12,500 for such service.</w:t>
      </w:r>
    </w:p>
    <w:p>
      <w:pPr>
        <w:pStyle w:val="TextBody"/>
        <w:bidi w:val="0"/>
        <w:spacing w:lineRule="auto" w:line="288" w:before="0" w:after="240"/>
        <w:ind w:left="0" w:right="0" w:firstLine="2160"/>
        <w:jc w:val="both"/>
        <w:rPr/>
      </w:pPr>
      <w:r>
        <w:rPr>
          <w:rFonts w:ascii="Times New Roman;serif" w:hAnsi="Times New Roman;serif"/>
          <w:b w:val="false"/>
          <w:color w:val="000000"/>
          <w:sz w:val="24"/>
        </w:rPr>
        <w:t>4.    </w:t>
      </w:r>
      <w:r>
        <w:rPr>
          <w:rFonts w:ascii="Times New Roman;serif" w:hAnsi="Times New Roman;serif"/>
          <w:b w:val="false"/>
          <w:i/>
          <w:color w:val="000000"/>
          <w:sz w:val="24"/>
        </w:rPr>
        <w:t>Compensation Committee</w:t>
      </w:r>
      <w:r>
        <w:rPr>
          <w:rFonts w:ascii="Times New Roman;serif" w:hAnsi="Times New Roman;serif"/>
          <w:b w:val="false"/>
          <w:color w:val="000000"/>
          <w:sz w:val="24"/>
        </w:rPr>
        <w:t xml:space="preserve">. A Non-Employee Director serving as Chairperson of the Compensation Committee shall receive an additional annual retainer of $20,000 for such service. A Non-Employee Director serving as a member other than the Chairperson of the Compensation Committee shall receive an additional annual retainer of $10,000 for such service.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5.     </w:t>
      </w:r>
      <w:r>
        <w:rPr>
          <w:rFonts w:ascii="Times New Roman;serif" w:hAnsi="Times New Roman;serif"/>
          <w:b w:val="false"/>
          <w:i/>
          <w:color w:val="000000"/>
          <w:sz w:val="24"/>
        </w:rPr>
        <w:t>Governance and Nominating Committee</w:t>
      </w:r>
      <w:r>
        <w:rPr>
          <w:rFonts w:ascii="Times New Roman;serif" w:hAnsi="Times New Roman;serif"/>
          <w:b w:val="false"/>
          <w:color w:val="000000"/>
          <w:sz w:val="24"/>
        </w:rPr>
        <w:t xml:space="preserve">. A Non-Employee Director serving as Chairperson of the Governance and Nominating Committee shall receive an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additional annual retainer of $12,000 for such service. A Non-Employee Director serving as a member other than the Chairperson of the Governance and Nominating Committee shall receive an additional annual retainer of $6,000 for such service.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Payment of Retainers</w:t>
      </w:r>
      <w:r>
        <w:rPr>
          <w:rFonts w:ascii="Times New Roman;serif" w:hAnsi="Times New Roman;serif"/>
          <w:b w:val="false"/>
          <w:color w:val="000000"/>
          <w:sz w:val="24"/>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 xml:space="preserve">II.    Equity Compensation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Non-Employee Directors shall be granted the equity awards described below. The awards described below shall be granted under and shall be subject to the terms and provisions of the Company’s 2017 Equity Incentive Plan or any other applicable Company equity incentive plan then-maintained by the Company (the “</w:t>
      </w:r>
      <w:r>
        <w:rPr>
          <w:rFonts w:ascii="Times New Roman;serif" w:hAnsi="Times New Roman;serif"/>
          <w:b/>
          <w:i/>
          <w:color w:val="000000"/>
          <w:sz w:val="24"/>
        </w:rPr>
        <w:t>Equity Plan</w:t>
      </w:r>
      <w:r>
        <w:rPr>
          <w:color w:val="000000"/>
        </w:rPr>
        <w:t>”</w:t>
      </w:r>
      <w:r>
        <w:rPr>
          <w:rFonts w:ascii="Times New Roman;serif" w:hAnsi="Times New Roman;serif"/>
          <w:b w:val="false"/>
          <w:color w:val="000000"/>
          <w:sz w:val="24"/>
        </w:rPr>
        <w:t>) and shall be granted subject to award agreements, including attached exhibits, in substantially the form previously approved by the Board. All applicable terms of the Equity Plan apply to this Program as if fully set forth herein, and all grants of equity awards under this Program are subject in all respects to the terms of the Equity Plan and the applicable award agreement. For the avoidance of doubt, the share numbers in Sections II(A) and II(B) shall be subject to adjustment as provided in the Equity Plan.</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Initial Awards</w:t>
      </w:r>
      <w:r>
        <w:rPr>
          <w:rFonts w:ascii="Times New Roman;serif" w:hAnsi="Times New Roman;serif"/>
          <w:b w:val="false"/>
          <w:color w:val="000000"/>
          <w:sz w:val="24"/>
        </w:rPr>
        <w:t>. Each Non-Employee Director who is initially elected or appointed to the Board after the Effective Date shall receive equity awards (the “</w:t>
      </w:r>
      <w:r>
        <w:rPr>
          <w:rFonts w:ascii="Times New Roman;serif" w:hAnsi="Times New Roman;serif"/>
          <w:b/>
          <w:i/>
          <w:color w:val="000000"/>
          <w:sz w:val="24"/>
        </w:rPr>
        <w:t>Initial Awards</w:t>
      </w:r>
      <w:r>
        <w:rPr>
          <w:color w:val="000000"/>
        </w:rPr>
        <w:t>”</w:t>
      </w:r>
      <w:r>
        <w:rPr>
          <w:rFonts w:ascii="Times New Roman;serif" w:hAnsi="Times New Roman;serif"/>
          <w:b w:val="false"/>
          <w:color w:val="000000"/>
          <w:sz w:val="24"/>
        </w:rPr>
        <w:t>) on the date of such initial election or appointment with an aggregate Grant Date Fair Value of $1,000,000 (the “</w:t>
      </w:r>
      <w:r>
        <w:rPr>
          <w:rFonts w:ascii="Times New Roman;serif" w:hAnsi="Times New Roman;serif"/>
          <w:b/>
          <w:i/>
          <w:color w:val="000000"/>
          <w:sz w:val="24"/>
        </w:rPr>
        <w:t>Initial Award Value</w:t>
      </w:r>
      <w:r>
        <w:rPr>
          <w:color w:val="000000"/>
        </w:rPr>
        <w:t>”</w:t>
      </w:r>
      <w:r>
        <w:rPr>
          <w:rFonts w:ascii="Times New Roman;serif" w:hAnsi="Times New Roman;serif"/>
          <w:b w:val="false"/>
          <w:color w:val="000000"/>
          <w:sz w:val="24"/>
        </w:rPr>
        <w:t xml:space="preserve">), with 50% of the Initial Award Value delivered in the form of a stock option and 50% of the Initial Award Value delivered in the form of restricted stock units based on the Grant Date Fair Values of such option and restricted stock units as of the applicable date of grant and subject to rounding that results in an aggregate Grant Date Fair Value that is closest to but does not exceed the Initial Award Value. No Non-Employee Director shall be granted Initial Awards more than once. </w:t>
      </w:r>
    </w:p>
    <w:p>
      <w:pPr>
        <w:pStyle w:val="TextBody"/>
        <w:bidi w:val="0"/>
        <w:spacing w:lineRule="auto" w:line="288"/>
        <w:ind w:left="0" w:right="0" w:firstLine="720"/>
        <w:jc w:val="both"/>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Subsequent Awards</w:t>
      </w:r>
      <w:r>
        <w:rPr>
          <w:rFonts w:ascii="Times New Roman;serif" w:hAnsi="Times New Roman;serif"/>
          <w:b w:val="false"/>
          <w:color w:val="000000"/>
          <w:sz w:val="24"/>
        </w:rPr>
        <w:t>. A Non-Employee Director who (i) has been serving as a Non-Employee Director on the Board for at least six months as of the date of any annual meeting of the Company’s stockholders on or after the Effective Date and (ii) will continue to serve as a Non-Employee Director immediately following such meeting, shall receive equity awards (the “</w:t>
      </w:r>
      <w:r>
        <w:rPr>
          <w:rFonts w:ascii="Times New Roman;serif" w:hAnsi="Times New Roman;serif"/>
          <w:b/>
          <w:i/>
          <w:color w:val="000000"/>
          <w:sz w:val="24"/>
        </w:rPr>
        <w:t>Subsequent Awards</w:t>
      </w:r>
      <w:r>
        <w:rPr>
          <w:color w:val="000000"/>
        </w:rPr>
        <w:t>”</w:t>
      </w:r>
      <w:r>
        <w:rPr>
          <w:rFonts w:ascii="Times New Roman;serif" w:hAnsi="Times New Roman;serif"/>
          <w:b w:val="false"/>
          <w:color w:val="000000"/>
          <w:sz w:val="24"/>
        </w:rPr>
        <w:t>) on the date of such annual meeting with an aggregate Grant Date Fair Value of $500,000 (the “</w:t>
      </w:r>
      <w:r>
        <w:rPr>
          <w:rFonts w:ascii="Times New Roman;serif" w:hAnsi="Times New Roman;serif"/>
          <w:b/>
          <w:i/>
          <w:color w:val="000000"/>
          <w:sz w:val="24"/>
        </w:rPr>
        <w:t>Subsequent Award Value</w:t>
      </w:r>
      <w:r>
        <w:rPr>
          <w:color w:val="000000"/>
        </w:rPr>
        <w:t>”</w:t>
      </w:r>
      <w:r>
        <w:rPr>
          <w:rFonts w:ascii="Times New Roman;serif" w:hAnsi="Times New Roman;serif"/>
          <w:b w:val="false"/>
          <w:color w:val="000000"/>
          <w:sz w:val="24"/>
        </w:rPr>
        <w:t xml:space="preserve">), with 50% of the Subsequent Award Value delivered in the form of a stock option and 50% of the Subsequent Award Value delivered in the form of restricted stock units based on the Grant Date Fair Values of such option and restricted stock units as of the applicable date of grant and subject to rounding that results in an aggregate Grant Date Fair Value that is closest to but does not exceed the Subsequent Award Value. For the avoidance of doubt, a Non-Employee Director elected for the first time to the Board at an annual meeting of the Company’s stockholders shall only receive Initial Awards in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connection with such election and shall not receive any Subsequent Awards on the date of such meeting.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of Employment of Employee Directors</w:t>
      </w:r>
      <w:r>
        <w:rPr>
          <w:rFonts w:ascii="Times New Roman;serif" w:hAnsi="Times New Roman;serif"/>
          <w:b w:val="false"/>
          <w:color w:val="000000"/>
          <w:sz w:val="24"/>
        </w:rPr>
        <w:t xml:space="preserve">. Members of the Board who are employees of the Company or any parent or subsidiary of the Company who subsequently terminate their employment with the Company and any parent or subsidiary of the Company and remain on the Board will not receive Initial Awards pursuant to Section II(A) above, but to the extent that they are otherwise entitled, will receive, after termination of employment with the Company and any parent or subsidiary of the Company, Subsequent Awards as described in Section II(B) above.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Terms of Awards Granted to Non-Employee Directors</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1.    </w:t>
      </w:r>
      <w:r>
        <w:rPr>
          <w:rFonts w:ascii="Times New Roman;serif" w:hAnsi="Times New Roman;serif"/>
          <w:b w:val="false"/>
          <w:i/>
          <w:color w:val="000000"/>
          <w:sz w:val="24"/>
        </w:rPr>
        <w:t>Exercise Price</w:t>
      </w:r>
      <w:r>
        <w:rPr>
          <w:rFonts w:ascii="Times New Roman;serif" w:hAnsi="Times New Roman;serif"/>
          <w:b w:val="false"/>
          <w:color w:val="000000"/>
          <w:sz w:val="24"/>
        </w:rPr>
        <w:t xml:space="preserve">. The per share exercise price of each option granted to a Non-Employee Director under this Program shall equal the Market Value (as defined in the Equity Plan) of a share of the Company’s common stock on the date the option is granted.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2.    </w:t>
      </w:r>
      <w:r>
        <w:rPr>
          <w:rFonts w:ascii="Times New Roman;serif" w:hAnsi="Times New Roman;serif"/>
          <w:b w:val="false"/>
          <w:i/>
          <w:color w:val="000000"/>
          <w:sz w:val="24"/>
        </w:rPr>
        <w:t>Vesting</w:t>
      </w:r>
      <w:r>
        <w:rPr>
          <w:rFonts w:ascii="Times New Roman;serif" w:hAnsi="Times New Roman;serif"/>
          <w:b w:val="false"/>
          <w:color w:val="000000"/>
          <w:sz w:val="24"/>
        </w:rPr>
        <w:t xml:space="preserve">. Initial Awards shall vest and, if applicable, become exercisable in three (3) substantially equal annual installments following the date of grant, such that the Initial Awards shall be fully vested on the third anniversary of the date of grant, subject to the Non-Employee Director continuing in service as a Non-Employee Director through each such vesting date. Subsequent Awards shall vest and, if applicable, become exercisable in a single installment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such vesting date. Unless the Board otherwise determines, any Initial Awards or Subsequent Awards that are unvested at the time of a Non-Employee Director’s termination of service on the Board as a Non-Employee Director shall be immediately forfeited upon such termination of service and shall not thereafter become vested or, if applicable, exercisable. All of a Non-Employee Director’s outstanding Initial Awards and Subsequent Awards shall vest in full immediately prior to the occurrence of a Change in Control (as defined in the Equity Plan), to the extent outstanding at such time.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3.    </w:t>
      </w:r>
      <w:r>
        <w:rPr>
          <w:rFonts w:ascii="Times New Roman;serif" w:hAnsi="Times New Roman;serif"/>
          <w:b w:val="false"/>
          <w:i/>
          <w:color w:val="000000"/>
          <w:sz w:val="24"/>
        </w:rPr>
        <w:t>Term</w:t>
      </w:r>
      <w:r>
        <w:rPr>
          <w:rFonts w:ascii="Times New Roman;serif" w:hAnsi="Times New Roman;serif"/>
          <w:b w:val="false"/>
          <w:color w:val="000000"/>
          <w:sz w:val="24"/>
        </w:rPr>
        <w:t>. The maximum term of each stock option granted to a Non-Employee Director under this Program shall be ten (10) years from the date the option is granted.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4.     </w:t>
      </w:r>
      <w:r>
        <w:rPr>
          <w:rFonts w:ascii="Times New Roman;serif" w:hAnsi="Times New Roman;serif"/>
          <w:b w:val="false"/>
          <w:i/>
          <w:color w:val="000000"/>
          <w:sz w:val="24"/>
        </w:rPr>
        <w:t>Black-Scholes Value</w:t>
      </w:r>
      <w:r>
        <w:rPr>
          <w:rFonts w:ascii="Times New Roman;serif" w:hAnsi="Times New Roman;serif"/>
          <w:b w:val="false"/>
          <w:color w:val="000000"/>
          <w:sz w:val="24"/>
        </w:rPr>
        <w:t>. “</w:t>
      </w:r>
      <w:r>
        <w:rPr>
          <w:rFonts w:ascii="Times New Roman;serif" w:hAnsi="Times New Roman;serif"/>
          <w:b/>
          <w:i/>
          <w:color w:val="000000"/>
          <w:sz w:val="24"/>
        </w:rPr>
        <w:t>Black-Scholes Value</w:t>
      </w:r>
      <w:r>
        <w:rPr>
          <w:color w:val="000000"/>
        </w:rPr>
        <w:t xml:space="preserve">” </w:t>
      </w:r>
      <w:r>
        <w:rPr>
          <w:rFonts w:ascii="Times New Roman;serif" w:hAnsi="Times New Roman;serif"/>
          <w:b w:val="false"/>
          <w:color w:val="000000"/>
          <w:sz w:val="24"/>
        </w:rPr>
        <w:t xml:space="preserve">means, with respect to an option, the per share fair value of the option determined as of the option’s date of grant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and Exchange Commission and using as inputs to such model (i) the Market Value of a share of the Company’s common stock on the date the option is granted and (ii) such other assumptions as shall be determined by the Company’s Chief Accounting Officer on or before the date the option is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00"/>
        <w:ind w:left="0" w:right="0" w:firstLine="2160"/>
        <w:jc w:val="both"/>
        <w:rPr/>
      </w:pPr>
      <w:r>
        <w:rPr>
          <w:rFonts w:ascii="Times New Roman;serif" w:hAnsi="Times New Roman;serif"/>
          <w:b w:val="false"/>
          <w:color w:val="000000"/>
          <w:sz w:val="24"/>
        </w:rPr>
        <w:t>5.     </w:t>
      </w:r>
      <w:r>
        <w:rPr>
          <w:rFonts w:ascii="Times New Roman;serif" w:hAnsi="Times New Roman;serif"/>
          <w:b w:val="false"/>
          <w:i/>
          <w:color w:val="000000"/>
          <w:sz w:val="24"/>
        </w:rPr>
        <w:t>Grant Date Fair Value</w:t>
      </w:r>
      <w:r>
        <w:rPr>
          <w:rFonts w:ascii="Times New Roman;serif" w:hAnsi="Times New Roman;serif"/>
          <w:b w:val="false"/>
          <w:color w:val="000000"/>
          <w:sz w:val="24"/>
        </w:rPr>
        <w:t>. “</w:t>
      </w:r>
      <w:r>
        <w:rPr>
          <w:rFonts w:ascii="Times New Roman;serif" w:hAnsi="Times New Roman;serif"/>
          <w:b/>
          <w:i/>
          <w:color w:val="000000"/>
          <w:sz w:val="24"/>
        </w:rPr>
        <w:t>Grant Date Fair Value</w:t>
      </w:r>
      <w:r>
        <w:rPr>
          <w:color w:val="000000"/>
        </w:rPr>
        <w:t xml:space="preserve">” </w:t>
      </w:r>
      <w:r>
        <w:rPr>
          <w:rFonts w:ascii="Times New Roman;serif" w:hAnsi="Times New Roman;serif"/>
          <w:b w:val="false"/>
          <w:color w:val="000000"/>
          <w:sz w:val="24"/>
        </w:rPr>
        <w:t>means (a) with respect to an option, the Black-Scholes Value of the option and (b) with respect to a restricted stock unit, the Market Value of a share of the Company’s common stock on the date the restricted stock unit is granted.</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480"/>
        <w:jc w:val="both"/>
        <w:rPr/>
      </w:pPr>
      <w:r>
        <w:rPr/>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June 25, 2026</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By Email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Pamela Cramer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 Redacted]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Dear Pam: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As discussed, this letter confirms the cessation of your employment with Rhythm Pharmaceuticals, Inc. (“</w:t>
      </w:r>
      <w:r>
        <w:rPr>
          <w:rFonts w:ascii="Times New Roman;serif" w:hAnsi="Times New Roman;serif"/>
          <w:b w:val="false"/>
          <w:color w:val="000000"/>
          <w:sz w:val="24"/>
          <w:u w:val="single"/>
        </w:rPr>
        <w:t>Rhythm</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July 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Regardless of whether you enter into the below letter agreement with the Company, upon your separation from employment, you will be entitled to all accrued, but unused vacation and compensation through your last day of employment. You will also have the right to continue group health insurance coverage after the termination of your employment under the law known as “COBRA.” The terms for that opportunity will be set forth in a separate written notice. Your eligibility to participate in any other employee benefit plans and programs of the Company ceases on or after the termination of your employment in accordance with applicable benefit plan or program terms and practices. In addition, enclosed with this letter, please find a pamphlet from the Massachusetts Department of Workforce Development Division of Unemployment Assistance entitled, </w:t>
      </w:r>
      <w:r>
        <w:rPr>
          <w:rFonts w:ascii="Times New Roman;serif" w:hAnsi="Times New Roman;serif"/>
          <w:b w:val="false"/>
          <w:i/>
          <w:color w:val="000000"/>
          <w:sz w:val="24"/>
        </w:rPr>
        <w:t>How To File For Unemployment Insurance Benefits</w:t>
      </w:r>
      <w:r>
        <w:rPr>
          <w:rFonts w:ascii="Times New Roman;serif" w:hAnsi="Times New Roman;serif"/>
          <w:b w:val="false"/>
          <w:color w:val="000000"/>
          <w:sz w:val="24"/>
        </w:rPr>
        <w:t>. The payments and other terms set forth above will not be affected by whether or not you agree to the terms of the Agreement (as defined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remainder of this letter proposes an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between you and the Company. This Agreement is intended to be the “Release” as required by your updated offer letter with the Company dated July 28, 2023 (the “</w:t>
      </w:r>
      <w:r>
        <w:rPr>
          <w:rFonts w:ascii="Times New Roman;serif" w:hAnsi="Times New Roman;serif"/>
          <w:b w:val="false"/>
          <w:color w:val="000000"/>
          <w:sz w:val="24"/>
          <w:u w:val="single"/>
        </w:rPr>
        <w:t>Offer Letter</w:t>
      </w:r>
      <w:r>
        <w:rPr>
          <w:color w:val="000000"/>
        </w:rPr>
        <w:t>”</w:t>
      </w:r>
      <w:r>
        <w:rPr>
          <w:rFonts w:ascii="Times New Roman;serif" w:hAnsi="Times New Roman;serif"/>
          <w:b w:val="false"/>
          <w:color w:val="000000"/>
          <w:sz w:val="24"/>
        </w:rPr>
        <w:t xml:space="preserve">). By entering into this Agreement, you understand that the Company is not admitting in any way that it violated any legal obligation that it owed to you.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those understandings, by signing below, you and the Company agree as follows:</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Transition Services and Separation from Employment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be eligible to enter into this Agreement, you must have (a) remained continuously employed by the Company from the date of this letter through July 1, 2026 (the “Separation Date”) (the period between the date of this letter and the Separation Date being the “Transition Period”) as a full-time employee and continued to comply with your obligations to the Company, and (b) continued to perform your regular duties for the Company and such other duties as are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reasonably assigned to you by the Company during the Transition Period, including the transition of your regular Company duties to Tristen Sullivan (or another Company designee), in substantially the same manner and with substantially the same effort and level of care as you have historically performed duties for the Company; provided however, that you will not be expected to attend meetings of the Company’s executive leadership team during the Transition Period and you agree the Company may relieve you of certain duties and discontinue access to Company information and systems during the Transition Period, as it determines to be reasonably necessary or appropriate.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you will remain an “at-will” employee during the Transition Period. During the Transition Period, the Company will continue to pay you at your regular annual base salary rate and you will continue to be eligible for employee benefits of the Company, subject to their terms. Further, you understand that during the Transition Period, the Company may announce your anticipated separation from employment and the Company agrees to work with you, in good faith, on a communications plan concerning your separation; provided you understand and agree that the Company shall retain the discretion as to the timing and content of any internal or external communication. </w:t>
      </w:r>
    </w:p>
    <w:p>
      <w:pPr>
        <w:pStyle w:val="TextBody"/>
        <w:bidi w:val="0"/>
        <w:spacing w:lineRule="auto" w:line="288" w:before="0" w:after="240"/>
        <w:jc w:val="both"/>
        <w:rPr/>
      </w:pPr>
      <w:r>
        <w:rPr>
          <w:rFonts w:ascii="Times New Roman;serif" w:hAnsi="Times New Roman;serif"/>
          <w:b w:val="false"/>
          <w:color w:val="000000"/>
          <w:sz w:val="24"/>
        </w:rPr>
        <w:t xml:space="preserve">If you resign before July 1, 2026 or otherwise fail to meet the foregoing requirements for eligibility to enter into this Agreement, you will not be eligible for the severance opportunity presented below. </w:t>
      </w:r>
      <w:r>
        <w:rPr>
          <w:rFonts w:ascii="Times New Roman;serif" w:hAnsi="Times New Roman;serif"/>
          <w:b/>
          <w:color w:val="000000"/>
          <w:sz w:val="24"/>
        </w:rPr>
        <w:t>You may not sign this Agreement before your Separation Date</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you hold any offices, directorships or other positions with the Company, by your signature below, you resign therefrom effective on the Separation Date. You agree to execute such additional instruments as the Company reasonably requests to give effect to the foregoing resignations and to update all social media accounts to reflect you are no longer associated with the Company as of the Separation Date.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acknowledges and agrees that your separation from employment is without Cause, as defined in the Offer Letter.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Severance Benefits. If you meet the foregoing conditions for eligibility to enter into this Agreement, timely sign and return (and do not revoke) this Agreement and continue to comply with the term of this Agreement and any other agreement you have with the Company, the Company will pay or provide to you the following severance payments and benefits:</w:t>
      </w:r>
    </w:p>
    <w:p>
      <w:pPr>
        <w:pStyle w:val="TextBody"/>
        <w:bidi w:val="0"/>
        <w:spacing w:lineRule="auto" w:line="288" w:before="0" w:after="240"/>
        <w:ind w:left="0" w:right="0" w:firstLine="720"/>
        <w:jc w:val="both"/>
        <w:rPr/>
      </w:pPr>
      <w:r>
        <w:rPr>
          <w:rFonts w:ascii="Times New Roman;serif" w:hAnsi="Times New Roman;serif"/>
          <w:b/>
          <w:color w:val="000000"/>
          <w:sz w:val="24"/>
        </w:rPr>
        <w:t>(a)    Severance Pay.</w:t>
      </w:r>
      <w:r>
        <w:rPr>
          <w:color w:val="000000"/>
        </w:rPr>
        <w:t xml:space="preserve"> </w:t>
      </w:r>
      <w:r>
        <w:rPr>
          <w:rFonts w:ascii="Times New Roman;serif" w:hAnsi="Times New Roman;serif"/>
          <w:b w:val="false"/>
          <w:color w:val="000000"/>
          <w:sz w:val="24"/>
        </w:rPr>
        <w:t>The Company shall pay you severance pay (“Severance Pay”), pursuant to the Offer Letter, consisting of salary continuation for the period of thirty-nine (39) weeks at your final, annual base salary rate of $ 455,500.24, less applicable withholdings and deductions. The Company shall pay you Severance Pay pursuant to the terms of the Offer Letter; provided that the Company is not obligated to make any such severance payments to you before the Effective Date (defined below). If the Company does not make one or more payments of Severance Pay on a regular payroll date because this Agreement has not yet become effective, the Company shall make all such payments by the first regular payroll date after the Effective Date. By signing below, you agree that the Company may deliver Severance Pay by way of direct deposit to your last financial account on file.</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(b)    Health Benefits.</w:t>
      </w:r>
      <w:r>
        <w:rPr>
          <w:color w:val="000000"/>
        </w:rPr>
        <w:t xml:space="preserve"> </w:t>
      </w:r>
      <w:r>
        <w:rPr>
          <w:rFonts w:ascii="Times New Roman;serif" w:hAnsi="Times New Roman;serif"/>
          <w:b w:val="false"/>
          <w:color w:val="000000"/>
          <w:sz w:val="24"/>
        </w:rPr>
        <w:t xml:space="preserve">To the extent you receive medical, dental and/or vision insurance coverage as of the Separation Date, your rights and obligations under COBRA will be explained in a separate letter to you describing your medical, dental and/or vision insurance continuation rights under COBRA. To continue your medical, dental and/or vision insurance coverage (to the extent applicable), you must elect COBRA continuation coverage. Provided you remain eligible for such COBRA benefits and you elect COBRA benefits, the Company shall pay for the full premium cost of medical, dental and/or vision insurance premiums for coverage of you and, where applicable, your COBRA-eligible beneficiaries for the period of nine (9) months after the Separation Date. If you elect COBRA continuation coverage, you may continue coverage for yourself and any beneficiaries after this nine (9) month period at your own expense for the remainder of the COBRA period, to the extent you, and they, remain eligible. </w:t>
      </w:r>
    </w:p>
    <w:p>
      <w:pPr>
        <w:pStyle w:val="TextBody"/>
        <w:bidi w:val="0"/>
        <w:spacing w:lineRule="auto" w:line="288" w:before="0" w:after="240"/>
        <w:ind w:left="0" w:right="0" w:firstLine="720"/>
        <w:jc w:val="both"/>
        <w:rPr/>
      </w:pPr>
      <w:r>
        <w:rPr>
          <w:rFonts w:ascii="Times New Roman;serif" w:hAnsi="Times New Roman;serif"/>
          <w:b/>
          <w:color w:val="000000"/>
          <w:sz w:val="24"/>
        </w:rPr>
        <w:t>(c)    Equity Rights.</w:t>
      </w:r>
      <w:r>
        <w:rPr>
          <w:color w:val="000000"/>
        </w:rPr>
        <w:t xml:space="preserve"> </w:t>
      </w:r>
      <w:r>
        <w:rPr>
          <w:rFonts w:ascii="Times New Roman;serif" w:hAnsi="Times New Roman;serif"/>
          <w:b w:val="false"/>
          <w:color w:val="000000"/>
          <w:sz w:val="24"/>
        </w:rPr>
        <w:t xml:space="preserve">Notwithstanding anything in the Company’s 2017 Equity Incentive Plan (the “2017 Plan”) or your applicable award agreements to the contrary, with respect to your unvested Company performance units held by you as of the Separation Date, 24,300 of such performance units will vest as of the Effective Date. All other outstanding and unvested Company equity awards held by you as of the Separation Date will, pursuant to your Offer Letter, remain outstanding and eligible to vest upon the occurrence of a Change of Control (as defined in the 2017 Plan) that occurs within three (3) months after the Separation Date, with the number of performance units that vest on such a Change of Control determined in accordance with Section 3(c) of the applicable performance unit agreement; provided, that (x) such equity awards will in all events remain subject to earlier termination in connection with a corporate transaction or event in accordance with the terms of the applicable award agreement and the 2017 Plan; (y) in no event will a stock option remain outstanding past the final expiration date of such option; and (z) such equity awards will immediately expire and be forfeited for no consideration upon the expiration of such three (3) month period in the event a Change of Control has not occurred, except with respect to those options subject to the Option Treatment (as defined below). </w:t>
      </w:r>
    </w:p>
    <w:p>
      <w:pPr>
        <w:pStyle w:val="TextBody"/>
        <w:bidi w:val="0"/>
        <w:spacing w:lineRule="auto" w:line="288" w:before="0" w:after="240"/>
        <w:ind w:left="0" w:right="0" w:firstLine="720"/>
        <w:jc w:val="both"/>
        <w:rPr/>
      </w:pPr>
      <w:r>
        <w:rPr>
          <w:rFonts w:ascii="Times New Roman;serif" w:hAnsi="Times New Roman;serif"/>
          <w:b/>
          <w:color w:val="000000"/>
          <w:sz w:val="24"/>
        </w:rPr>
        <w:t>(d)     Change of Control Severance Amount.</w:t>
      </w:r>
      <w:r>
        <w:rPr>
          <w:color w:val="000000"/>
        </w:rPr>
        <w:t xml:space="preserve"> </w:t>
      </w:r>
      <w:r>
        <w:rPr>
          <w:rFonts w:ascii="Times New Roman;serif" w:hAnsi="Times New Roman;serif"/>
          <w:b w:val="false"/>
          <w:color w:val="000000"/>
          <w:sz w:val="24"/>
        </w:rPr>
        <w:t xml:space="preserve">If a Change of Control occurs within three (3) months after the Separation Date, you will be entitled to the Change of Control Severance Amount (as defined in the Offer Letter and less any Severance Pay already paid to you), which amount shall be paid in accordance with the terms of the Offer Letter, provided that any portion of the Change of Control Severance Amount that would otherwise have been payable to you prior to the Change of Control and that exceeds the Severance Pay you were paid prior to the Change of Control will be paid to you in a lump sum on the Company’s first ordinary payroll pay date that occurs at least five (5) days following such Change of Control. </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(e)    Advisor Role. </w:t>
      </w:r>
      <w:r>
        <w:rPr>
          <w:rFonts w:ascii="Times New Roman;serif" w:hAnsi="Times New Roman;serif"/>
          <w:b w:val="false"/>
          <w:color w:val="000000"/>
          <w:sz w:val="24"/>
        </w:rPr>
        <w:t xml:space="preserve">For the period from the Separation Date through November 16, 2026 (the “Advisor Period”), you will provide such advisory services as may be reasonably requested by the Company and agreed upon between the parties from time to time, including those set forth in Section 14 (the “Advisor Services”). The parties intend that you incur a “separation from service” under Section 409A of the Internal Revenue Code of 1986 (as amended) as of the Separation Date. Accordingly, the level of bona fide services which you will perform for the Company pursuant to this Agreement will in no event exceed twenty percent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(20%) of the average level of bona fide services performed by you for the Company over the thirty-six (36) month period immediately preceding the Separation Date. In consideration for the Advisor Services, the portion of your unvested options to purchase shares of Company common stock held by you as of the Separation Date that were regularly scheduled to vest through and including November 16, 2026 will remain outstanding and eligible to vest on such date, subject to your continued provision of the Advisor Services through the Advisor Period (the “Option Treatment”); provided that, if the Company terminates the Advisor Period prior to November 16, 2026 for any reason other than your material breach of this Agreement, all such options that would have vested through November 16, 2026 will vest on the date of such termination. You will provide the Advisor Services as an independent contractor and not as an employee. Accordingly, except as otherwise provided in this Section 2, you are not eligible for, and shall not participate in or apply for, any Company-provided employee benefit plan or program. You shall have no authority to bind, assume, or create any obligation or responsibility on behalf of the Company without the prior written authorization of the Company. For the avoidance of doubt, your performance of Advisor Services to the Company during the Advisor Period will constitute your continued “association” with the Company (within the meaning of the applicable stock option agreements) for purposes of determining the post-termination exercise period of your Company stock options that are vested as of the Separation Date or that vest after the Separation Date in accordance with this Agreement. </w:t>
      </w:r>
    </w:p>
    <w:p>
      <w:pPr>
        <w:pStyle w:val="TextBody"/>
        <w:bidi w:val="0"/>
        <w:spacing w:lineRule="auto" w:line="288" w:before="0" w:after="240"/>
        <w:ind w:left="0" w:right="0" w:firstLine="720"/>
        <w:jc w:val="both"/>
        <w:rPr/>
      </w:pPr>
      <w:r>
        <w:rPr>
          <w:rFonts w:ascii="Times New Roman;serif" w:hAnsi="Times New Roman;serif"/>
          <w:b/>
          <w:color w:val="000000"/>
          <w:sz w:val="24"/>
        </w:rPr>
        <w:t>(f)     No Other Pay or Benefits; Sufficiency of Consideration.</w:t>
      </w:r>
      <w:r>
        <w:rPr>
          <w:color w:val="000000"/>
        </w:rPr>
        <w:t xml:space="preserve"> </w:t>
      </w:r>
      <w:r>
        <w:rPr>
          <w:rFonts w:ascii="Times New Roman;serif" w:hAnsi="Times New Roman;serif"/>
          <w:b w:val="false"/>
          <w:color w:val="000000"/>
          <w:sz w:val="24"/>
        </w:rPr>
        <w:t xml:space="preserve">Except as specifically set forth in this Agreement, you acknowledge that you are not entitled to any other wages, salary, vacation pay, paid time off, sick leave pay, bonuses, incentive awards, commissions, benefits, stock, restricted stock units, stock options, or any other compensation of any kind, except as required by law. You further acknowledge that the benefits provided for in this Agreement are in excess of any earned wages and any other amounts due and owing to you, and are good and valuable consideration for the general release of claims and the other covenants and terms in this Agreement. Without limiting the foregoing, and except as otherwise included in the Change of Control Severance Amount, you understand that the Severance Pay is in lieu of any bonus payment to which you may otherwise claim you are owed. </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Tax Treatment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undertake to make deductions, withholdings and tax reports with respect to payments and benefits under this Agreement to the extent that it reasonably and in good faith determines that it is required to make such deductions, withholdings and tax reports. Payments under this Agreement shall be in amounts net of any such deductions or withholdings. Nothing in this Agreement shall be construed to require the Company to make any payments to compensate you for any adverse tax effect associated with any payments or benefits or for any deduction or withholding from any payment or benefit. You confirm that you have not alleged sexual harassment or sexual abuse (as those terms are used in 26 U.S. Code § 162(q)) against any party released by this Agreement, and you do not believe you have such a claim for sexual harassment or sexual abuse.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Return of Property</w:t>
      </w:r>
      <w:r>
        <w:rPr>
          <w:color w:val="000000"/>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confirm that, as of the Separation Date, you have returned to the Company all Company property, including, without limitation, laptop computer and related equipment, software, keys and access cards, employee badges, credit cards, files and any documents (including computerized data and any copies made of any computerized data or software) containing information concerning the Company, its business, its members or its business relationships (in the latter three cases, actual or prospective). You shall return any materials in your possession related to the Company. You also commit to deleting and finally purging any duplicates of files or documents that may contain Company information from any computer or other device that remains your property after the Separation Date. You shall also provide all passwords for any Company-related website or files to the Company. In the event that you discover that you continue to retain any such property, you shall notify the Company and return it to the Company immediately.</w:t>
      </w:r>
    </w:p>
    <w:p>
      <w:pPr>
        <w:pStyle w:val="TextBody"/>
        <w:bidi w:val="0"/>
        <w:spacing w:lineRule="auto" w:line="288" w:before="0" w:after="24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Release of Your Claims</w:t>
      </w:r>
    </w:p>
    <w:p>
      <w:pPr>
        <w:pStyle w:val="TextBody"/>
        <w:bidi w:val="0"/>
        <w:spacing w:lineRule="auto" w:line="288" w:before="0" w:after="240"/>
        <w:jc w:val="both"/>
        <w:rPr/>
      </w:pPr>
      <w:r>
        <w:rPr>
          <w:rFonts w:ascii="Times New Roman;serif" w:hAnsi="Times New Roman;serif"/>
          <w:b w:val="false"/>
          <w:color w:val="000000"/>
          <w:sz w:val="24"/>
        </w:rPr>
        <w:t>In consideration for, among other terms, the severance payments and benefits described in the Offer Letter and set forth in Section 2, which, pursuant to the Offer Letter, are conditioned on your execution and non-revocation of this release, as well as the equity vesting set forth in Section 2(c), to which you 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members, principals, employees, attorneys, accountants and agents of each of the foregoing in their official and personal capacities (collectively referred to as the “</w:t>
      </w:r>
      <w:r>
        <w:rPr>
          <w:rFonts w:ascii="Times New Roman;serif" w:hAnsi="Times New Roman;serif"/>
          <w:b w:val="false"/>
          <w:color w:val="000000"/>
          <w:sz w:val="24"/>
          <w:u w:val="single"/>
        </w:rPr>
        <w:t>Releasees</w:t>
      </w:r>
      <w:r>
        <w:rPr>
          <w:color w:val="000000"/>
        </w:rPr>
        <w:t>”</w:t>
      </w:r>
      <w:r>
        <w:rPr>
          <w:rFonts w:ascii="Times New Roman;serif" w:hAnsi="Times New Roman;serif"/>
          <w:b w:val="false"/>
          <w:color w:val="000000"/>
          <w:sz w:val="24"/>
        </w:rPr>
        <w:t>) generally from all claims, demands, debts, damages and liabilities of every name and nature, known or unknown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xml:space="preserve">) that, as of the date when you sign this Agreement, you have, ever had, now claim to have or ever claimed to have had against any or all of the Releasees. This release includes, without limitation, all Claims: relating to your employment by and separation from employment with the Company; of wrongful discharge; of breach of contract (including without limitation claims pursuant to the Offer Letter); of retaliation or discrimination under federal, state or local law (including, without limitation, Claims of age discrimination or retaliation under the Age Discrimination in Employment Act, Claims of disability discrimination or retaliation under the Americans with Disabilities Act, and Claims of discrimination or retaliation under Title VII of the Civil Rights Act of 1964 and Chapter 151B of the Massachusetts General Laws); under any other federal or state statute, including, without limitation, Claims under the Worker Adjustment and Retraining Notification Act, the Family and Medical Leave Act, the Massachusetts Equal Pay Act, the Massachusetts Civil Rights Act, the Massachusetts Equal Rights Law, the Massachusetts Privacy Statute, and the Fair Labor Standards Act, all as amended; of contract or tort; of violation of public policy; for wages, bonuses, incentive compensation, vacation pay or any other compensation or benefits; and for damages or other remedies of any sort, including, without limitation, compensatory damages, punitive damages, injunctive relief and attorney’s fees;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however, that this release shall not affect (a) your rights under this Agreement and applicable equity award agreements and governing plans (as modified by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rights you cannot lawfully waive; (c) vested benefits under any Company sponsored benefit plan; (d) your rights, if any, to unemployment and workers’ compensation benefits; or (e) your rights to defense and indemnification by the Company under applicable law or the Company’s organizational documents, directors’ and officers’ insurance policies or contracts.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this release specifically includes, without limitation, any Claims pursuant to the Massachusetts Wage Act and State Overtime Laws, including without limitation G.L. c. 149, § 148, 150 et seq. and G.L. c. 151, §1A, the Massachusetts Paid Family and Medical Leave law, and the Massachusetts Equal Pay Act. You further acknowledge that you have been properly paid for all time worked and are unaware of any facts that would support a claim by you against any of the Releasees for any claim of unpaid overtime or any other violation of the Fair Labor Standards Act and/or applicable state or local wage and hour laws. </w:t>
      </w:r>
    </w:p>
    <w:p>
      <w:pPr>
        <w:pStyle w:val="TextBody"/>
        <w:bidi w:val="0"/>
        <w:spacing w:lineRule="auto" w:line="288" w:before="0"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 Other Claims and Non-Interference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represent and warrant that you have filed no complaints or charges against Releasees. Except for conduct of Releasees occurring after your execution of this Agreement, you shall not do so hereafter. You agree that you shall not seek or accept damages of any nature, other equitable or legal remedies for your own benefit, attorney’s fees, or costs from any of the Releasees with respect to any Claim released by this Agreement. As a material inducement to the Company to enter into this Agreement, you represent that you have not assigned to any third party any Claim released by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is intended to or shall be construed to limit your ability to file a charge or participate or cooperate in an investigation or proceeding with the United States Equal Employment Opportunity Commission or comparable state or local agencies investigating unlawful employment discrimination practices (collectively, “EEO Agencies”). The EEO Agencies have the authority to carry out their statutory duties by investigating a charge, issuing a determination, filing a lawsuit, or taking any other action authorized by law. You retain the right to participate in any such action, and retain the right to communicate with the EEO Agencies, and such communication shall not be limited by any provision in this Agreement. Nothing in this Agreement limits or affects your right to disclose or discuss any sexual assault dispute or sexual harassment dispute (as those terms are defined in 42 U.S.C.A. § 19402). Nothing in this Agreement shall be construed to limit your ability, without prior authorization from or notification to the Company, to engage in any activity or conduct protected by Section 7 or any other provision of the National Labor Relations Act, such as by way of examples, from filing an unfair labor practice charge, assisting other employees in doing so, assisting in the investigative process of the National Labor Relations Board, and discussing terms and conditions of employment with others; to report possible violations of federal, state, or local law or regulation to any government agency or entity, including but not limited, to the extent applicable, to the Occupational Safety and Health Administration, the Department of Justice, the Securities and Exchange Commission (the “SEC”), the Congress, and/or any agency Inspector General, or make other disclosures that are protected under the whistleblower provisions of federal, state, or local law or regulation; or to communicate directly with, respond to any inquiry from, or provide testimony before, to the extent applicable, the SEC, the Financial Industry Regulatory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other self-regulatory organization, or any other federal, state, or local regulatory authority, regarding this Agreement or its underlying facts or circumstances. You also understand and acknowledge that, by signing this Agreement, you have completely waived your right to receive any individual relief, including monetary damages, in connection with any such claim, charge, complaint, investigation, or proceeding covered by this section (including without limitation those filed with an EEO Agency), and if you are awarded individual relief and/or monetary damages, you hereby unconditionally assign to the Company, and agree to undertake any and all measures necessary to effectuate such assignment of, any right or interest you may have to receive such individual relief and/or monetary damages. Notwithstanding the foregoing, this Agreement does not limit your right to receive an award for information provided to the SEC or to any other government agency where such a waiver is prohibited. </w:t>
      </w:r>
    </w:p>
    <w:p>
      <w:pPr>
        <w:pStyle w:val="TextBody"/>
        <w:bidi w:val="0"/>
        <w:spacing w:lineRule="auto" w:line="288" w:before="0" w:after="24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Legal Representation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You acknowledge that you have had the opportunity to, are hereby advised to, and have been advised to consult with an attorney before signing this Agreement and that you have been given a reasonable period of time in which to consider the terms of this Agreement before acting upon it. You represent that you have carefully read and fully understand all of the provisions of this Agreement, and that you are voluntarily entering into this Agreement. </w:t>
      </w:r>
    </w:p>
    <w:p>
      <w:pPr>
        <w:pStyle w:val="TextBody"/>
        <w:bidi w:val="0"/>
        <w:spacing w:lineRule="auto" w:line="288" w:before="0" w:after="24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Enforceability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88" w:before="0" w:after="240"/>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Waiver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waiver of any provision of this Agreement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lineRule="auto" w:line="288" w:before="0" w:after="240"/>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Governing Law, Jurisdiction and Interpretation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shall be governed by and construed in accordance with the laws of the Commonwealth of Massachusetts without regard to its conflict of laws provisions. The parties agree that the Superior Court of the Commonwealth of Massachusetts and the United States District Court for the District of Massachusetts shall have the exclusive jurisdiction to consider any matters related to this Agreement, including without limitation any claim for violation of this Agreement. In the event of any dispute, this Agreement is intended by the parties to be construed as a whole, to be interpreted in accordance with its fair meaning, and not to be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construed strictly for or against either you or the Company or the “drafter” of all or any portion of this Agreement. Section headings contained in this Agreement are for convenience of reference only and shall not affect the meaning of any provision herein. You and the Company waive the right to a trial by jury in any action or proceeding seeking to enforce, or alleging the breach of any provision of this Agreement. This Agreement may be executed in counterparts, and each counterpart will be deemed an original, and an electronic signature (PDF, scanned or otherwise) shall be considered an original for all purposes. </w:t>
      </w:r>
    </w:p>
    <w:p>
      <w:pPr>
        <w:pStyle w:val="TextBody"/>
        <w:bidi w:val="0"/>
        <w:spacing w:lineRule="auto" w:line="288" w:before="0" w:after="240"/>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Non-Admission of Wrongdoing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agree that neither this Agreement nor the furnishing of consideration hereunder shall be deemed or construed at any time for any purpose as an admission by either party of any liability, wrongdoing or unlawful conduct. The Company denies that it acted unlawfully in any way with respect to your employment and termination from employment.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Compliance Affirmation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You affirm that you are not aware of any actual, potential or alleged financial or compliance irregularities concerning the Company that you have not already reported to the proper Company employees.</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Confidentiality</w:t>
      </w:r>
      <w:r>
        <w:rPr>
          <w:color w:val="000000"/>
        </w:rPr>
        <w:t xml:space="preserv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this Agreement, you understand and agree that the terms of this Agreement and the facts and circumstances giving rise to this Agreement, shall be treated by you as strictly confidential. Nothing in this Agreement shall preclude you from (i) making truthful statements or disclosures that are required by tax agencies, applicable law, regulation or legal process; (ii) requesting or receiving confidential legal, tax or financial advice; (iii) initiating, testifying, assisting, complying with a subpoena from, or participating in any manner with an investigation conducted by the appropriate local, state, or federal agency (including without limitation law enforcement, the EEOC, and a local commission on human rights); (iv) filing or disclosing any facts necessary to receive unemployment insurance, workers’ compensation, Medicaid, or other public benefits to which you may be entitled; (v) making disclosures to your spouse; and (vi) making disclosures as reasonably necessary to enforce the Agreement’s terms. In the event that you are compelled by law, including legal subpoena or court order, to provide information covered by this Agreement, you agree to immediately notify the Company’s General Counsel prior to such disclosure and will give the Company the ability to object to such disclosure, to the extent legally permissible. For avoidance of doubt, nothing in this Agreement is intended to prohibit you from disclosing the details relating to a claim of sexual assault or unlawful discrimination or any of the other matters described in the second paragraph of Section 6. </w:t>
      </w:r>
    </w:p>
    <w:p>
      <w:pPr>
        <w:pStyle w:val="TextBody"/>
        <w:bidi w:val="0"/>
        <w:spacing w:before="0" w:after="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Future Cooperation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the Separation Date, you agree to make yourself available upon request by telephone or video conference to perform the Advisor Services, which may include answering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questions about the work you performed for the Company, such as file locations, status of projects, etc. You agree to cooperate reasonably with the Company (including its outside counsel) in connection with the contemplation, prosecution and defense of all phases of existing, past and future litigation about which the Company believes you may have knowledge or information. You further agree to make yourself reasonably available at mutually convenient times during and outside of regular business hours as reasonably deemed necessary by the Company’s counsel. You agree to appear without the necessity of a subpoena to testify truthfully in any legal proceedings in which the Company calls you as a witness. The Company shall reimburse you for all reasonable, pre-approved, out of pocket travel expenses incurred by you in rendering future cooperation services under this Section. </w:t>
      </w:r>
    </w:p>
    <w:p>
      <w:pPr>
        <w:pStyle w:val="TextBody"/>
        <w:bidi w:val="0"/>
        <w:spacing w:lineRule="auto" w:line="288" w:before="0" w:after="24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Sections 6 and 13 of this Agreement, you will not, at any time, make any disparaging statements concerning the Company or any of its current or former officers, directors, shareholders, employees or agents. These non-disparagement obligations shall not in any way affect your obligation to testify truthfully in any legal proceeding. </w:t>
      </w:r>
    </w:p>
    <w:p>
      <w:pPr>
        <w:pStyle w:val="TextBody"/>
        <w:bidi w:val="0"/>
        <w:spacing w:lineRule="auto" w:line="288" w:before="0" w:after="24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Suspension or Termination of Payments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you fail to comply with any of your obligations under this Agreement or any other obligation you owe to the Company, in addition to any other legal or equitable remedies it may have for such breach the Company shall have the right to terminate or suspend its payments to you under this Agreement. The termination or suspension of such payments in the event of such breach by you will not affect your continuing obligations under this Agreement. Notwithstanding the foregoing, this provision shall not apply to the extent that your breach of this Agreement consists of initiating a legal action in which you contend that the release set forth in the “Release of Claims” section above is invalid, in whole or in part, due to the provisions of 29 U.S.C. § 626(f).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you have fully and finally released all your Claims against the Releasees, you understand that in the event you attempt to make a Claim or institute an action against any Releasee alleging any Claims against the Company (except for a timely Claim challenging the enforceability of the release of age discrimination claims under the Agreement), all payments and benefits owed to you under the Agreement shall cease and you understand that upon the Company’s request you shall be obligated to return all monies and benefits that you have received pursuant to the Agreement and to pay all costs and expenses, including reasonable attorneys’ fees, incurred by the Releasee in enforcing the terms of the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Entire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constitutes the entire agreement between you and the Company. This Agreement supersedes any previous agreements or understandings between you and the Company, except for the terms of your equity award agreements (and applicable plans) (as modified by this Agreement), the sections of the Offer Letter referenced herein, and the section of the Offer Letter called “280G Matters”. In signing this Agreement, you are not relying upon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promises or representations made by anyone at or on behalf of the Company. Notwithstanding the above, nothing in this Agreement is intended to modify any obligation you have pursuant to the Employee Protective Covenants Agreement dated March 5, 2022, a copy of which is enclosed. </w:t>
      </w:r>
    </w:p>
    <w:p>
      <w:pPr>
        <w:pStyle w:val="TextBody"/>
        <w:bidi w:val="0"/>
        <w:spacing w:lineRule="auto" w:line="288" w:before="0" w:after="240"/>
        <w:ind w:left="0" w:right="0" w:hanging="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Medicare and Liens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warrant that you are not a Medicare beneficiary as of the date of this release, and no conditional payments have been made by Medicare on your behalf. The parties have attempted to resolve this matter in compliance with both state and federal law and it is believed that the settlement terms adequately consider and protect Medicare’s interest and do not reflect any attempt to shift responsibility of treatment to Medicare pursuant to 42 U.S.C. Sec. 1395y(b). While you warrant that you are not and have never been a Medicare beneficiary and thus there is no obligation to report this settlement to the Center for Medicare, Medicaid Services (“CMS”) pursuant to 42 U.S.C 1395y(b), if it is ever determined that you are/was such a beneficiary, you acknowledge your duty to cooperate with the Company in order to allow it and/or the Responsible Reporting Entity (“RRE”) to fulfill the obligation to comply with any reporting requirement under such law. You agree to provide the Company with any and all information necessary for it and/or the RRE to comply with Section 111 of MMSEA. The parties acknowledge and understand that any present or future action by CMS or Medicare on this settlement, or your eligibility or entitlement to Medicare or Medicare payments, will not render this release void or ineffective, or in any way affect the finality of this liability settlement.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further warrant that all bills, costs, or liens resulting from or arising out of any claim you had against the Company are your responsibility to pay. You agree to assume responsibility for the satisfaction of any and all rights to payment, claims or liens of any kind, that arise from or are related to payments made or services provided to you or on your behalf. You agree to assume responsibility for all expenses, costs or fees incurred by you related to your alleged injuries, including without limitation, all Medicare conditional payments, subrogation claims, liens, or other rights to payment, relating to medical treatment or lost wages that have been or may be asserted by any healthcare provider, insurer, governmental entity, employer or other person or entity. Further, you will indemnify, defend, and hold the Company and the Releasees harmless from any and all damages, claims and rights to payment, including any attorneys’ fees, brought by any person, entity or governmental agency to recover any of these amounts.</w:t>
      </w:r>
    </w:p>
    <w:p>
      <w:pPr>
        <w:pStyle w:val="TextBody"/>
        <w:bidi w:val="0"/>
        <w:spacing w:lineRule="auto" w:line="288" w:before="0" w:after="240"/>
        <w:ind w:left="0" w:right="0" w:hanging="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Time for Consideration; Effective Date</w:t>
      </w:r>
    </w:p>
    <w:p>
      <w:pPr>
        <w:pStyle w:val="TextBody"/>
        <w:bidi w:val="0"/>
        <w:spacing w:lineRule="auto" w:line="288" w:before="0" w:after="240"/>
        <w:jc w:val="both"/>
        <w:rPr/>
      </w:pPr>
      <w:r>
        <w:rPr>
          <w:rFonts w:ascii="Times New Roman;serif" w:hAnsi="Times New Roman;serif"/>
          <w:b w:val="false"/>
          <w:color w:val="000000"/>
          <w:sz w:val="24"/>
        </w:rPr>
        <w:t>You have the opportunity to consider this Agreement for twenty-one (21) days from the Separation Date before signing it. To accept this Agreement, you must return a signed copy of this Agreement so that it is received by Jim Flaherty, Senior Vice President &amp; General Counsel (</w:t>
      </w:r>
      <w:r>
        <w:rPr>
          <w:rFonts w:ascii="Times New Roman;serif" w:hAnsi="Times New Roman;serif"/>
          <w:b w:val="false"/>
          <w:color w:val="0563C1"/>
          <w:sz w:val="24"/>
        </w:rPr>
        <w:t>jflaherty@rhythmtx.com</w:t>
      </w:r>
      <w:r>
        <w:rPr>
          <w:rFonts w:ascii="Times New Roman;serif" w:hAnsi="Times New Roman;serif"/>
          <w:b w:val="false"/>
          <w:color w:val="000000"/>
          <w:sz w:val="24"/>
        </w:rPr>
        <w:t xml:space="preserve">) at or before the expiration of this twenty-one (21) day period. </w:t>
      </w:r>
      <w:r>
        <w:rPr>
          <w:rFonts w:ascii="Times New Roman;serif" w:hAnsi="Times New Roman;serif"/>
          <w:b/>
          <w:color w:val="000000"/>
          <w:sz w:val="24"/>
        </w:rPr>
        <w:t xml:space="preserve">You may not sign this before the Separation Date. </w:t>
      </w:r>
      <w:r>
        <w:rPr>
          <w:rFonts w:ascii="Times New Roman;serif" w:hAnsi="Times New Roman;serif"/>
          <w:b w:val="false"/>
          <w:color w:val="000000"/>
          <w:sz w:val="24"/>
        </w:rPr>
        <w:t xml:space="preserve">If you sign this Agreement within less than twenty-one (21) days of the Separation Date, you acknowledge by signing this Agreement that such decision was entirely voluntary and that you had the opportunity to consider this Agreement for the entire twenty-one (21) day period. Any modifications to this Agreement shall not restart the consideration period. For the period of seven (7) days from the date when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becomes fully executed, you have the right to revoke this Agreement by written notice to Mr. Flaherty by email, and for such a revocation to be effective, it must be delivered so that it is received by email at or before the expiration of the seven (7) day revocation period. This Agreement shall not become effective or enforceable during the revocation period. This Agreement shall become effective on the first day following the expiration of the revocation period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indicate your agreement to the terms of this Agreement by signing and returning to me the copy of this letter, executed by you, within the time period set forth above. You should retain a copy of this letter for your files.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RHYTHM PHARMACEUTICALS,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both"/>
        <w:rPr/>
      </w:pPr>
      <w:r>
        <w:rPr>
          <w:color w:val="000000"/>
        </w:rPr>
        <w:t>    </w:t>
      </w:r>
      <w:r>
        <w:rPr>
          <w:rFonts w:ascii="Times New Roman;serif" w:hAnsi="Times New Roman;serif"/>
          <w:b w:val="false"/>
          <w:color w:val="000000"/>
          <w:sz w:val="24"/>
          <w:u w:val="single"/>
        </w:rPr>
        <w:t>/s/ David P. Meeker, MD    </w:t>
      </w:r>
      <w:r>
        <w:rPr>
          <w:color w:val="000000"/>
        </w:rPr>
        <w:t>        </w:t>
      </w:r>
      <w:r>
        <w:rPr>
          <w:rFonts w:ascii="Times New Roman;serif" w:hAnsi="Times New Roman;serif"/>
          <w:b w:val="false"/>
          <w:color w:val="000000"/>
          <w:sz w:val="24"/>
          <w:u w:val="single"/>
        </w:rPr>
        <w:t>6/30/2026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David P. Meeker, MD                Date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Chief Executive Officer</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You are advised to consult with an attorney before signing this Agreement.</w:t>
            </w:r>
            <w:r>
              <w:rPr>
                <w:color w:val="000000"/>
              </w:rPr>
              <w:t xml:space="preserve"> </w:t>
            </w:r>
            <w:r>
              <w:rPr>
                <w:rFonts w:ascii="Times New Roman;serif" w:hAnsi="Times New Roman;serif"/>
                <w:b/>
                <w:color w:val="000000"/>
                <w:sz w:val="24"/>
              </w:rPr>
              <w:t>You may not sign this before your Separation Date.</w:t>
            </w:r>
            <w:r>
              <w:rPr>
                <w:color w:val="000000"/>
              </w:rPr>
              <w:t xml:space="preserve"> </w:t>
            </w:r>
            <w:r>
              <w:rPr>
                <w:rFonts w:ascii="Times New Roman;serif" w:hAnsi="Times New Roman;serif"/>
                <w:b w:val="false"/>
                <w:color w:val="000000"/>
                <w:sz w:val="24"/>
              </w:rPr>
              <w:t>The foregoing is agreed to and accepted by:</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u w:val="single"/>
              </w:rPr>
              <w:t>/s/ Pamela Cramer            </w:t>
            </w:r>
            <w:r>
              <w:rPr>
                <w:color w:val="000000"/>
              </w:rPr>
              <w:t>        </w:t>
            </w:r>
            <w:r>
              <w:rPr>
                <w:color w:val="000000"/>
                <w:u w:val="single"/>
              </w:rPr>
              <w:t xml:space="preserve"> </w:t>
            </w:r>
            <w:r>
              <w:rPr>
                <w:rFonts w:ascii="Times New Roman;serif" w:hAnsi="Times New Roman;serif"/>
                <w:b w:val="false"/>
                <w:color w:val="000000"/>
                <w:sz w:val="24"/>
                <w:u w:val="single"/>
              </w:rPr>
              <w:t>7/2/2026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Pamela Cramer                    Date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 w:after="283"/>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0"/>
        </w:rPr>
      </w:pPr>
      <w:r>
        <w:rPr>
          <w:rFonts w:ascii="Times New Roman;serif" w:hAnsi="Times New Roman;serif"/>
          <w:b/>
          <w:i/>
          <w:color w:val="000000"/>
          <w:sz w:val="20"/>
        </w:rPr>
        <w:t>Execution Version</w:t>
      </w:r>
    </w:p>
    <w:p>
      <w:pPr>
        <w:pStyle w:val="TextBody"/>
        <w:bidi w:val="0"/>
        <w:spacing w:before="10" w:after="283"/>
        <w:jc w:val="left"/>
        <w:rPr/>
      </w:pPr>
      <w:r>
        <w:rPr/>
      </w:r>
    </w:p>
    <w:p>
      <w:pPr>
        <w:pStyle w:val="TextBody"/>
        <w:bidi w:val="0"/>
        <w:spacing w:lineRule="auto" w:line="288" w:before="1" w:after="283"/>
        <w:jc w:val="center"/>
        <w:rPr/>
      </w:pPr>
      <w:r>
        <w:rPr>
          <w:rFonts w:ascii="Times New Roman;serif" w:hAnsi="Times New Roman;serif"/>
          <w:b/>
          <w:color w:val="000000"/>
          <w:sz w:val="20"/>
        </w:rPr>
        <w:t>FIRST</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TO</w:t>
      </w:r>
      <w:r>
        <w:rPr>
          <w:color w:val="000000"/>
        </w:rPr>
        <w:t xml:space="preserve"> </w:t>
      </w: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FINANCING</w:t>
      </w:r>
      <w:r>
        <w:rPr>
          <w:color w:val="000000"/>
        </w:rPr>
        <w:t xml:space="preserve"> </w:t>
      </w:r>
      <w:r>
        <w:rPr>
          <w:rFonts w:ascii="Times New Roman;serif" w:hAnsi="Times New Roman;serif"/>
          <w:b/>
          <w:color w:val="000000"/>
          <w:sz w:val="20"/>
        </w:rPr>
        <w:t>AGREEMENT</w:t>
      </w:r>
    </w:p>
    <w:p>
      <w:pPr>
        <w:pStyle w:val="TextBody"/>
        <w:bidi w:val="0"/>
        <w:spacing w:before="8" w:after="283"/>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THIS</w:t>
      </w:r>
      <w:r>
        <w:rPr>
          <w:color w:val="000000"/>
        </w:rPr>
        <w:t xml:space="preserve"> </w:t>
      </w:r>
      <w:r>
        <w:rPr>
          <w:rFonts w:ascii="Times New Roman;serif" w:hAnsi="Times New Roman;serif"/>
          <w:b/>
          <w:color w:val="000000"/>
          <w:sz w:val="20"/>
        </w:rPr>
        <w:t>FIRST</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TO</w:t>
      </w:r>
      <w:r>
        <w:rPr>
          <w:color w:val="000000"/>
        </w:rPr>
        <w:t xml:space="preserve"> </w:t>
      </w: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FINANCING</w:t>
      </w:r>
      <w:r>
        <w:rPr>
          <w:color w:val="000000"/>
        </w:rPr>
        <w:t xml:space="preserve"> </w:t>
      </w:r>
      <w:r>
        <w:rPr>
          <w:rFonts w:ascii="Times New Roman;serif" w:hAnsi="Times New Roman;serif"/>
          <w:b/>
          <w:color w:val="000000"/>
          <w:sz w:val="20"/>
        </w:rPr>
        <w:t>AGREEMENT</w:t>
      </w:r>
      <w:r>
        <w:rPr>
          <w:color w:val="000000"/>
        </w:rPr>
        <w:t xml:space="preserve"> </w:t>
      </w:r>
      <w:r>
        <w:rPr>
          <w:rFonts w:ascii="Times New Roman;serif" w:hAnsi="Times New Roman;serif"/>
          <w:b w:val="false"/>
          <w:color w:val="000000"/>
          <w:sz w:val="20"/>
        </w:rPr>
        <w:t xml:space="preserve">(this </w:t>
      </w:r>
      <w:r>
        <w:rPr>
          <w:color w:val="000000"/>
        </w:rPr>
        <w:t>“</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dated as of March 27, 2024 (the “</w:t>
      </w:r>
      <w:r>
        <w:rPr>
          <w:rFonts w:ascii="Times New Roman;serif" w:hAnsi="Times New Roman;serif"/>
          <w:b/>
          <w:color w:val="000000"/>
          <w:sz w:val="20"/>
        </w:rPr>
        <w:t>Amendment Effective Date</w:t>
      </w:r>
      <w:r>
        <w:rPr>
          <w:color w:val="000000"/>
        </w:rPr>
        <w:t>”</w:t>
      </w:r>
      <w:r>
        <w:rPr>
          <w:rFonts w:ascii="Times New Roman;serif" w:hAnsi="Times New Roman;serif"/>
          <w:b w:val="false"/>
          <w:color w:val="000000"/>
          <w:sz w:val="20"/>
        </w:rPr>
        <w:t>), is made among RHYTHM PHARMACEUTICALS,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HCR RHYTHM SPV, LLC, as administrative agent (in such capacity, “</w:t>
      </w:r>
      <w:r>
        <w:rPr>
          <w:rFonts w:ascii="Times New Roman;serif" w:hAnsi="Times New Roman;serif"/>
          <w:b/>
          <w:color w:val="000000"/>
          <w:sz w:val="20"/>
        </w:rPr>
        <w:t>Investor Representative</w:t>
      </w:r>
      <w:r>
        <w:rPr>
          <w:color w:val="000000"/>
        </w:rPr>
        <w:t>”</w:t>
      </w:r>
      <w:r>
        <w:rPr>
          <w:rFonts w:ascii="Times New Roman;serif" w:hAnsi="Times New Roman;serif"/>
          <w:b w:val="false"/>
          <w:color w:val="000000"/>
          <w:sz w:val="20"/>
        </w:rPr>
        <w:t>) and the Investors signatory hereto.</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Company, the Investors and Investor Representatives are parties to a Revenue Interest Financing</w:t>
      </w:r>
      <w:r>
        <w:rPr>
          <w:color w:val="000000"/>
        </w:rPr>
        <w:t xml:space="preserve"> </w:t>
      </w:r>
      <w:r>
        <w:rPr>
          <w:rFonts w:ascii="Times New Roman;serif" w:hAnsi="Times New Roman;serif"/>
          <w:b w:val="false"/>
          <w:color w:val="000000"/>
          <w:sz w:val="20"/>
        </w:rPr>
        <w:t>Agreement dated as of June 16, 2022 (as amended, restated or modified from time to time, the “Financing Agreement”).</w:t>
      </w:r>
      <w:r>
        <w:rPr>
          <w:color w:val="000000"/>
        </w:rPr>
        <w:t xml:space="preserve"> </w:t>
      </w:r>
      <w:r>
        <w:rPr>
          <w:rFonts w:ascii="Times New Roman;serif" w:hAnsi="Times New Roman;serif"/>
          <w:b w:val="false"/>
          <w:color w:val="000000"/>
          <w:sz w:val="20"/>
        </w:rPr>
        <w:t>Borrower has requested that the Investor Representative and the Investors agree to certain amendments to the Financing Agreement.</w:t>
      </w:r>
      <w:r>
        <w:rPr>
          <w:color w:val="000000"/>
        </w:rPr>
        <w:t xml:space="preserve"> </w:t>
      </w:r>
      <w:r>
        <w:rPr>
          <w:rFonts w:ascii="Times New Roman;serif" w:hAnsi="Times New Roman;serif"/>
          <w:b w:val="false"/>
          <w:color w:val="000000"/>
          <w:sz w:val="20"/>
        </w:rPr>
        <w:t>The Investor Representative and the Investors have agreed to such request, subject to the terms and conditions hereof.</w:t>
      </w:r>
    </w:p>
    <w:p>
      <w:pPr>
        <w:pStyle w:val="TextBody"/>
        <w:bidi w:val="0"/>
        <w:spacing w:before="0" w:after="180"/>
        <w:jc w:val="both"/>
        <w:rPr/>
      </w:pPr>
      <w:r>
        <w:rPr/>
      </w:r>
    </w:p>
    <w:p>
      <w:pPr>
        <w:pStyle w:val="TextBody"/>
        <w:bidi w:val="0"/>
        <w:spacing w:lineRule="auto" w:line="288" w:before="1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the parties hereto agree as follows:</w:t>
      </w:r>
    </w:p>
    <w:p>
      <w:pPr>
        <w:pStyle w:val="TextBody"/>
        <w:bidi w:val="0"/>
        <w:spacing w:lineRule="auto" w:line="288" w:before="1" w:after="283"/>
        <w:jc w:val="both"/>
        <w:rPr/>
      </w:pPr>
      <w:r>
        <w:rPr>
          <w:rFonts w:ascii="Times New Roman;serif" w:hAnsi="Times New Roman;serif"/>
          <w:b/>
          <w:color w:val="000000"/>
          <w:sz w:val="20"/>
        </w:rPr>
        <w:t>SECTION</w:t>
      </w:r>
      <w:r>
        <w:rPr>
          <w:color w:val="000000"/>
        </w:rPr>
        <w:t xml:space="preserve"> </w:t>
      </w: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Definitions;</w:t>
      </w:r>
      <w:r>
        <w:rPr>
          <w:color w:val="000000"/>
        </w:rPr>
        <w:t xml:space="preserve"> </w:t>
      </w:r>
      <w:r>
        <w:rPr>
          <w:rFonts w:ascii="Times New Roman;serif" w:hAnsi="Times New Roman;serif"/>
          <w:b/>
          <w:color w:val="000000"/>
          <w:sz w:val="20"/>
        </w:rPr>
        <w:t>Interpretation.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(a)Terms Defined in Loan Agreement.</w:t>
      </w:r>
      <w:r>
        <w:rPr>
          <w:color w:val="000000"/>
        </w:rPr>
        <w:t xml:space="preserve"> </w:t>
      </w:r>
      <w:r>
        <w:rPr>
          <w:rFonts w:ascii="Times New Roman;serif" w:hAnsi="Times New Roman;serif"/>
          <w:b w:val="false"/>
          <w:color w:val="000000"/>
          <w:sz w:val="20"/>
        </w:rPr>
        <w:t>All capitalized terms used in this Amendment (including in the recitals hereof) and not otherwise defined herein shall have the meanings assigned to them in the Financing Agreement.</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(b)Interpretation.</w:t>
      </w:r>
      <w:r>
        <w:rPr>
          <w:color w:val="000000"/>
        </w:rPr>
        <w:t xml:space="preserve"> </w:t>
      </w:r>
      <w:r>
        <w:rPr>
          <w:rFonts w:ascii="Times New Roman;serif" w:hAnsi="Times New Roman;serif"/>
          <w:b w:val="false"/>
          <w:color w:val="000000"/>
          <w:sz w:val="20"/>
        </w:rPr>
        <w:t>The rules of interpretation set forth in Section 1.2 of the Financing Agreement</w:t>
      </w:r>
      <w:r>
        <w:rPr>
          <w:color w:val="000000"/>
        </w:rPr>
        <w:t xml:space="preserve"> </w:t>
      </w:r>
      <w:r>
        <w:rPr>
          <w:rFonts w:ascii="Times New Roman;serif" w:hAnsi="Times New Roman;serif"/>
          <w:b w:val="false"/>
          <w:color w:val="000000"/>
          <w:sz w:val="20"/>
        </w:rPr>
        <w:t>shall be applicable to this Amendment and are incorporated herein by this reference.</w:t>
      </w:r>
    </w:p>
    <w:p>
      <w:pPr>
        <w:pStyle w:val="TextBody"/>
        <w:bidi w:val="0"/>
        <w:spacing w:before="10" w:after="283"/>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2    Amendment to the Loan Agreement.</w:t>
      </w:r>
    </w:p>
    <w:p>
      <w:pPr>
        <w:pStyle w:val="TextBody"/>
        <w:bidi w:val="0"/>
        <w:spacing w:before="10" w:after="283"/>
        <w:jc w:val="left"/>
        <w:rPr/>
      </w:pPr>
      <w:r>
        <w:rPr/>
      </w:r>
    </w:p>
    <w:p>
      <w:pPr>
        <w:pStyle w:val="TextBody"/>
        <w:bidi w:val="0"/>
        <w:spacing w:lineRule="auto" w:line="288" w:before="8" w:after="283"/>
        <w:ind w:left="0" w:right="0" w:firstLine="720"/>
        <w:jc w:val="left"/>
        <w:rPr/>
      </w:pPr>
      <w:r>
        <w:rPr>
          <w:rFonts w:ascii="Times New Roman;serif" w:hAnsi="Times New Roman;serif"/>
          <w:b w:val="false"/>
          <w:color w:val="000000"/>
          <w:sz w:val="20"/>
        </w:rPr>
        <w:t>(a)Section</w:t>
      </w:r>
      <w:r>
        <w:rPr>
          <w:color w:val="000000"/>
        </w:rPr>
        <w:t xml:space="preserve"> </w:t>
      </w:r>
      <w:r>
        <w:rPr>
          <w:rFonts w:ascii="Times New Roman;serif" w:hAnsi="Times New Roman;serif"/>
          <w:b w:val="false"/>
          <w:color w:val="000000"/>
          <w:sz w:val="20"/>
        </w:rPr>
        <w:t>3.2(a) of the Financing Agreement is hereby amended and restated in its entirety as follows:</w:t>
      </w:r>
    </w:p>
    <w:p>
      <w:pPr>
        <w:pStyle w:val="TextBody"/>
        <w:bidi w:val="0"/>
        <w:spacing w:before="8" w:after="283"/>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 xml:space="preserve">(a)    On or prior to the date that is sixty days following the Initial Closing Date, the Company shall enter into a Deposit Agreement with the Depositary Bank with respect to the Lockbox Accounts. The Company shall deliver instructions to all Licensees and account debtors (the “Instruction to Payors”), in each case, solely with respect to any proceeds arising from sales of Included Products by the Company or its Subsidiaries and any Other Royalty Payments relating to Included Products (which instruction shall be in form and substance reasonably satisfactory to the Investor Representative and identify each Investor as having a right to a receive a portion of such amounts, and a copy of which shall be delivered to the Investor Representative promptly following delivery to such Licensee or account debtor) to remit such proceeds and Other Royalty Payments to the Lockbox Accounts, to the extent the Instruction to Payors was not sent to such Licensee and account debtors on or prior to the Initial Closing Date. To the extent any proceeds arising from sales of Included Products or any Other Royalty Payments related to Included Products are paid directly to the Company, the Company shall remit to the Lockbox Account for U.S. payors all such amounts within five Business Days of such receipt of any such funds. The Company shall instruct non-U.S. payors in individual non-U.S. countries to pay into specified Deposit Accounts listed on Schedule 3.2 (as may be updated from time to time), and shall enter into sweep agreements from each such non-U.S. country Deposit Account to a non-U.S. Lockbox Account. To the extent any proceeds arising from sales of Included Products or any Other Royalty Payments related to Included Products are paid directly to the Company’s non-U.S. Subsidiaries, the Company shall cause such payments to be remitted to a non-U.S. Lockbox Account for non-U.S. payors within ten Business Days of such receipt of any such funds. Notwithstanding the foregoing, as of the First Amendment Effective Date, so long as Company maintains compliance with Section 3.2(b) and so long as no Default or Event of Default has occurred and is continuing, Company shall not be required to (a) open or maintain (i) non-U.S. Lockbox Accounts or (ii) sweep accounts into non-U.S. Lockbox Accounts, in each case, in the United Kingdom, Canada and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89280"/>
                <wp:effectExtent l="0" t="0" r="0" b="0"/>
                <wp:wrapNone/>
                <wp:docPr id="118" name="Frame118"/>
                <a:graphic xmlns:a="http://schemas.openxmlformats.org/drawingml/2006/main">
                  <a:graphicData uri="http://schemas.microsoft.com/office/word/2010/wordprocessingShape">
                    <wps:wsp>
                      <wps:cNvSpPr txBox="1"/>
                      <wps:spPr>
                        <a:xfrm>
                          <a:off x="0" y="0"/>
                          <a:ext cx="6480175" cy="5892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other foreign jurisdictions Company expands collections to on or after the First Amendment Effective Date, or (b) transfer funds from the Netherlands, the United Kingdom, Canada and any other foreign jurisdictions Company expands collections to on or after the First Amendment Effective Date to the Collection Account.” </w:t>
      </w:r>
    </w:p>
    <w:p>
      <w:pPr>
        <w:pStyle w:val="TextBody"/>
        <w:bidi w:val="0"/>
        <w:spacing w:before="0" w:after="0"/>
        <w:ind w:left="0" w:right="0" w:firstLine="720"/>
        <w:jc w:val="both"/>
        <w:rPr/>
      </w:pPr>
      <w:r>
        <w:rPr/>
      </w:r>
    </w:p>
    <w:p>
      <w:pPr>
        <w:pStyle w:val="TextBody"/>
        <w:bidi w:val="0"/>
        <w:spacing w:lineRule="auto" w:line="288" w:before="8" w:after="283"/>
        <w:ind w:left="0" w:right="0" w:firstLine="720"/>
        <w:jc w:val="left"/>
        <w:rPr/>
      </w:pPr>
      <w:r>
        <w:rPr>
          <w:rFonts w:ascii="Times New Roman;serif" w:hAnsi="Times New Roman;serif"/>
          <w:b w:val="false"/>
          <w:color w:val="000000"/>
          <w:sz w:val="20"/>
        </w:rPr>
        <w:t>(b)Section</w:t>
      </w:r>
      <w:r>
        <w:rPr>
          <w:color w:val="000000"/>
        </w:rPr>
        <w:t xml:space="preserve"> </w:t>
      </w:r>
      <w:r>
        <w:rPr>
          <w:rFonts w:ascii="Times New Roman;serif" w:hAnsi="Times New Roman;serif"/>
          <w:b w:val="false"/>
          <w:color w:val="000000"/>
          <w:sz w:val="20"/>
        </w:rPr>
        <w:t>3.2(b) of the Financing Agreement is hereby amended and restated in its entirety as follows:</w:t>
      </w:r>
    </w:p>
    <w:p>
      <w:pPr>
        <w:pStyle w:val="TextBody"/>
        <w:bidi w:val="0"/>
        <w:spacing w:before="8" w:after="283"/>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(b)    On or prior to the date that is sixty days following the Initial Closing Date, the Company shall establish with the Depositary Bank the Collection Account and enter into a Deposit Agreement with the Depositary Bank with respect to the Collection Account. The Company shall cause all of the funds on deposit in the Lockbox Accounts to be transferred to the Collection Account on a daily basis. With respect to any amounts that are deposited into the Collection Account on any day, so long as no Default or Event of Default has occurred and is continuing, (A) a minimum of $7,500,000 shall remain in the Collection Account at all times and may not be transferred to a Company Account, and (B) any remaining amounts may be disbursed to a Company Account from time to time at the direction of the Company. The Company shall provide the Depositary Bank notice no more frequently than daily of such amount to be disbursed to a Company Account pursuant to this Section 3.2(b). During the Payment Term, on each Quarterly Payment Date, the Company shall instruct the Depositary Bank to disburse to the Investor Account an amount equal to the lesser of (x) the funds on deposit in the Collection Account and (y) the Revenue Interests for such Quarterly Payment Date. If the amount to be disbursed to the Investor Account on any Quarterly Payment Date pursuant to the preceding sentence is less than the Revenue Interests to which the Investors are entitled for the relevant Calendar Quarter, the Company shall pay the amount of such shortfall to the Investor Representative on such Quarterly Payment Date. If the amount of funds on deposit in the Collection Account on any Quarterly Payment Date exceeds the Revenue Interests for such Quarterly Payment Date, such excess amount may be transferred to a Company Account at the direction of the Company.”</w:t>
      </w:r>
    </w:p>
    <w:p>
      <w:pPr>
        <w:pStyle w:val="TextBody"/>
        <w:bidi w:val="0"/>
        <w:spacing w:before="0" w:after="0"/>
        <w:ind w:left="0" w:right="0" w:firstLine="720"/>
        <w:jc w:val="both"/>
        <w:rPr/>
      </w:pPr>
      <w:r>
        <w:rPr/>
      </w:r>
    </w:p>
    <w:p>
      <w:pPr>
        <w:pStyle w:val="TextBody"/>
        <w:bidi w:val="0"/>
        <w:spacing w:lineRule="auto" w:line="288" w:before="8" w:after="283"/>
        <w:ind w:left="0" w:right="0" w:firstLine="720"/>
        <w:jc w:val="left"/>
        <w:rPr/>
      </w:pPr>
      <w:r>
        <w:rPr>
          <w:rFonts w:ascii="Times New Roman;serif" w:hAnsi="Times New Roman;serif"/>
          <w:b w:val="false"/>
          <w:color w:val="000000"/>
          <w:sz w:val="20"/>
        </w:rPr>
        <w:t>(c)Section</w:t>
      </w:r>
      <w:r>
        <w:rPr>
          <w:color w:val="000000"/>
        </w:rPr>
        <w:t xml:space="preserve"> </w:t>
      </w:r>
      <w:r>
        <w:rPr>
          <w:rFonts w:ascii="Times New Roman;serif" w:hAnsi="Times New Roman;serif"/>
          <w:b w:val="false"/>
          <w:color w:val="000000"/>
          <w:sz w:val="20"/>
        </w:rPr>
        <w:t>3.2(d) of the Financing Agreement is hereby amended and restated in its entirety as follows:</w:t>
      </w:r>
    </w:p>
    <w:p>
      <w:pPr>
        <w:pStyle w:val="TextBody"/>
        <w:bidi w:val="0"/>
        <w:spacing w:before="8" w:after="283"/>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(d)    During the Payment Term, the Company shall have no right to terminate the Lockbox Accounts or the Collection Account without the Investor Representative’s prior written consent; provided that, without the Investor Representative’s consent to the change of location of such accounts (provided such location is in the United States), the Company shall have the right from time to time to establish a replacement Lockbox Accounts or Collection Account with a replacement Depositary Bank (including changing the Lockbox Account from Silicon Valley Bank to Bank of American, N.A., on or about the First Amendment Effective Date), provided, that such replacement Depositary Bank shall have entered into a Deposit Agreement with respect to such replacement accounts effective no later than the date of replacement. For purposes of this Agreement, any reference to the “Lockbox Account”, “Collection Account”, “Depositary Bank” or “Deposit Agreement” shall refer to such replacement Collection Account, Depositary Bank or Deposit Agreement, as the context requires.”</w:t>
      </w:r>
    </w:p>
    <w:p>
      <w:pPr>
        <w:pStyle w:val="TextBody"/>
        <w:bidi w:val="0"/>
        <w:spacing w:before="0" w:after="0"/>
        <w:ind w:left="0" w:right="0" w:firstLine="720"/>
        <w:jc w:val="both"/>
        <w:rPr/>
      </w:pPr>
      <w:r>
        <w:rPr/>
      </w:r>
    </w:p>
    <w:p>
      <w:pPr>
        <w:pStyle w:val="TextBody"/>
        <w:bidi w:val="0"/>
        <w:spacing w:lineRule="auto" w:line="288" w:before="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(d)The following definitions are added to Section 1.1 in alphabetical order, as follows:</w:t>
      </w:r>
    </w:p>
    <w:p>
      <w:pPr>
        <w:pStyle w:val="TextBody"/>
        <w:bidi w:val="0"/>
        <w:spacing w:before="8" w:after="283"/>
        <w:jc w:val="both"/>
        <w:rPr/>
      </w:pPr>
      <w:r>
        <w:rPr/>
      </w:r>
    </w:p>
    <w:p>
      <w:pPr>
        <w:pStyle w:val="TextBody"/>
        <w:bidi w:val="0"/>
        <w:spacing w:lineRule="auto" w:line="288" w:before="8" w:after="283"/>
        <w:jc w:val="both"/>
        <w:rPr>
          <w:color w:val="000000"/>
        </w:rPr>
      </w:pPr>
      <w:r>
        <w:rPr>
          <w:color w:val="000000"/>
        </w:rPr>
        <w:t>““</w:t>
      </w:r>
      <w:r>
        <w:rPr>
          <w:rFonts w:ascii="Times New Roman;serif" w:hAnsi="Times New Roman;serif"/>
          <w:b w:val="false"/>
          <w:color w:val="000000"/>
          <w:sz w:val="20"/>
        </w:rPr>
        <w:t>First Amendment Effective Date” means March 27, 2024.”</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0"/>
        </w:rPr>
        <w:t>SECTION</w:t>
      </w:r>
      <w:r>
        <w:rPr>
          <w:color w:val="000000"/>
        </w:rPr>
        <w:t xml:space="preserve"> </w:t>
      </w:r>
      <w:r>
        <w:rPr>
          <w:rFonts w:ascii="Times New Roman;serif" w:hAnsi="Times New Roman;serif"/>
          <w:b/>
          <w:color w:val="000000"/>
          <w:sz w:val="20"/>
        </w:rPr>
        <w:t>3</w:t>
      </w:r>
      <w:r>
        <w:rPr>
          <w:color w:val="000000"/>
        </w:rPr>
        <w:t>    </w:t>
      </w:r>
      <w:r>
        <w:rPr>
          <w:rFonts w:ascii="Times New Roman;serif" w:hAnsi="Times New Roman;serif"/>
          <w:b/>
          <w:color w:val="000000"/>
          <w:sz w:val="20"/>
        </w:rPr>
        <w:t>Miscellaneous.</w:t>
      </w:r>
    </w:p>
    <w:p>
      <w:pPr>
        <w:pStyle w:val="TextBody"/>
        <w:bidi w:val="0"/>
        <w:spacing w:before="13" w:after="283"/>
        <w:jc w:val="left"/>
        <w:rPr/>
      </w:pPr>
      <w:r>
        <w:rPr/>
      </w:r>
    </w:p>
    <w:p>
      <w:pPr>
        <w:pStyle w:val="TextBody"/>
        <w:bidi w:val="0"/>
        <w:spacing w:lineRule="auto" w:line="273" w:before="0" w:after="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References Within Financing Agreement.</w:t>
      </w:r>
      <w:r>
        <w:rPr>
          <w:color w:val="000000"/>
        </w:rPr>
        <w:t xml:space="preserve"> </w:t>
      </w:r>
      <w:r>
        <w:rPr>
          <w:rFonts w:ascii="Times New Roman;serif" w:hAnsi="Times New Roman;serif"/>
          <w:b w:val="false"/>
          <w:color w:val="000000"/>
          <w:sz w:val="20"/>
        </w:rPr>
        <w:t>Each reference in the Financing Agreement to “this Agreement” and the words “hereof,” “herein,” “hereunder,” or words of like import, shall mean and be a reference</w:t>
      </w:r>
      <w:r>
        <w:rPr>
          <w:color w:val="000000"/>
        </w:rPr>
        <w:t xml:space="preserve"> </w:t>
      </w:r>
      <w:r>
        <w:rPr>
          <w:rFonts w:ascii="Times New Roman;serif" w:hAnsi="Times New Roman;serif"/>
          <w:b w:val="false"/>
          <w:color w:val="000000"/>
          <w:sz w:val="20"/>
        </w:rPr>
        <w:t>to the Financing Agreement as amended by this Amendment.</w:t>
      </w:r>
    </w:p>
    <w:p>
      <w:pPr>
        <w:pStyle w:val="TextBody"/>
        <w:bidi w:val="0"/>
        <w:spacing w:before="13"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Expenses.</w:t>
      </w:r>
      <w:r>
        <w:rPr>
          <w:color w:val="000000"/>
        </w:rPr>
        <w:t xml:space="preserve"> </w:t>
      </w:r>
      <w:r>
        <w:rPr>
          <w:rFonts w:ascii="Times New Roman;serif" w:hAnsi="Times New Roman;serif"/>
          <w:b w:val="false"/>
          <w:color w:val="000000"/>
          <w:sz w:val="20"/>
        </w:rPr>
        <w:t>On or prior to the First Amendment Effective Date, the Company shall pay all reasonable and documented fees, charges and disbursements of counsel to the Investor Representative and all reasonable and documented due diligence expenses of the Investor Representative.</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89280"/>
                <wp:effectExtent l="0" t="0" r="0" b="0"/>
                <wp:wrapNone/>
                <wp:docPr id="119" name="Frame119"/>
                <a:graphic xmlns:a="http://schemas.openxmlformats.org/drawingml/2006/main">
                  <a:graphicData uri="http://schemas.microsoft.com/office/word/2010/wordprocessingShape">
                    <wps:wsp>
                      <wps:cNvSpPr txBox="1"/>
                      <wps:spPr>
                        <a:xfrm>
                          <a:off x="0" y="0"/>
                          <a:ext cx="6480175" cy="5892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color w:val="000000"/>
          <w:sz w:val="20"/>
        </w:rPr>
        <w:t>Binding Effect.</w:t>
      </w:r>
      <w:r>
        <w:rPr>
          <w:color w:val="000000"/>
        </w:rPr>
        <w:t xml:space="preserve"> </w:t>
      </w:r>
      <w:r>
        <w:rPr>
          <w:rFonts w:ascii="Times New Roman;serif" w:hAnsi="Times New Roman;serif"/>
          <w:b w:val="false"/>
          <w:color w:val="000000"/>
          <w:sz w:val="20"/>
        </w:rPr>
        <w:t>This Amendment binds and is for the benefit of the successors and permitted assigns of each party.</w:t>
      </w:r>
    </w:p>
    <w:p>
      <w:pPr>
        <w:pStyle w:val="TextBody"/>
        <w:bidi w:val="0"/>
        <w:spacing w:before="11" w:after="283"/>
        <w:jc w:val="left"/>
        <w:rPr/>
      </w:pPr>
      <w:r>
        <w:rPr/>
      </w:r>
    </w:p>
    <w:p>
      <w:pPr>
        <w:pStyle w:val="TextBody"/>
        <w:bidi w:val="0"/>
        <w:spacing w:lineRule="auto" w:line="288" w:before="20" w:after="283"/>
        <w:ind w:left="0" w:right="0" w:firstLine="720"/>
        <w:jc w:val="left"/>
        <w:rPr/>
      </w:pPr>
      <w:r>
        <w:rPr>
          <w:rFonts w:ascii="Times New Roman;serif" w:hAnsi="Times New Roman;serif"/>
          <w:b w:val="false"/>
          <w:color w:val="000000"/>
          <w:sz w:val="20"/>
        </w:rPr>
        <w:t>(d)</w:t>
      </w:r>
      <w:r>
        <w:rPr>
          <w:rFonts w:ascii="Times New Roman;serif" w:hAnsi="Times New Roman;serif"/>
          <w:b/>
          <w:color w:val="000000"/>
          <w:sz w:val="20"/>
        </w:rPr>
        <w:t>Governing</w:t>
      </w:r>
      <w:r>
        <w:rPr>
          <w:color w:val="000000"/>
        </w:rPr>
        <w:t xml:space="preserve"> </w:t>
      </w:r>
      <w:r>
        <w:rPr>
          <w:rFonts w:ascii="Times New Roman;serif" w:hAnsi="Times New Roman;serif"/>
          <w:b/>
          <w:color w:val="000000"/>
          <w:sz w:val="20"/>
        </w:rPr>
        <w:t>Law.</w:t>
      </w:r>
      <w:r>
        <w:rPr>
          <w:color w:val="000000"/>
        </w:rPr>
        <w:t xml:space="preserve"> </w:t>
      </w:r>
      <w:r>
        <w:rPr>
          <w:rFonts w:ascii="Times New Roman;serif" w:hAnsi="Times New Roman;serif"/>
          <w:b/>
          <w:color w:val="000000"/>
          <w:sz w:val="20"/>
        </w:rPr>
        <w:t>THIS</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THE</w:t>
      </w:r>
      <w:r>
        <w:rPr>
          <w:color w:val="000000"/>
        </w:rPr>
        <w:t xml:space="preserve"> </w:t>
      </w:r>
      <w:r>
        <w:rPr>
          <w:rFonts w:ascii="Times New Roman;serif" w:hAnsi="Times New Roman;serif"/>
          <w:b/>
          <w:color w:val="000000"/>
          <w:sz w:val="20"/>
        </w:rPr>
        <w:t>RIGHTS</w:t>
      </w:r>
      <w:r>
        <w:rPr>
          <w:color w:val="000000"/>
        </w:rPr>
        <w:t xml:space="preserve"> </w:t>
      </w:r>
      <w:r>
        <w:rPr>
          <w:rFonts w:ascii="Times New Roman;serif" w:hAnsi="Times New Roman;serif"/>
          <w:b/>
          <w:color w:val="000000"/>
          <w:sz w:val="20"/>
        </w:rPr>
        <w:t>AND OBLIGATIONS OF</w:t>
      </w:r>
      <w:r>
        <w:rPr>
          <w:color w:val="000000"/>
        </w:rPr>
        <w:t xml:space="preserve"> </w:t>
      </w:r>
      <w:r>
        <w:rPr>
          <w:rFonts w:ascii="Times New Roman;serif" w:hAnsi="Times New Roman;serif"/>
          <w:b/>
          <w:color w:val="000000"/>
          <w:sz w:val="20"/>
        </w:rPr>
        <w:t>THE PARTIES HEREUNDER SHALL IN ALL RESPECTS BE GOVERNED BY AND CONSTRUED IN ACCORDANCE WITH, THE INTERNAL LAWS OF THE STATE OF NEW YORK.</w:t>
      </w:r>
    </w:p>
    <w:p>
      <w:pPr>
        <w:pStyle w:val="TextBody"/>
        <w:bidi w:val="0"/>
        <w:spacing w:before="0" w:after="0"/>
        <w:ind w:left="0" w:right="0" w:firstLine="720"/>
        <w:jc w:val="both"/>
        <w:rPr/>
      </w:pPr>
      <w:r>
        <w:rPr/>
      </w:r>
    </w:p>
    <w:p>
      <w:pPr>
        <w:pStyle w:val="TextBody"/>
        <w:bidi w:val="0"/>
        <w:spacing w:lineRule="auto" w:line="288" w:before="20" w:after="283"/>
        <w:ind w:left="0" w:right="0" w:firstLine="720"/>
        <w:jc w:val="left"/>
        <w:rPr/>
      </w:pPr>
      <w:r>
        <w:rPr>
          <w:rFonts w:ascii="Times New Roman;serif" w:hAnsi="Times New Roman;serif"/>
          <w:b w:val="false"/>
          <w:color w:val="000000"/>
          <w:sz w:val="20"/>
        </w:rPr>
        <w:t>(e)</w:t>
      </w:r>
      <w:r>
        <w:rPr>
          <w:rFonts w:ascii="Times New Roman;serif" w:hAnsi="Times New Roman;serif"/>
          <w:b/>
          <w:color w:val="000000"/>
          <w:sz w:val="20"/>
        </w:rPr>
        <w:t>Severability of Provisions.</w:t>
      </w:r>
      <w:r>
        <w:rPr>
          <w:color w:val="000000"/>
        </w:rPr>
        <w:t xml:space="preserve"> </w:t>
      </w:r>
      <w:r>
        <w:rPr>
          <w:rFonts w:ascii="Times New Roman;serif" w:hAnsi="Times New Roman;serif"/>
          <w:b w:val="false"/>
          <w:color w:val="000000"/>
          <w:sz w:val="20"/>
        </w:rPr>
        <w:t>Each provision of this Amendment is severable from every other provision in determining the enforceability of any provision.</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color w:val="000000"/>
          <w:sz w:val="20"/>
        </w:rPr>
        <w:t>Counterparts.</w:t>
      </w:r>
      <w:r>
        <w:rPr>
          <w:color w:val="000000"/>
        </w:rPr>
        <w:t xml:space="preserve"> </w:t>
      </w:r>
      <w:r>
        <w:rPr>
          <w:rFonts w:ascii="Times New Roman;serif" w:hAnsi="Times New Roman;serif"/>
          <w:b w:val="false"/>
          <w:color w:val="000000"/>
          <w:sz w:val="20"/>
        </w:rPr>
        <w:t>This Amendment may be executed in any number of counterparts and by different parties on separate counterparts, each of which, when executed and delivered, is an original, and all taken together, constitute one Amendment.</w:t>
      </w:r>
      <w:r>
        <w:rPr>
          <w:color w:val="000000"/>
        </w:rPr>
        <w:t xml:space="preserve"> </w:t>
      </w:r>
      <w:r>
        <w:rPr>
          <w:rFonts w:ascii="Times New Roman;serif" w:hAnsi="Times New Roman;serif"/>
          <w:b w:val="false"/>
          <w:color w:val="000000"/>
          <w:sz w:val="20"/>
        </w:rPr>
        <w:t>Delivery of an executed counterpart of a signature page of this Amendment by facsimile, portable document format (.pdf) or other electronic transmission will be as effective as delivery of a manually executed counterpart hereof.</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rFonts w:ascii="Times New Roman;serif" w:hAnsi="Times New Roman;serif"/>
          <w:b/>
          <w:color w:val="000000"/>
          <w:sz w:val="20"/>
        </w:rPr>
        <w:t>Transaction Documents.</w:t>
      </w:r>
      <w:r>
        <w:rPr>
          <w:color w:val="000000"/>
        </w:rPr>
        <w:t xml:space="preserve"> </w:t>
      </w:r>
      <w:r>
        <w:rPr>
          <w:rFonts w:ascii="Times New Roman;serif" w:hAnsi="Times New Roman;serif"/>
          <w:b w:val="false"/>
          <w:color w:val="000000"/>
          <w:sz w:val="20"/>
        </w:rPr>
        <w:t>This Amendment and the documents related thereto shall constitute Transaction Documents.</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rFonts w:ascii="Times New Roman;serif" w:hAnsi="Times New Roman;serif"/>
          <w:b/>
          <w:color w:val="000000"/>
          <w:sz w:val="20"/>
        </w:rPr>
        <w:t>Electronic</w:t>
      </w:r>
      <w:r>
        <w:rPr>
          <w:color w:val="000000"/>
        </w:rPr>
        <w:t xml:space="preserve"> </w:t>
      </w:r>
      <w:r>
        <w:rPr>
          <w:rFonts w:ascii="Times New Roman;serif" w:hAnsi="Times New Roman;serif"/>
          <w:b/>
          <w:color w:val="000000"/>
          <w:sz w:val="20"/>
        </w:rPr>
        <w:t>Execution</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Certain</w:t>
      </w:r>
      <w:r>
        <w:rPr>
          <w:color w:val="000000"/>
        </w:rPr>
        <w:t xml:space="preserve"> </w:t>
      </w:r>
      <w:r>
        <w:rPr>
          <w:rFonts w:ascii="Times New Roman;serif" w:hAnsi="Times New Roman;serif"/>
          <w:b/>
          <w:color w:val="000000"/>
          <w:sz w:val="20"/>
        </w:rPr>
        <w:t>Other</w:t>
      </w:r>
      <w:r>
        <w:rPr>
          <w:color w:val="000000"/>
        </w:rPr>
        <w:t xml:space="preserve"> </w:t>
      </w:r>
      <w:r>
        <w:rPr>
          <w:rFonts w:ascii="Times New Roman;serif" w:hAnsi="Times New Roman;serif"/>
          <w:b/>
          <w:color w:val="000000"/>
          <w:sz w:val="20"/>
        </w:rPr>
        <w:t>Documents.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words</w:t>
      </w:r>
      <w:r>
        <w:rPr>
          <w:color w:val="000000"/>
        </w:rPr>
        <w:t xml:space="preserve"> “</w:t>
      </w:r>
      <w:r>
        <w:rPr>
          <w:rFonts w:ascii="Times New Roman;serif" w:hAnsi="Times New Roman;serif"/>
          <w:b w:val="false"/>
          <w:color w:val="000000"/>
          <w:sz w:val="20"/>
        </w:rPr>
        <w:t>execution,”</w:t>
      </w:r>
      <w:r>
        <w:rPr>
          <w:color w:val="000000"/>
        </w:rPr>
        <w:t xml:space="preserve"> “</w:t>
      </w:r>
      <w:r>
        <w:rPr>
          <w:rFonts w:ascii="Times New Roman;serif" w:hAnsi="Times New Roman;serif"/>
          <w:b w:val="false"/>
          <w:color w:val="000000"/>
          <w:sz w:val="20"/>
        </w:rPr>
        <w:t>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Investor Representative, or the keeping of records in electronic form, each of which shall be of the same legal effect, validity or enforceability as a manually executed signature or the use of a paper-based recordkeeping system, as the case may be, to the extent and as provided</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applicable law, including</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Federal</w:t>
      </w:r>
      <w:r>
        <w:rPr>
          <w:color w:val="000000"/>
        </w:rPr>
        <w:t xml:space="preserve"> </w:t>
      </w:r>
      <w:r>
        <w:rPr>
          <w:rFonts w:ascii="Times New Roman;serif" w:hAnsi="Times New Roman;serif"/>
          <w:b w:val="false"/>
          <w:color w:val="000000"/>
          <w:sz w:val="20"/>
        </w:rPr>
        <w:t>Electronic Signatures in</w:t>
      </w:r>
      <w:r>
        <w:rPr>
          <w:color w:val="000000"/>
        </w:rPr>
        <w:t xml:space="preserve"> </w:t>
      </w:r>
      <w:r>
        <w:rPr>
          <w:rFonts w:ascii="Times New Roman;serif" w:hAnsi="Times New Roman;serif"/>
          <w:b w:val="false"/>
          <w:color w:val="000000"/>
          <w:sz w:val="20"/>
        </w:rPr>
        <w:t>Global and</w:t>
      </w:r>
      <w:r>
        <w:rPr>
          <w:color w:val="000000"/>
        </w:rPr>
        <w:t xml:space="preserve"> </w:t>
      </w:r>
      <w:r>
        <w:rPr>
          <w:rFonts w:ascii="Times New Roman;serif" w:hAnsi="Times New Roman;serif"/>
          <w:b w:val="false"/>
          <w:color w:val="000000"/>
          <w:sz w:val="20"/>
        </w:rPr>
        <w:t>National Commerce Act, the New York State Electronic Signatures and Records Act, or any other similar state laws based on the Uniform Electronic Transactions Act.</w:t>
      </w:r>
    </w:p>
    <w:p>
      <w:pPr>
        <w:pStyle w:val="TextBody"/>
        <w:bidi w:val="0"/>
        <w:spacing w:before="12" w:after="283"/>
        <w:jc w:val="left"/>
        <w:rPr/>
      </w:pPr>
      <w:r>
        <w:rPr/>
      </w:r>
    </w:p>
    <w:p>
      <w:pPr>
        <w:pStyle w:val="TextBody"/>
        <w:bidi w:val="0"/>
        <w:spacing w:lineRule="auto" w:line="288" w:before="0" w:after="0"/>
        <w:jc w:val="center"/>
        <w:rPr/>
      </w:pPr>
      <w:r>
        <w:rPr>
          <w:rFonts w:ascii="Times New Roman;serif" w:hAnsi="Times New Roman;serif"/>
          <w:b w:val="false"/>
          <w:i/>
          <w:color w:val="000000"/>
          <w:sz w:val="20"/>
        </w:rPr>
        <w:t>[Balance</w:t>
      </w:r>
      <w:r>
        <w:rPr>
          <w:color w:val="000000"/>
        </w:rPr>
        <w:t xml:space="preserve"> </w:t>
      </w:r>
      <w:r>
        <w:rPr>
          <w:rFonts w:ascii="Times New Roman;serif" w:hAnsi="Times New Roman;serif"/>
          <w:b w:val="false"/>
          <w:i/>
          <w:color w:val="000000"/>
          <w:sz w:val="20"/>
        </w:rPr>
        <w:t>of</w:t>
      </w:r>
      <w:r>
        <w:rPr>
          <w:color w:val="000000"/>
        </w:rPr>
        <w:t xml:space="preserve"> </w:t>
      </w:r>
      <w:r>
        <w:rPr>
          <w:rFonts w:ascii="Times New Roman;serif" w:hAnsi="Times New Roman;serif"/>
          <w:b w:val="false"/>
          <w:i/>
          <w:color w:val="000000"/>
          <w:sz w:val="20"/>
        </w:rPr>
        <w:t>Page</w:t>
      </w:r>
      <w:r>
        <w:rPr>
          <w:color w:val="000000"/>
        </w:rPr>
        <w:t xml:space="preserve"> </w:t>
      </w:r>
      <w:r>
        <w:rPr>
          <w:rFonts w:ascii="Times New Roman;serif" w:hAnsi="Times New Roman;serif"/>
          <w:b w:val="false"/>
          <w:i/>
          <w:color w:val="000000"/>
          <w:sz w:val="20"/>
        </w:rPr>
        <w:t>Intentionally</w:t>
      </w:r>
      <w:r>
        <w:rPr>
          <w:color w:val="000000"/>
        </w:rPr>
        <w:t xml:space="preserve"> </w:t>
      </w:r>
      <w:r>
        <w:rPr>
          <w:rFonts w:ascii="Times New Roman;serif" w:hAnsi="Times New Roman;serif"/>
          <w:b w:val="false"/>
          <w:i/>
          <w:color w:val="000000"/>
          <w:sz w:val="20"/>
        </w:rPr>
        <w:t>Left</w:t>
      </w:r>
      <w:r>
        <w:rPr>
          <w:color w:val="000000"/>
        </w:rPr>
        <w:t xml:space="preserve"> </w:t>
      </w:r>
      <w:r>
        <w:rPr>
          <w:rFonts w:ascii="Times New Roman;serif" w:hAnsi="Times New Roman;serif"/>
          <w:b w:val="false"/>
          <w:i/>
          <w:color w:val="000000"/>
          <w:sz w:val="20"/>
        </w:rPr>
        <w:t>Blank;</w:t>
      </w:r>
      <w:r>
        <w:rPr>
          <w:color w:val="000000"/>
        </w:rPr>
        <w:t xml:space="preserve"> </w:t>
      </w:r>
      <w:r>
        <w:rPr>
          <w:rFonts w:ascii="Times New Roman;serif" w:hAnsi="Times New Roman;serif"/>
          <w:b w:val="false"/>
          <w:i/>
          <w:color w:val="000000"/>
          <w:sz w:val="20"/>
        </w:rPr>
        <w:t>Signature</w:t>
      </w:r>
      <w:r>
        <w:rPr>
          <w:color w:val="000000"/>
        </w:rPr>
        <w:t xml:space="preserve"> </w:t>
      </w:r>
      <w:r>
        <w:rPr>
          <w:rFonts w:ascii="Times New Roman;serif" w:hAnsi="Times New Roman;serif"/>
          <w:b w:val="false"/>
          <w:i/>
          <w:color w:val="000000"/>
          <w:sz w:val="20"/>
        </w:rPr>
        <w:t>Pages</w:t>
      </w:r>
      <w:r>
        <w:rPr>
          <w:color w:val="000000"/>
        </w:rPr>
        <w:t xml:space="preserve"> </w:t>
      </w:r>
      <w:r>
        <w:rPr>
          <w:rFonts w:ascii="Times New Roman;serif" w:hAnsi="Times New Roman;serif"/>
          <w:b w:val="false"/>
          <w:i/>
          <w:color w:val="000000"/>
          <w:sz w:val="20"/>
        </w:rPr>
        <w:t>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89280"/>
                <wp:effectExtent l="0" t="0" r="0" b="0"/>
                <wp:wrapNone/>
                <wp:docPr id="120" name="Frame120"/>
                <a:graphic xmlns:a="http://schemas.openxmlformats.org/drawingml/2006/main">
                  <a:graphicData uri="http://schemas.microsoft.com/office/word/2010/wordprocessingShape">
                    <wps:wsp>
                      <wps:cNvSpPr txBox="1"/>
                      <wps:spPr>
                        <a:xfrm>
                          <a:off x="0" y="0"/>
                          <a:ext cx="6480175" cy="5892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WITNESS</w:t>
      </w:r>
      <w:r>
        <w:rPr>
          <w:color w:val="000000"/>
        </w:rPr>
        <w:t xml:space="preserve"> </w:t>
      </w:r>
      <w:r>
        <w:rPr>
          <w:rFonts w:ascii="Times New Roman;serif" w:hAnsi="Times New Roman;serif"/>
          <w:b w:val="false"/>
          <w:color w:val="000000"/>
          <w:sz w:val="20"/>
        </w:rPr>
        <w:t>WHEREOF,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parties</w:t>
      </w:r>
      <w:r>
        <w:rPr>
          <w:color w:val="000000"/>
        </w:rPr>
        <w:t xml:space="preserve"> </w:t>
      </w:r>
      <w:r>
        <w:rPr>
          <w:rFonts w:ascii="Times New Roman;serif" w:hAnsi="Times New Roman;serif"/>
          <w:b w:val="false"/>
          <w:color w:val="000000"/>
          <w:sz w:val="20"/>
        </w:rPr>
        <w:t>hereto</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duly</w:t>
      </w:r>
      <w:r>
        <w:rPr>
          <w:color w:val="000000"/>
        </w:rPr>
        <w:t xml:space="preserve"> </w:t>
      </w:r>
      <w:r>
        <w:rPr>
          <w:rFonts w:ascii="Times New Roman;serif" w:hAnsi="Times New Roman;serif"/>
          <w:b w:val="false"/>
          <w:color w:val="000000"/>
          <w:sz w:val="20"/>
        </w:rPr>
        <w:t>executed</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Amendment,</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17"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BORROWER:</w:t>
      </w:r>
      <w:r>
        <w:rPr>
          <w:color w:val="000000"/>
        </w:rPr>
        <w:t>    </w:t>
      </w:r>
      <w:r>
        <w:rPr>
          <w:rFonts w:ascii="Times New Roman;serif" w:hAnsi="Times New Roman;serif"/>
          <w:b w:val="false"/>
          <w:color w:val="000000"/>
          <w:sz w:val="22"/>
        </w:rPr>
        <w:t>RHYTHM</w:t>
      </w:r>
      <w:r>
        <w:rPr>
          <w:color w:val="000000"/>
        </w:rPr>
        <w:t xml:space="preserve"> </w:t>
      </w:r>
      <w:r>
        <w:rPr>
          <w:rFonts w:ascii="Times New Roman;serif" w:hAnsi="Times New Roman;serif"/>
          <w:b w:val="false"/>
          <w:color w:val="000000"/>
          <w:sz w:val="22"/>
        </w:rPr>
        <w:t>PHARMACEUTICALS,</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25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Hunter C. Smith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Hunter C. Smith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94995"/>
                <wp:effectExtent l="0" t="0" r="0" b="0"/>
                <wp:wrapNone/>
                <wp:docPr id="121" name="Frame1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r>
                                    <w:br w:type="page"/>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 w:after="283"/>
        <w:jc w:val="left"/>
        <w:rPr/>
      </w:pPr>
      <w:r>
        <w:rPr>
          <w:rFonts w:ascii="Times New Roman;serif" w:hAnsi="Times New Roman;serif"/>
          <w:b w:val="false"/>
          <w:color w:val="000000"/>
          <w:sz w:val="24"/>
        </w:rPr>
        <w:t>Acknowledged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agreed:</w:t>
      </w:r>
    </w:p>
    <w:p>
      <w:pPr>
        <w:pStyle w:val="TextBody"/>
        <w:bidi w:val="0"/>
        <w:spacing w:lineRule="auto" w:line="288" w:before="182" w:after="283"/>
        <w:jc w:val="left"/>
        <w:rPr/>
      </w:pPr>
      <w:r>
        <w:rPr>
          <w:rFonts w:ascii="Times New Roman;serif" w:hAnsi="Times New Roman;serif"/>
          <w:b w:val="false"/>
          <w:color w:val="000000"/>
          <w:sz w:val="22"/>
        </w:rPr>
        <w:t>INVESTOR</w:t>
      </w:r>
      <w:r>
        <w:rPr>
          <w:color w:val="000000"/>
        </w:rPr>
        <w:t xml:space="preserve"> </w:t>
      </w:r>
      <w:r>
        <w:rPr>
          <w:rFonts w:ascii="Times New Roman;serif" w:hAnsi="Times New Roman;serif"/>
          <w:b w:val="false"/>
          <w:color w:val="000000"/>
          <w:sz w:val="22"/>
        </w:rPr>
        <w:t>REPRESENTATIVE:</w:t>
      </w:r>
      <w:r>
        <w:rPr>
          <w:color w:val="000000"/>
        </w:rPr>
        <w:t>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RHYTHM</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LLC</w:t>
      </w:r>
    </w:p>
    <w:p>
      <w:pPr>
        <w:pStyle w:val="TextBody"/>
        <w:bidi w:val="0"/>
        <w:spacing w:before="0" w:after="0"/>
        <w:jc w:val="left"/>
        <w:rPr/>
      </w:pPr>
      <w:r>
        <w:rPr/>
      </w:r>
    </w:p>
    <w:p>
      <w:pPr>
        <w:pStyle w:val="TextBody"/>
        <w:bidi w:val="0"/>
        <w:spacing w:before="25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Authorized</w:t>
      </w:r>
      <w:r>
        <w:rPr>
          <w:color w:val="000000"/>
        </w:rPr>
        <w:t xml:space="preserve"> </w:t>
      </w:r>
      <w:r>
        <w:rPr>
          <w:rFonts w:ascii="Times New Roman;serif" w:hAnsi="Times New Roman;serif"/>
          <w:b w:val="false"/>
          <w:color w:val="000000"/>
          <w:sz w:val="22"/>
        </w:rPr>
        <w:t>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94995"/>
                <wp:effectExtent l="0" t="0" r="0" b="0"/>
                <wp:wrapNone/>
                <wp:docPr id="122" name="Frame12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r>
                                    <w:br w:type="page"/>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52" w:before="77" w:after="283"/>
        <w:jc w:val="left"/>
        <w:rPr/>
      </w:pPr>
      <w:r>
        <w:rPr>
          <w:rFonts w:ascii="Times New Roman;serif" w:hAnsi="Times New Roman;serif"/>
          <w:b w:val="false"/>
          <w:color w:val="000000"/>
          <w:sz w:val="22"/>
        </w:rPr>
        <w:t>INVESTORS:</w:t>
      </w:r>
      <w:r>
        <w:rPr>
          <w:color w:val="000000"/>
        </w:rPr>
        <w:t>    </w:t>
      </w:r>
      <w:r>
        <w:rPr>
          <w:rFonts w:ascii="Times New Roman;serif" w:hAnsi="Times New Roman;serif"/>
          <w:b w:val="false"/>
          <w:color w:val="000000"/>
          <w:sz w:val="22"/>
        </w:rPr>
        <w:t>HEALTHCARE</w:t>
      </w:r>
      <w:r>
        <w:rPr>
          <w:color w:val="000000"/>
        </w:rPr>
        <w:t xml:space="preserve"> </w:t>
      </w:r>
      <w:r>
        <w:rPr>
          <w:rFonts w:ascii="Times New Roman;serif" w:hAnsi="Times New Roman;serif"/>
          <w:b w:val="false"/>
          <w:color w:val="000000"/>
          <w:sz w:val="22"/>
        </w:rPr>
        <w:t>ROYALTY</w:t>
      </w:r>
      <w:r>
        <w:rPr>
          <w:color w:val="000000"/>
        </w:rPr>
        <w:t xml:space="preserve"> </w:t>
      </w:r>
      <w:r>
        <w:rPr>
          <w:rFonts w:ascii="Times New Roman;serif" w:hAnsi="Times New Roman;serif"/>
          <w:b w:val="false"/>
          <w:color w:val="000000"/>
          <w:sz w:val="22"/>
        </w:rPr>
        <w:t>PARTNERS</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HealthCare</w:t>
      </w:r>
      <w:r>
        <w:rPr>
          <w:color w:val="000000"/>
        </w:rPr>
        <w:t xml:space="preserve"> </w:t>
      </w:r>
      <w:r>
        <w:rPr>
          <w:rFonts w:ascii="Times New Roman;serif" w:hAnsi="Times New Roman;serif"/>
          <w:b w:val="false"/>
          <w:color w:val="000000"/>
          <w:sz w:val="22"/>
        </w:rPr>
        <w:t>Royalty</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Clarke B. Futch</w:t>
      </w:r>
    </w:p>
    <w:p>
      <w:pPr>
        <w:pStyle w:val="TextBody"/>
        <w:bidi w:val="0"/>
        <w:spacing w:lineRule="auto" w:line="288" w:before="0" w:after="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HCRX</w:t>
      </w:r>
      <w:r>
        <w:rPr>
          <w:color w:val="000000"/>
        </w:rPr>
        <w:t xml:space="preserve"> </w:t>
      </w:r>
      <w:r>
        <w:rPr>
          <w:rFonts w:ascii="Times New Roman;serif" w:hAnsi="Times New Roman;serif"/>
          <w:b w:val="false"/>
          <w:color w:val="000000"/>
          <w:sz w:val="22"/>
        </w:rPr>
        <w:t>INVESTMENTS</w:t>
      </w:r>
      <w:r>
        <w:rPr>
          <w:color w:val="000000"/>
        </w:rPr>
        <w:t xml:space="preserve"> </w:t>
      </w:r>
      <w:r>
        <w:rPr>
          <w:rFonts w:ascii="Times New Roman;serif" w:hAnsi="Times New Roman;serif"/>
          <w:b w:val="false"/>
          <w:color w:val="000000"/>
          <w:sz w:val="22"/>
        </w:rPr>
        <w:t>HOLDCO,</w:t>
      </w:r>
      <w:r>
        <w:rPr>
          <w:color w:val="000000"/>
        </w:rPr>
        <w:t xml:space="preserve"> </w:t>
      </w:r>
      <w:r>
        <w:rPr>
          <w:rFonts w:ascii="Times New Roman;serif" w:hAnsi="Times New Roman;serif"/>
          <w:b w:val="false"/>
          <w:color w:val="000000"/>
          <w:sz w:val="22"/>
        </w:rPr>
        <w:t>L.P.,</w:t>
      </w:r>
    </w:p>
    <w:p>
      <w:pPr>
        <w:pStyle w:val="TextBody"/>
        <w:bidi w:val="0"/>
        <w:spacing w:lineRule="auto" w:line="288" w:before="1"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HCRX</w:t>
      </w:r>
      <w:r>
        <w:rPr>
          <w:color w:val="000000"/>
        </w:rPr>
        <w:t xml:space="preserve"> </w:t>
      </w:r>
      <w:r>
        <w:rPr>
          <w:rFonts w:ascii="Times New Roman;serif" w:hAnsi="Times New Roman;serif"/>
          <w:b w:val="false"/>
          <w:color w:val="000000"/>
          <w:sz w:val="22"/>
        </w:rPr>
        <w:t>Master</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252" w:after="283"/>
        <w:jc w:val="left"/>
        <w:rPr/>
      </w:pPr>
      <w:r>
        <w:rPr/>
      </w:r>
    </w:p>
    <w:p>
      <w:pPr>
        <w:pStyle w:val="TextBody"/>
        <w:bidi w:val="0"/>
        <w:spacing w:lineRule="atLeast" w:line="252" w:before="0" w:after="0"/>
        <w:jc w:val="left"/>
        <w:rPr/>
      </w:pPr>
      <w:r>
        <w:rPr>
          <w:rFonts w:ascii="Times New Roman;serif" w:hAnsi="Times New Roman;serif"/>
          <w:b w:val="false"/>
          <w:color w:val="000000"/>
          <w:sz w:val="22"/>
        </w:rPr>
        <w:t>HCRP</w:t>
      </w:r>
      <w:r>
        <w:rPr>
          <w:color w:val="000000"/>
        </w:rPr>
        <w:t xml:space="preserve"> </w:t>
      </w:r>
      <w:r>
        <w:rPr>
          <w:rFonts w:ascii="Times New Roman;serif" w:hAnsi="Times New Roman;serif"/>
          <w:b w:val="false"/>
          <w:color w:val="000000"/>
          <w:sz w:val="22"/>
        </w:rPr>
        <w:t>OVERFLOW</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HCRP</w:t>
      </w:r>
      <w:r>
        <w:rPr>
          <w:color w:val="000000"/>
        </w:rPr>
        <w:t xml:space="preserve"> </w:t>
      </w:r>
      <w:r>
        <w:rPr>
          <w:rFonts w:ascii="Times New Roman;serif" w:hAnsi="Times New Roman;serif"/>
          <w:b w:val="false"/>
          <w:color w:val="000000"/>
          <w:sz w:val="22"/>
        </w:rPr>
        <w:t>Overflow</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tLeast" w:line="251" w:before="0" w:after="0"/>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tLeast" w:line="252" w:before="0" w:after="0"/>
        <w:jc w:val="left"/>
        <w:rPr/>
      </w:pP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CANARY</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Canary</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w:t>
      </w:r>
      <w:r>
        <w:rPr>
          <w:rFonts w:ascii="Times New Roman;serif" w:hAnsi="Times New Roman;serif"/>
          <w:b w:val="false"/>
          <w:color w:val="000000"/>
          <w:sz w:val="22"/>
        </w:rPr>
        <w:t>Clarke B. Futch</w:t>
      </w:r>
    </w:p>
    <w:p>
      <w:pPr>
        <w:pStyle w:val="TextBody"/>
        <w:bidi w:val="0"/>
        <w:spacing w:lineRule="auto" w:line="288" w:before="0" w:after="0"/>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94995"/>
                <wp:effectExtent l="0" t="0" r="0" b="0"/>
                <wp:wrapNone/>
                <wp:docPr id="123" name="Frame1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r>
                                    <w:br w:type="page"/>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53" w:before="29" w:after="283"/>
        <w:jc w:val="left"/>
        <w:rPr/>
      </w:pP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MOLAG</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3"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Molag</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 partner</w:t>
      </w:r>
    </w:p>
    <w:p>
      <w:pPr>
        <w:pStyle w:val="TextBody"/>
        <w:bidi w:val="0"/>
        <w:spacing w:before="25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94995"/>
                <wp:effectExtent l="0" t="0" r="0" b="0"/>
                <wp:wrapNone/>
                <wp:docPr id="124" name="Frame1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560" w:type="dxa"/>
                        <w:jc w:val="left"/>
                        <w:tblInd w:w="0" w:type="dxa"/>
                        <w:tblLayout w:type="fixed"/>
                        <w:tblCellMar>
                          <w:top w:w="28" w:type="dxa"/>
                          <w:left w:w="28" w:type="dxa"/>
                          <w:bottom w:w="28" w:type="dxa"/>
                          <w:right w:w="28" w:type="dxa"/>
                        </w:tblCellMar>
                      </w:tblPr>
                      <w:tblGrid>
                        <w:gridCol w:w="1460"/>
                        <w:gridCol w:w="1282"/>
                        <w:gridCol w:w="1818"/>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First</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 w:after="283"/>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0"/>
        </w:rPr>
      </w:pPr>
      <w:r>
        <w:rPr>
          <w:rFonts w:ascii="Times New Roman;serif" w:hAnsi="Times New Roman;serif"/>
          <w:b/>
          <w:i/>
          <w:color w:val="000000"/>
          <w:sz w:val="20"/>
        </w:rPr>
        <w:t>Execution Version</w:t>
      </w:r>
    </w:p>
    <w:p>
      <w:pPr>
        <w:pStyle w:val="TextBody"/>
        <w:bidi w:val="0"/>
        <w:spacing w:before="10" w:after="283"/>
        <w:jc w:val="left"/>
        <w:rPr/>
      </w:pPr>
      <w:r>
        <w:rPr/>
      </w:r>
    </w:p>
    <w:p>
      <w:pPr>
        <w:pStyle w:val="TextBody"/>
        <w:bidi w:val="0"/>
        <w:spacing w:lineRule="auto" w:line="288" w:before="1" w:after="283"/>
        <w:jc w:val="center"/>
        <w:rPr/>
      </w:pPr>
      <w:r>
        <w:rPr>
          <w:rFonts w:ascii="Times New Roman;serif" w:hAnsi="Times New Roman;serif"/>
          <w:b/>
          <w:color w:val="000000"/>
          <w:sz w:val="20"/>
        </w:rPr>
        <w:t>SECOND</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TO</w:t>
      </w:r>
      <w:r>
        <w:rPr>
          <w:color w:val="000000"/>
        </w:rPr>
        <w:t xml:space="preserve"> </w:t>
      </w: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FINANCING</w:t>
      </w:r>
      <w:r>
        <w:rPr>
          <w:color w:val="000000"/>
        </w:rPr>
        <w:t xml:space="preserve"> </w:t>
      </w:r>
      <w:r>
        <w:rPr>
          <w:rFonts w:ascii="Times New Roman;serif" w:hAnsi="Times New Roman;serif"/>
          <w:b/>
          <w:color w:val="000000"/>
          <w:sz w:val="20"/>
        </w:rPr>
        <w:t>AGREEMENT</w:t>
      </w:r>
    </w:p>
    <w:p>
      <w:pPr>
        <w:pStyle w:val="TextBody"/>
        <w:bidi w:val="0"/>
        <w:spacing w:before="8" w:after="283"/>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THIS</w:t>
      </w:r>
      <w:r>
        <w:rPr>
          <w:color w:val="000000"/>
        </w:rPr>
        <w:t xml:space="preserve"> </w:t>
      </w:r>
      <w:r>
        <w:rPr>
          <w:rFonts w:ascii="Times New Roman;serif" w:hAnsi="Times New Roman;serif"/>
          <w:b/>
          <w:color w:val="000000"/>
          <w:sz w:val="20"/>
        </w:rPr>
        <w:t>SECOND</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TO</w:t>
      </w:r>
      <w:r>
        <w:rPr>
          <w:color w:val="000000"/>
        </w:rPr>
        <w:t xml:space="preserve"> </w:t>
      </w:r>
      <w:r>
        <w:rPr>
          <w:rFonts w:ascii="Times New Roman;serif" w:hAnsi="Times New Roman;serif"/>
          <w:b/>
          <w:color w:val="000000"/>
          <w:sz w:val="20"/>
        </w:rPr>
        <w:t>REVENUE</w:t>
      </w:r>
      <w:r>
        <w:rPr>
          <w:color w:val="000000"/>
        </w:rPr>
        <w:t xml:space="preserve"> </w:t>
      </w: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FINANCING</w:t>
      </w:r>
      <w:r>
        <w:rPr>
          <w:color w:val="000000"/>
        </w:rPr>
        <w:t xml:space="preserve"> </w:t>
      </w:r>
      <w:r>
        <w:rPr>
          <w:rFonts w:ascii="Times New Roman;serif" w:hAnsi="Times New Roman;serif"/>
          <w:b/>
          <w:color w:val="000000"/>
          <w:sz w:val="20"/>
        </w:rPr>
        <w:t>AGREEMENT</w:t>
      </w:r>
      <w:r>
        <w:rPr>
          <w:color w:val="000000"/>
        </w:rPr>
        <w:t xml:space="preserve"> </w:t>
      </w:r>
      <w:r>
        <w:rPr>
          <w:rFonts w:ascii="Times New Roman;serif" w:hAnsi="Times New Roman;serif"/>
          <w:b w:val="false"/>
          <w:color w:val="000000"/>
          <w:sz w:val="20"/>
        </w:rPr>
        <w:t xml:space="preserve">(this </w:t>
      </w:r>
      <w:r>
        <w:rPr>
          <w:color w:val="000000"/>
        </w:rPr>
        <w:t>“</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dated as of</w:t>
      </w:r>
      <w:r>
        <w:rPr>
          <w:color w:val="000000"/>
        </w:rPr>
        <w:t xml:space="preserve"> </w:t>
      </w:r>
      <w:r>
        <w:rPr>
          <w:rFonts w:ascii="Times New Roman;serif" w:hAnsi="Times New Roman;serif"/>
          <w:b w:val="false"/>
          <w:color w:val="000000"/>
          <w:sz w:val="20"/>
        </w:rPr>
        <w:t>June 29, 2026 (the “</w:t>
      </w:r>
      <w:r>
        <w:rPr>
          <w:rFonts w:ascii="Times New Roman;serif" w:hAnsi="Times New Roman;serif"/>
          <w:b/>
          <w:color w:val="000000"/>
          <w:sz w:val="20"/>
        </w:rPr>
        <w:t>Amendment Effective Date</w:t>
      </w:r>
      <w:r>
        <w:rPr>
          <w:color w:val="000000"/>
        </w:rPr>
        <w:t>”</w:t>
      </w:r>
      <w:r>
        <w:rPr>
          <w:rFonts w:ascii="Times New Roman;serif" w:hAnsi="Times New Roman;serif"/>
          <w:b w:val="false"/>
          <w:color w:val="000000"/>
          <w:sz w:val="20"/>
        </w:rPr>
        <w:t>), is made among RHYTHM PHARMACEUTICALS,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HCR RHYTHM SPV, LLC, as administrative agent (in such capacity, “</w:t>
      </w:r>
      <w:r>
        <w:rPr>
          <w:rFonts w:ascii="Times New Roman;serif" w:hAnsi="Times New Roman;serif"/>
          <w:b/>
          <w:color w:val="000000"/>
          <w:sz w:val="20"/>
        </w:rPr>
        <w:t>Investor Representative</w:t>
      </w:r>
      <w:r>
        <w:rPr>
          <w:color w:val="000000"/>
        </w:rPr>
        <w:t>”</w:t>
      </w:r>
      <w:r>
        <w:rPr>
          <w:rFonts w:ascii="Times New Roman;serif" w:hAnsi="Times New Roman;serif"/>
          <w:b w:val="false"/>
          <w:color w:val="000000"/>
          <w:sz w:val="20"/>
        </w:rPr>
        <w:t>) and the Investors signatory hereto.</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Company, the Investors and Investor Representatives are parties to a Revenue Interest Financing</w:t>
      </w:r>
      <w:r>
        <w:rPr>
          <w:color w:val="000000"/>
        </w:rPr>
        <w:t xml:space="preserve"> </w:t>
      </w:r>
      <w:r>
        <w:rPr>
          <w:rFonts w:ascii="Times New Roman;serif" w:hAnsi="Times New Roman;serif"/>
          <w:b w:val="false"/>
          <w:color w:val="000000"/>
          <w:sz w:val="20"/>
        </w:rPr>
        <w:t>Agreement dated as of June 16, 2022 (as amended, restated or modified from time to time, the “Financing Agreement”).</w:t>
      </w:r>
      <w:r>
        <w:rPr>
          <w:color w:val="000000"/>
        </w:rPr>
        <w:t xml:space="preserve"> </w:t>
      </w:r>
      <w:r>
        <w:rPr>
          <w:rFonts w:ascii="Times New Roman;serif" w:hAnsi="Times New Roman;serif"/>
          <w:b w:val="false"/>
          <w:color w:val="000000"/>
          <w:sz w:val="20"/>
        </w:rPr>
        <w:t>Borrower has requested that the Investor Representative and the Investors agree to certain amendments to the Financing Agreement.</w:t>
      </w:r>
      <w:r>
        <w:rPr>
          <w:color w:val="000000"/>
        </w:rPr>
        <w:t xml:space="preserve"> </w:t>
      </w:r>
      <w:r>
        <w:rPr>
          <w:rFonts w:ascii="Times New Roman;serif" w:hAnsi="Times New Roman;serif"/>
          <w:b w:val="false"/>
          <w:color w:val="000000"/>
          <w:sz w:val="20"/>
        </w:rPr>
        <w:t>The Investor Representative and the Investors have agreed to such request, subject to the terms and conditions hereof.</w:t>
      </w:r>
    </w:p>
    <w:p>
      <w:pPr>
        <w:pStyle w:val="TextBody"/>
        <w:bidi w:val="0"/>
        <w:spacing w:lineRule="auto" w:line="240"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the parties hereto agree as follows:</w:t>
      </w:r>
    </w:p>
    <w:p>
      <w:pPr>
        <w:pStyle w:val="TextBody"/>
        <w:bidi w:val="0"/>
        <w:spacing w:before="0" w:after="240"/>
        <w:jc w:val="both"/>
        <w:rPr/>
      </w:pPr>
      <w:r>
        <w:rPr/>
      </w:r>
    </w:p>
    <w:p>
      <w:pPr>
        <w:pStyle w:val="TextBody"/>
        <w:bidi w:val="0"/>
        <w:spacing w:lineRule="auto" w:line="288" w:before="1" w:after="283"/>
        <w:jc w:val="both"/>
        <w:rPr/>
      </w:pPr>
      <w:r>
        <w:rPr>
          <w:rFonts w:ascii="Times New Roman;serif" w:hAnsi="Times New Roman;serif"/>
          <w:b/>
          <w:color w:val="000000"/>
          <w:sz w:val="20"/>
        </w:rPr>
        <w:t>SECTION</w:t>
      </w:r>
      <w:r>
        <w:rPr>
          <w:color w:val="000000"/>
        </w:rPr>
        <w:t xml:space="preserve"> </w:t>
      </w: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Definitions;</w:t>
      </w:r>
      <w:r>
        <w:rPr>
          <w:color w:val="000000"/>
        </w:rPr>
        <w:t xml:space="preserve"> </w:t>
      </w:r>
      <w:r>
        <w:rPr>
          <w:rFonts w:ascii="Times New Roman;serif" w:hAnsi="Times New Roman;serif"/>
          <w:b/>
          <w:color w:val="000000"/>
          <w:sz w:val="20"/>
        </w:rPr>
        <w:t>Interpretation.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(a)Terms Defined in Loan Agreement.</w:t>
      </w:r>
      <w:r>
        <w:rPr>
          <w:color w:val="000000"/>
        </w:rPr>
        <w:t xml:space="preserve"> </w:t>
      </w:r>
      <w:r>
        <w:rPr>
          <w:rFonts w:ascii="Times New Roman;serif" w:hAnsi="Times New Roman;serif"/>
          <w:b w:val="false"/>
          <w:color w:val="000000"/>
          <w:sz w:val="20"/>
        </w:rPr>
        <w:t>All capitalized terms used in this Amendment (including in the recitals hereof) and not otherwise defined herein shall have the meanings assigned to them in the Financing Agreement.</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(b)Interpretation.</w:t>
      </w:r>
      <w:r>
        <w:rPr>
          <w:color w:val="000000"/>
        </w:rPr>
        <w:t xml:space="preserve"> </w:t>
      </w:r>
      <w:r>
        <w:rPr>
          <w:rFonts w:ascii="Times New Roman;serif" w:hAnsi="Times New Roman;serif"/>
          <w:b w:val="false"/>
          <w:color w:val="000000"/>
          <w:sz w:val="20"/>
        </w:rPr>
        <w:t>The rules of interpretation set forth in Section 1.2 of the Financing Agreement</w:t>
      </w:r>
      <w:r>
        <w:rPr>
          <w:color w:val="000000"/>
        </w:rPr>
        <w:t xml:space="preserve"> </w:t>
      </w:r>
      <w:r>
        <w:rPr>
          <w:rFonts w:ascii="Times New Roman;serif" w:hAnsi="Times New Roman;serif"/>
          <w:b w:val="false"/>
          <w:color w:val="000000"/>
          <w:sz w:val="20"/>
        </w:rPr>
        <w:t>shall be applicable to this Amendment and are incorporated herein by this reference.</w:t>
      </w:r>
    </w:p>
    <w:p>
      <w:pPr>
        <w:pStyle w:val="TextBody"/>
        <w:bidi w:val="0"/>
        <w:spacing w:before="10" w:after="283"/>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2    Amendment to the Loan Agreement.</w:t>
      </w:r>
    </w:p>
    <w:p>
      <w:pPr>
        <w:pStyle w:val="TextBody"/>
        <w:bidi w:val="0"/>
        <w:spacing w:before="10" w:after="283"/>
        <w:jc w:val="left"/>
        <w:rPr/>
      </w:pPr>
      <w:r>
        <w:rPr/>
      </w:r>
    </w:p>
    <w:p>
      <w:pPr>
        <w:pStyle w:val="TextBody"/>
        <w:bidi w:val="0"/>
        <w:spacing w:lineRule="auto" w:line="288" w:before="8" w:after="283"/>
        <w:ind w:left="0" w:right="0" w:firstLine="720"/>
        <w:jc w:val="left"/>
        <w:rPr/>
      </w:pPr>
      <w:r>
        <w:rPr>
          <w:rFonts w:ascii="Times New Roman;serif" w:hAnsi="Times New Roman;serif"/>
          <w:b w:val="false"/>
          <w:color w:val="000000"/>
          <w:sz w:val="20"/>
        </w:rPr>
        <w:t>(a)Section</w:t>
      </w:r>
      <w:r>
        <w:rPr>
          <w:color w:val="000000"/>
        </w:rPr>
        <w:t xml:space="preserve"> </w:t>
      </w:r>
      <w:r>
        <w:rPr>
          <w:rFonts w:ascii="Times New Roman;serif" w:hAnsi="Times New Roman;serif"/>
          <w:b w:val="false"/>
          <w:color w:val="000000"/>
          <w:sz w:val="20"/>
        </w:rPr>
        <w:t>7.7(m)-(n)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Financing</w:t>
      </w:r>
      <w:r>
        <w:rPr>
          <w:color w:val="000000"/>
        </w:rPr>
        <w:t xml:space="preserve"> </w:t>
      </w:r>
      <w:r>
        <w:rPr>
          <w:rFonts w:ascii="Times New Roman;serif" w:hAnsi="Times New Roman;serif"/>
          <w:b w:val="false"/>
          <w:color w:val="000000"/>
          <w:sz w:val="20"/>
        </w:rPr>
        <w:t>Agreement</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hereby</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restated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its</w:t>
      </w:r>
      <w:r>
        <w:rPr>
          <w:color w:val="000000"/>
        </w:rPr>
        <w:t xml:space="preserve"> </w:t>
      </w:r>
      <w:r>
        <w:rPr>
          <w:rFonts w:ascii="Times New Roman;serif" w:hAnsi="Times New Roman;serif"/>
          <w:b w:val="false"/>
          <w:color w:val="000000"/>
          <w:sz w:val="20"/>
        </w:rPr>
        <w:t>entirety</w:t>
      </w:r>
      <w:r>
        <w:rPr>
          <w:color w:val="000000"/>
        </w:rPr>
        <w:t xml:space="preserve"> </w:t>
      </w:r>
      <w:r>
        <w:rPr>
          <w:rFonts w:ascii="Times New Roman;serif" w:hAnsi="Times New Roman;serif"/>
          <w:b w:val="false"/>
          <w:color w:val="000000"/>
          <w:sz w:val="20"/>
        </w:rPr>
        <w:t>(including by adding the new clause (o) below) as follows:</w:t>
      </w:r>
    </w:p>
    <w:p>
      <w:pPr>
        <w:pStyle w:val="TextBody"/>
        <w:bidi w:val="0"/>
        <w:spacing w:before="8" w:after="283"/>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 xml:space="preserve">(m) to the extent constituting Restricted Payments, the Company and its Subsidiaries may make payments of contingent liabilities in respect of any adjustment of purchase price, earn outs, deferred compensation and similar obligations of the Company and its Subsidiaries;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 prior to the Minimum Return Date, the Company and its Subsidiaries may make any other Restricted Payments in an aggregate amount not to exceed $1,000,000;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 so long as no Default or Event of Default has occurred or is continuing, the Company may make Restricted Payments in the form of cash dividends on the Company’s outstanding Series A Convertible Preferred Stock in accordance with the terms thereof pursuant to the Amended and Restated Certificate of Designations for the Series A Convertible Preferred Stock in an aggregate amount from and after June 30, 2026 not to exceed $21,000,000.”</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0"/>
        </w:rPr>
        <w:t>SECTION</w:t>
      </w:r>
      <w:r>
        <w:rPr>
          <w:color w:val="000000"/>
        </w:rPr>
        <w:t xml:space="preserve"> </w:t>
      </w:r>
      <w:r>
        <w:rPr>
          <w:rFonts w:ascii="Times New Roman;serif" w:hAnsi="Times New Roman;serif"/>
          <w:b/>
          <w:color w:val="000000"/>
          <w:sz w:val="20"/>
        </w:rPr>
        <w:t>3</w:t>
      </w:r>
      <w:r>
        <w:rPr>
          <w:color w:val="000000"/>
        </w:rPr>
        <w:t>    </w:t>
      </w:r>
      <w:r>
        <w:rPr>
          <w:rFonts w:ascii="Times New Roman;serif" w:hAnsi="Times New Roman;serif"/>
          <w:b/>
          <w:color w:val="000000"/>
          <w:sz w:val="20"/>
        </w:rPr>
        <w:t>Miscellaneous.</w:t>
      </w:r>
    </w:p>
    <w:p>
      <w:pPr>
        <w:pStyle w:val="TextBody"/>
        <w:bidi w:val="0"/>
        <w:spacing w:before="13" w:after="283"/>
        <w:jc w:val="left"/>
        <w:rPr/>
      </w:pPr>
      <w:r>
        <w:rPr/>
      </w:r>
    </w:p>
    <w:p>
      <w:pPr>
        <w:pStyle w:val="TextBody"/>
        <w:bidi w:val="0"/>
        <w:spacing w:lineRule="auto" w:line="273" w:before="0" w:after="0"/>
        <w:ind w:left="0" w:right="0" w:firstLine="720"/>
        <w:jc w:val="both"/>
        <w:rPr/>
      </w:pPr>
      <w:r>
        <w:rPr>
          <w:rFonts w:ascii="Times New Roman;serif" w:hAnsi="Times New Roman;serif"/>
          <w:b w:val="false"/>
          <w:color w:val="000000"/>
          <w:sz w:val="20"/>
        </w:rPr>
        <w:t>(a)</w:t>
      </w:r>
      <w:r>
        <w:rPr>
          <w:rFonts w:ascii="Times New Roman;serif" w:hAnsi="Times New Roman;serif"/>
          <w:b/>
          <w:color w:val="000000"/>
          <w:sz w:val="20"/>
        </w:rPr>
        <w:t>References Within Financing Agreement.</w:t>
      </w:r>
      <w:r>
        <w:rPr>
          <w:color w:val="000000"/>
        </w:rPr>
        <w:t xml:space="preserve"> </w:t>
      </w:r>
      <w:r>
        <w:rPr>
          <w:rFonts w:ascii="Times New Roman;serif" w:hAnsi="Times New Roman;serif"/>
          <w:b w:val="false"/>
          <w:color w:val="000000"/>
          <w:sz w:val="20"/>
        </w:rPr>
        <w:t>Each reference in the Financing Agreement to “this Agreement” and the words “hereof,” “herein,” “hereunder,” or words of like import, shall mean and be a reference</w:t>
      </w:r>
      <w:r>
        <w:rPr>
          <w:color w:val="000000"/>
        </w:rPr>
        <w:t xml:space="preserve"> </w:t>
      </w:r>
      <w:r>
        <w:rPr>
          <w:rFonts w:ascii="Times New Roman;serif" w:hAnsi="Times New Roman;serif"/>
          <w:b w:val="false"/>
          <w:color w:val="000000"/>
          <w:sz w:val="20"/>
        </w:rPr>
        <w:t>to the Financing Agreement as amended by this Amendment.</w:t>
      </w:r>
    </w:p>
    <w:p>
      <w:pPr>
        <w:pStyle w:val="TextBody"/>
        <w:bidi w:val="0"/>
        <w:spacing w:before="1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89280"/>
                <wp:effectExtent l="0" t="0" r="0" b="0"/>
                <wp:wrapNone/>
                <wp:docPr id="125" name="Frame125"/>
                <a:graphic xmlns:a="http://schemas.openxmlformats.org/drawingml/2006/main">
                  <a:graphicData uri="http://schemas.microsoft.com/office/word/2010/wordprocessingShape">
                    <wps:wsp>
                      <wps:cNvSpPr txBox="1"/>
                      <wps:spPr>
                        <a:xfrm>
                          <a:off x="0" y="0"/>
                          <a:ext cx="6480175" cy="5892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Expenses.</w:t>
      </w:r>
      <w:r>
        <w:rPr>
          <w:color w:val="000000"/>
        </w:rPr>
        <w:t xml:space="preserve"> </w:t>
      </w:r>
      <w:r>
        <w:rPr>
          <w:rFonts w:ascii="Times New Roman;serif" w:hAnsi="Times New Roman;serif"/>
          <w:b w:val="false"/>
          <w:color w:val="000000"/>
          <w:sz w:val="20"/>
        </w:rPr>
        <w:t>On or prior to the First Amendment Effective Date, the Company shall pay all reasonable and documented fees, charges and disbursements of counsel to the Investor Representative and all reasonable and documented due diligence expenses of the Investor Representative.</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color w:val="000000"/>
          <w:sz w:val="20"/>
        </w:rPr>
        <w:t>Binding Effect.</w:t>
      </w:r>
      <w:r>
        <w:rPr>
          <w:color w:val="000000"/>
        </w:rPr>
        <w:t xml:space="preserve"> </w:t>
      </w:r>
      <w:r>
        <w:rPr>
          <w:rFonts w:ascii="Times New Roman;serif" w:hAnsi="Times New Roman;serif"/>
          <w:b w:val="false"/>
          <w:color w:val="000000"/>
          <w:sz w:val="20"/>
        </w:rPr>
        <w:t>This Amendment binds and is for the benefit of the successors and permitted assigns of each party.</w:t>
      </w:r>
    </w:p>
    <w:p>
      <w:pPr>
        <w:pStyle w:val="TextBody"/>
        <w:bidi w:val="0"/>
        <w:spacing w:before="11" w:after="283"/>
        <w:jc w:val="left"/>
        <w:rPr/>
      </w:pPr>
      <w:r>
        <w:rPr/>
      </w:r>
    </w:p>
    <w:p>
      <w:pPr>
        <w:pStyle w:val="TextBody"/>
        <w:bidi w:val="0"/>
        <w:spacing w:lineRule="auto" w:line="288" w:before="20" w:after="283"/>
        <w:ind w:left="0" w:right="0" w:firstLine="720"/>
        <w:jc w:val="left"/>
        <w:rPr/>
      </w:pPr>
      <w:r>
        <w:rPr>
          <w:rFonts w:ascii="Times New Roman;serif" w:hAnsi="Times New Roman;serif"/>
          <w:b w:val="false"/>
          <w:color w:val="000000"/>
          <w:sz w:val="20"/>
        </w:rPr>
        <w:t>(d)</w:t>
      </w:r>
      <w:r>
        <w:rPr>
          <w:rFonts w:ascii="Times New Roman;serif" w:hAnsi="Times New Roman;serif"/>
          <w:b/>
          <w:color w:val="000000"/>
          <w:sz w:val="20"/>
        </w:rPr>
        <w:t>Governing</w:t>
      </w:r>
      <w:r>
        <w:rPr>
          <w:color w:val="000000"/>
        </w:rPr>
        <w:t xml:space="preserve"> </w:t>
      </w:r>
      <w:r>
        <w:rPr>
          <w:rFonts w:ascii="Times New Roman;serif" w:hAnsi="Times New Roman;serif"/>
          <w:b/>
          <w:color w:val="000000"/>
          <w:sz w:val="20"/>
        </w:rPr>
        <w:t>Law.</w:t>
      </w:r>
      <w:r>
        <w:rPr>
          <w:color w:val="000000"/>
        </w:rPr>
        <w:t xml:space="preserve"> </w:t>
      </w:r>
      <w:r>
        <w:rPr>
          <w:rFonts w:ascii="Times New Roman;serif" w:hAnsi="Times New Roman;serif"/>
          <w:b/>
          <w:color w:val="000000"/>
          <w:sz w:val="20"/>
        </w:rPr>
        <w:t>THIS</w:t>
      </w:r>
      <w:r>
        <w:rPr>
          <w:color w:val="000000"/>
        </w:rPr>
        <w:t xml:space="preserve"> </w:t>
      </w:r>
      <w:r>
        <w:rPr>
          <w:rFonts w:ascii="Times New Roman;serif" w:hAnsi="Times New Roman;serif"/>
          <w:b/>
          <w:color w:val="000000"/>
          <w:sz w:val="20"/>
        </w:rPr>
        <w:t>AMENDMENT</w:t>
      </w:r>
      <w:r>
        <w:rPr>
          <w:color w:val="000000"/>
        </w:rPr>
        <w:t xml:space="preserve"> </w:t>
      </w:r>
      <w:r>
        <w:rPr>
          <w:rFonts w:ascii="Times New Roman;serif" w:hAnsi="Times New Roman;serif"/>
          <w:b/>
          <w:color w:val="000000"/>
          <w:sz w:val="20"/>
        </w:rPr>
        <w:t>AND</w:t>
      </w:r>
      <w:r>
        <w:rPr>
          <w:color w:val="000000"/>
        </w:rPr>
        <w:t xml:space="preserve"> </w:t>
      </w:r>
      <w:r>
        <w:rPr>
          <w:rFonts w:ascii="Times New Roman;serif" w:hAnsi="Times New Roman;serif"/>
          <w:b/>
          <w:color w:val="000000"/>
          <w:sz w:val="20"/>
        </w:rPr>
        <w:t>THE</w:t>
      </w:r>
      <w:r>
        <w:rPr>
          <w:color w:val="000000"/>
        </w:rPr>
        <w:t xml:space="preserve"> </w:t>
      </w:r>
      <w:r>
        <w:rPr>
          <w:rFonts w:ascii="Times New Roman;serif" w:hAnsi="Times New Roman;serif"/>
          <w:b/>
          <w:color w:val="000000"/>
          <w:sz w:val="20"/>
        </w:rPr>
        <w:t>RIGHTS</w:t>
      </w:r>
      <w:r>
        <w:rPr>
          <w:color w:val="000000"/>
        </w:rPr>
        <w:t xml:space="preserve"> </w:t>
      </w:r>
      <w:r>
        <w:rPr>
          <w:rFonts w:ascii="Times New Roman;serif" w:hAnsi="Times New Roman;serif"/>
          <w:b/>
          <w:color w:val="000000"/>
          <w:sz w:val="20"/>
        </w:rPr>
        <w:t>AND OBLIGATIONS OF</w:t>
      </w:r>
      <w:r>
        <w:rPr>
          <w:color w:val="000000"/>
        </w:rPr>
        <w:t xml:space="preserve"> </w:t>
      </w:r>
      <w:r>
        <w:rPr>
          <w:rFonts w:ascii="Times New Roman;serif" w:hAnsi="Times New Roman;serif"/>
          <w:b/>
          <w:color w:val="000000"/>
          <w:sz w:val="20"/>
        </w:rPr>
        <w:t>THE PARTIES HEREUNDER SHALL IN ALL RESPECTS BE GOVERNED BY AND CONSTRUED IN ACCORDANCE WITH, THE INTERNAL LAWS OF THE STATE OF NEW YORK.</w:t>
      </w:r>
    </w:p>
    <w:p>
      <w:pPr>
        <w:pStyle w:val="TextBody"/>
        <w:bidi w:val="0"/>
        <w:spacing w:before="0" w:after="0"/>
        <w:ind w:left="0" w:right="0" w:firstLine="720"/>
        <w:jc w:val="both"/>
        <w:rPr/>
      </w:pPr>
      <w:r>
        <w:rPr/>
      </w:r>
    </w:p>
    <w:p>
      <w:pPr>
        <w:pStyle w:val="TextBody"/>
        <w:bidi w:val="0"/>
        <w:spacing w:lineRule="auto" w:line="288" w:before="20" w:after="283"/>
        <w:ind w:left="0" w:right="0" w:firstLine="720"/>
        <w:jc w:val="left"/>
        <w:rPr/>
      </w:pPr>
      <w:r>
        <w:rPr>
          <w:rFonts w:ascii="Times New Roman;serif" w:hAnsi="Times New Roman;serif"/>
          <w:b w:val="false"/>
          <w:color w:val="000000"/>
          <w:sz w:val="20"/>
        </w:rPr>
        <w:t>(e)</w:t>
      </w:r>
      <w:r>
        <w:rPr>
          <w:rFonts w:ascii="Times New Roman;serif" w:hAnsi="Times New Roman;serif"/>
          <w:b/>
          <w:color w:val="000000"/>
          <w:sz w:val="20"/>
        </w:rPr>
        <w:t>Severability of Provisions.</w:t>
      </w:r>
      <w:r>
        <w:rPr>
          <w:color w:val="000000"/>
        </w:rPr>
        <w:t xml:space="preserve"> </w:t>
      </w:r>
      <w:r>
        <w:rPr>
          <w:rFonts w:ascii="Times New Roman;serif" w:hAnsi="Times New Roman;serif"/>
          <w:b w:val="false"/>
          <w:color w:val="000000"/>
          <w:sz w:val="20"/>
        </w:rPr>
        <w:t>Each provision of this Amendment is severable from every other provision in determining the enforceability of any provision.</w:t>
      </w:r>
    </w:p>
    <w:p>
      <w:pPr>
        <w:pStyle w:val="TextBody"/>
        <w:bidi w:val="0"/>
        <w:spacing w:before="9"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color w:val="000000"/>
          <w:sz w:val="20"/>
        </w:rPr>
        <w:t>Counterparts.</w:t>
      </w:r>
      <w:r>
        <w:rPr>
          <w:color w:val="000000"/>
        </w:rPr>
        <w:t xml:space="preserve"> </w:t>
      </w:r>
      <w:r>
        <w:rPr>
          <w:rFonts w:ascii="Times New Roman;serif" w:hAnsi="Times New Roman;serif"/>
          <w:b w:val="false"/>
          <w:color w:val="000000"/>
          <w:sz w:val="20"/>
        </w:rPr>
        <w:t>This Amendment may be executed in any number of counterparts and by different parties on separate counterparts, each of which, when executed and delivered, is an original, and all taken together, constitute one Amendment.</w:t>
      </w:r>
      <w:r>
        <w:rPr>
          <w:color w:val="000000"/>
        </w:rPr>
        <w:t xml:space="preserve"> </w:t>
      </w:r>
      <w:r>
        <w:rPr>
          <w:rFonts w:ascii="Times New Roman;serif" w:hAnsi="Times New Roman;serif"/>
          <w:b w:val="false"/>
          <w:color w:val="000000"/>
          <w:sz w:val="20"/>
        </w:rPr>
        <w:t>Delivery of an executed counterpart of a signature page of this Amendment by facsimile, portable document format (.pdf) or other electronic transmission will be as effective as delivery of a manually executed counterpart hereof.</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rFonts w:ascii="Times New Roman;serif" w:hAnsi="Times New Roman;serif"/>
          <w:b/>
          <w:color w:val="000000"/>
          <w:sz w:val="20"/>
        </w:rPr>
        <w:t>Transaction Documents.</w:t>
      </w:r>
      <w:r>
        <w:rPr>
          <w:color w:val="000000"/>
        </w:rPr>
        <w:t xml:space="preserve"> </w:t>
      </w:r>
      <w:r>
        <w:rPr>
          <w:rFonts w:ascii="Times New Roman;serif" w:hAnsi="Times New Roman;serif"/>
          <w:b w:val="false"/>
          <w:color w:val="000000"/>
          <w:sz w:val="20"/>
        </w:rPr>
        <w:t>This Amendment and the documents related thereto shall constitute Transaction Documents.</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rFonts w:ascii="Times New Roman;serif" w:hAnsi="Times New Roman;serif"/>
          <w:b/>
          <w:color w:val="000000"/>
          <w:sz w:val="20"/>
        </w:rPr>
        <w:t>Electronic</w:t>
      </w:r>
      <w:r>
        <w:rPr>
          <w:color w:val="000000"/>
        </w:rPr>
        <w:t xml:space="preserve"> </w:t>
      </w:r>
      <w:r>
        <w:rPr>
          <w:rFonts w:ascii="Times New Roman;serif" w:hAnsi="Times New Roman;serif"/>
          <w:b/>
          <w:color w:val="000000"/>
          <w:sz w:val="20"/>
        </w:rPr>
        <w:t>Execution</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Certain</w:t>
      </w:r>
      <w:r>
        <w:rPr>
          <w:color w:val="000000"/>
        </w:rPr>
        <w:t xml:space="preserve"> </w:t>
      </w:r>
      <w:r>
        <w:rPr>
          <w:rFonts w:ascii="Times New Roman;serif" w:hAnsi="Times New Roman;serif"/>
          <w:b/>
          <w:color w:val="000000"/>
          <w:sz w:val="20"/>
        </w:rPr>
        <w:t>Other</w:t>
      </w:r>
      <w:r>
        <w:rPr>
          <w:color w:val="000000"/>
        </w:rPr>
        <w:t xml:space="preserve"> </w:t>
      </w:r>
      <w:r>
        <w:rPr>
          <w:rFonts w:ascii="Times New Roman;serif" w:hAnsi="Times New Roman;serif"/>
          <w:b/>
          <w:color w:val="000000"/>
          <w:sz w:val="20"/>
        </w:rPr>
        <w:t>Documents.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words</w:t>
      </w:r>
      <w:r>
        <w:rPr>
          <w:color w:val="000000"/>
        </w:rPr>
        <w:t xml:space="preserve"> “</w:t>
      </w:r>
      <w:r>
        <w:rPr>
          <w:rFonts w:ascii="Times New Roman;serif" w:hAnsi="Times New Roman;serif"/>
          <w:b w:val="false"/>
          <w:color w:val="000000"/>
          <w:sz w:val="20"/>
        </w:rPr>
        <w:t>execution,”</w:t>
      </w:r>
      <w:r>
        <w:rPr>
          <w:color w:val="000000"/>
        </w:rPr>
        <w:t xml:space="preserve"> “</w:t>
      </w:r>
      <w:r>
        <w:rPr>
          <w:rFonts w:ascii="Times New Roman;serif" w:hAnsi="Times New Roman;serif"/>
          <w:b w:val="false"/>
          <w:color w:val="000000"/>
          <w:sz w:val="20"/>
        </w:rPr>
        <w:t>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Investor Representative, or the keeping of records in electronic form, each of which shall be of the same legal effect, validity or enforceability as a manually executed signature or the use of a paper-based recordkeeping system, as the case may be, to the extent and as provided</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applicable law, including</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Federal</w:t>
      </w:r>
      <w:r>
        <w:rPr>
          <w:color w:val="000000"/>
        </w:rPr>
        <w:t xml:space="preserve"> </w:t>
      </w:r>
      <w:r>
        <w:rPr>
          <w:rFonts w:ascii="Times New Roman;serif" w:hAnsi="Times New Roman;serif"/>
          <w:b w:val="false"/>
          <w:color w:val="000000"/>
          <w:sz w:val="20"/>
        </w:rPr>
        <w:t>Electronic Signatures in</w:t>
      </w:r>
      <w:r>
        <w:rPr>
          <w:color w:val="000000"/>
        </w:rPr>
        <w:t xml:space="preserve"> </w:t>
      </w:r>
      <w:r>
        <w:rPr>
          <w:rFonts w:ascii="Times New Roman;serif" w:hAnsi="Times New Roman;serif"/>
          <w:b w:val="false"/>
          <w:color w:val="000000"/>
          <w:sz w:val="20"/>
        </w:rPr>
        <w:t>Global and</w:t>
      </w:r>
      <w:r>
        <w:rPr>
          <w:color w:val="000000"/>
        </w:rPr>
        <w:t xml:space="preserve"> </w:t>
      </w:r>
      <w:r>
        <w:rPr>
          <w:rFonts w:ascii="Times New Roman;serif" w:hAnsi="Times New Roman;serif"/>
          <w:b w:val="false"/>
          <w:color w:val="000000"/>
          <w:sz w:val="20"/>
        </w:rPr>
        <w:t>National Commerce Act, the New York State Electronic Signatures and Records Act, or any other similar state laws based on the Uniform Electronic Transactions Act.</w:t>
      </w:r>
    </w:p>
    <w:p>
      <w:pPr>
        <w:pStyle w:val="TextBody"/>
        <w:bidi w:val="0"/>
        <w:spacing w:before="12" w:after="283"/>
        <w:jc w:val="left"/>
        <w:rPr/>
      </w:pPr>
      <w:r>
        <w:rPr/>
      </w:r>
    </w:p>
    <w:p>
      <w:pPr>
        <w:pStyle w:val="TextBody"/>
        <w:bidi w:val="0"/>
        <w:spacing w:lineRule="auto" w:line="288" w:before="0" w:after="0"/>
        <w:jc w:val="center"/>
        <w:rPr/>
      </w:pPr>
      <w:r>
        <w:rPr>
          <w:rFonts w:ascii="Times New Roman;serif" w:hAnsi="Times New Roman;serif"/>
          <w:b w:val="false"/>
          <w:i/>
          <w:color w:val="000000"/>
          <w:sz w:val="20"/>
        </w:rPr>
        <w:t>[Balance</w:t>
      </w:r>
      <w:r>
        <w:rPr>
          <w:color w:val="000000"/>
        </w:rPr>
        <w:t xml:space="preserve"> </w:t>
      </w:r>
      <w:r>
        <w:rPr>
          <w:rFonts w:ascii="Times New Roman;serif" w:hAnsi="Times New Roman;serif"/>
          <w:b w:val="false"/>
          <w:i/>
          <w:color w:val="000000"/>
          <w:sz w:val="20"/>
        </w:rPr>
        <w:t>of</w:t>
      </w:r>
      <w:r>
        <w:rPr>
          <w:color w:val="000000"/>
        </w:rPr>
        <w:t xml:space="preserve"> </w:t>
      </w:r>
      <w:r>
        <w:rPr>
          <w:rFonts w:ascii="Times New Roman;serif" w:hAnsi="Times New Roman;serif"/>
          <w:b w:val="false"/>
          <w:i/>
          <w:color w:val="000000"/>
          <w:sz w:val="20"/>
        </w:rPr>
        <w:t>Page</w:t>
      </w:r>
      <w:r>
        <w:rPr>
          <w:color w:val="000000"/>
        </w:rPr>
        <w:t xml:space="preserve"> </w:t>
      </w:r>
      <w:r>
        <w:rPr>
          <w:rFonts w:ascii="Times New Roman;serif" w:hAnsi="Times New Roman;serif"/>
          <w:b w:val="false"/>
          <w:i/>
          <w:color w:val="000000"/>
          <w:sz w:val="20"/>
        </w:rPr>
        <w:t>Intentionally</w:t>
      </w:r>
      <w:r>
        <w:rPr>
          <w:color w:val="000000"/>
        </w:rPr>
        <w:t xml:space="preserve"> </w:t>
      </w:r>
      <w:r>
        <w:rPr>
          <w:rFonts w:ascii="Times New Roman;serif" w:hAnsi="Times New Roman;serif"/>
          <w:b w:val="false"/>
          <w:i/>
          <w:color w:val="000000"/>
          <w:sz w:val="20"/>
        </w:rPr>
        <w:t>Left</w:t>
      </w:r>
      <w:r>
        <w:rPr>
          <w:color w:val="000000"/>
        </w:rPr>
        <w:t xml:space="preserve"> </w:t>
      </w:r>
      <w:r>
        <w:rPr>
          <w:rFonts w:ascii="Times New Roman;serif" w:hAnsi="Times New Roman;serif"/>
          <w:b w:val="false"/>
          <w:i/>
          <w:color w:val="000000"/>
          <w:sz w:val="20"/>
        </w:rPr>
        <w:t>Blank;</w:t>
      </w:r>
      <w:r>
        <w:rPr>
          <w:color w:val="000000"/>
        </w:rPr>
        <w:t xml:space="preserve"> </w:t>
      </w:r>
      <w:r>
        <w:rPr>
          <w:rFonts w:ascii="Times New Roman;serif" w:hAnsi="Times New Roman;serif"/>
          <w:b w:val="false"/>
          <w:i/>
          <w:color w:val="000000"/>
          <w:sz w:val="20"/>
        </w:rPr>
        <w:t>Signature</w:t>
      </w:r>
      <w:r>
        <w:rPr>
          <w:color w:val="000000"/>
        </w:rPr>
        <w:t xml:space="preserve"> </w:t>
      </w:r>
      <w:r>
        <w:rPr>
          <w:rFonts w:ascii="Times New Roman;serif" w:hAnsi="Times New Roman;serif"/>
          <w:b w:val="false"/>
          <w:i/>
          <w:color w:val="000000"/>
          <w:sz w:val="20"/>
        </w:rPr>
        <w:t>Pages</w:t>
      </w:r>
      <w:r>
        <w:rPr>
          <w:color w:val="000000"/>
        </w:rPr>
        <w:t xml:space="preserve"> </w:t>
      </w:r>
      <w:r>
        <w:rPr>
          <w:rFonts w:ascii="Times New Roman;serif" w:hAnsi="Times New Roman;serif"/>
          <w:b w:val="false"/>
          <w:i/>
          <w:color w:val="000000"/>
          <w:sz w:val="20"/>
        </w:rPr>
        <w:t>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89280"/>
                <wp:effectExtent l="0" t="0" r="0" b="0"/>
                <wp:wrapNone/>
                <wp:docPr id="126" name="Frame126"/>
                <a:graphic xmlns:a="http://schemas.openxmlformats.org/drawingml/2006/main">
                  <a:graphicData uri="http://schemas.microsoft.com/office/word/2010/wordprocessingShape">
                    <wps:wsp>
                      <wps:cNvSpPr txBox="1"/>
                      <wps:spPr>
                        <a:xfrm>
                          <a:off x="0" y="0"/>
                          <a:ext cx="6480175" cy="5892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32" w:before="0" w:after="0"/>
                              <w:jc w:val="left"/>
                              <w:rPr>
                                <w:rFonts w:ascii="Times New Roman;serif" w:hAnsi="Times New Roman;serif"/>
                                <w:b w:val="false"/>
                                <w:color w:val="000000"/>
                                <w:sz w:val="23"/>
                              </w:rPr>
                            </w:pPr>
                            <w:r>
                              <w:rPr>
                                <w:rFonts w:ascii="Times New Roman;serif" w:hAnsi="Times New Roman;serif"/>
                                <w:b w:val="false"/>
                                <w:color w:val="000000"/>
                                <w:sz w:val="23"/>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2"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WITNESS</w:t>
      </w:r>
      <w:r>
        <w:rPr>
          <w:color w:val="000000"/>
        </w:rPr>
        <w:t xml:space="preserve"> </w:t>
      </w:r>
      <w:r>
        <w:rPr>
          <w:rFonts w:ascii="Times New Roman;serif" w:hAnsi="Times New Roman;serif"/>
          <w:b w:val="false"/>
          <w:color w:val="000000"/>
          <w:sz w:val="20"/>
        </w:rPr>
        <w:t>WHEREOF,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parties</w:t>
      </w:r>
      <w:r>
        <w:rPr>
          <w:color w:val="000000"/>
        </w:rPr>
        <w:t xml:space="preserve"> </w:t>
      </w:r>
      <w:r>
        <w:rPr>
          <w:rFonts w:ascii="Times New Roman;serif" w:hAnsi="Times New Roman;serif"/>
          <w:b w:val="false"/>
          <w:color w:val="000000"/>
          <w:sz w:val="20"/>
        </w:rPr>
        <w:t>hereto</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duly</w:t>
      </w:r>
      <w:r>
        <w:rPr>
          <w:color w:val="000000"/>
        </w:rPr>
        <w:t xml:space="preserve"> </w:t>
      </w:r>
      <w:r>
        <w:rPr>
          <w:rFonts w:ascii="Times New Roman;serif" w:hAnsi="Times New Roman;serif"/>
          <w:b w:val="false"/>
          <w:color w:val="000000"/>
          <w:sz w:val="20"/>
        </w:rPr>
        <w:t>executed</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Amendment,</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17"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BORROWER:</w:t>
      </w:r>
      <w:r>
        <w:rPr>
          <w:color w:val="000000"/>
        </w:rPr>
        <w:t>    </w:t>
      </w:r>
      <w:r>
        <w:rPr>
          <w:rFonts w:ascii="Times New Roman;serif" w:hAnsi="Times New Roman;serif"/>
          <w:b w:val="false"/>
          <w:color w:val="000000"/>
          <w:sz w:val="22"/>
        </w:rPr>
        <w:t>RHYTHM</w:t>
      </w:r>
      <w:r>
        <w:rPr>
          <w:color w:val="000000"/>
        </w:rPr>
        <w:t xml:space="preserve"> </w:t>
      </w:r>
      <w:r>
        <w:rPr>
          <w:rFonts w:ascii="Times New Roman;serif" w:hAnsi="Times New Roman;serif"/>
          <w:b w:val="false"/>
          <w:color w:val="000000"/>
          <w:sz w:val="22"/>
        </w:rPr>
        <w:t>PHARMACEUTICALS,</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25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Hunter C. Smith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Hunter C. Smith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94995"/>
                <wp:effectExtent l="0" t="0" r="0" b="0"/>
                <wp:wrapNone/>
                <wp:docPr id="127" name="Frame1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r>
                                    <w:br w:type="page"/>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 w:after="283"/>
        <w:jc w:val="left"/>
        <w:rPr/>
      </w:pPr>
      <w:r>
        <w:rPr>
          <w:rFonts w:ascii="Times New Roman;serif" w:hAnsi="Times New Roman;serif"/>
          <w:b w:val="false"/>
          <w:color w:val="000000"/>
          <w:sz w:val="24"/>
        </w:rPr>
        <w:t>Acknowledged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agreed:</w:t>
      </w:r>
    </w:p>
    <w:p>
      <w:pPr>
        <w:pStyle w:val="TextBody"/>
        <w:bidi w:val="0"/>
        <w:spacing w:lineRule="auto" w:line="288" w:before="182" w:after="283"/>
        <w:jc w:val="left"/>
        <w:rPr/>
      </w:pPr>
      <w:r>
        <w:rPr>
          <w:rFonts w:ascii="Times New Roman;serif" w:hAnsi="Times New Roman;serif"/>
          <w:b w:val="false"/>
          <w:color w:val="000000"/>
          <w:sz w:val="22"/>
        </w:rPr>
        <w:t>INVESTOR</w:t>
      </w:r>
      <w:r>
        <w:rPr>
          <w:color w:val="000000"/>
        </w:rPr>
        <w:t xml:space="preserve"> </w:t>
      </w:r>
      <w:r>
        <w:rPr>
          <w:rFonts w:ascii="Times New Roman;serif" w:hAnsi="Times New Roman;serif"/>
          <w:b w:val="false"/>
          <w:color w:val="000000"/>
          <w:sz w:val="22"/>
        </w:rPr>
        <w:t>REPRESENTATIVE:</w:t>
      </w:r>
      <w:r>
        <w:rPr>
          <w:color w:val="000000"/>
        </w:rPr>
        <w:t>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RHYTHM</w:t>
      </w:r>
      <w:r>
        <w:rPr>
          <w:color w:val="000000"/>
        </w:rPr>
        <w:t xml:space="preserve"> </w:t>
      </w:r>
      <w:r>
        <w:rPr>
          <w:rFonts w:ascii="Times New Roman;serif" w:hAnsi="Times New Roman;serif"/>
          <w:b w:val="false"/>
          <w:color w:val="000000"/>
          <w:sz w:val="22"/>
        </w:rPr>
        <w:t>SPV,</w:t>
      </w:r>
      <w:r>
        <w:rPr>
          <w:color w:val="000000"/>
        </w:rPr>
        <w:t xml:space="preserve"> </w:t>
      </w:r>
      <w:r>
        <w:rPr>
          <w:rFonts w:ascii="Times New Roman;serif" w:hAnsi="Times New Roman;serif"/>
          <w:b w:val="false"/>
          <w:color w:val="000000"/>
          <w:sz w:val="22"/>
        </w:rPr>
        <w:t>LLC</w:t>
      </w:r>
    </w:p>
    <w:p>
      <w:pPr>
        <w:pStyle w:val="TextBody"/>
        <w:bidi w:val="0"/>
        <w:spacing w:before="0" w:after="0"/>
        <w:jc w:val="left"/>
        <w:rPr/>
      </w:pPr>
      <w:r>
        <w:rPr/>
      </w:r>
    </w:p>
    <w:p>
      <w:pPr>
        <w:pStyle w:val="TextBody"/>
        <w:bidi w:val="0"/>
        <w:spacing w:before="25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Authorized</w:t>
      </w:r>
      <w:r>
        <w:rPr>
          <w:color w:val="000000"/>
        </w:rPr>
        <w:t xml:space="preserve"> </w:t>
      </w:r>
      <w:r>
        <w:rPr>
          <w:rFonts w:ascii="Times New Roman;serif" w:hAnsi="Times New Roman;serif"/>
          <w:b w:val="false"/>
          <w:color w:val="000000"/>
          <w:sz w:val="22"/>
        </w:rPr>
        <w:t>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94995"/>
                <wp:effectExtent l="0" t="0" r="0" b="0"/>
                <wp:wrapNone/>
                <wp:docPr id="128" name="Frame12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r>
                                    <w:br w:type="page"/>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52" w:before="77" w:after="283"/>
        <w:jc w:val="left"/>
        <w:rPr/>
      </w:pPr>
      <w:r>
        <w:rPr>
          <w:rFonts w:ascii="Times New Roman;serif" w:hAnsi="Times New Roman;serif"/>
          <w:b w:val="false"/>
          <w:color w:val="000000"/>
          <w:sz w:val="22"/>
        </w:rPr>
        <w:t>INVESTORS:</w:t>
      </w:r>
      <w:r>
        <w:rPr>
          <w:color w:val="000000"/>
        </w:rPr>
        <w:t>    </w:t>
      </w:r>
      <w:r>
        <w:rPr>
          <w:rFonts w:ascii="Times New Roman;serif" w:hAnsi="Times New Roman;serif"/>
          <w:b w:val="false"/>
          <w:color w:val="000000"/>
          <w:sz w:val="22"/>
        </w:rPr>
        <w:t>HEALTHCARE</w:t>
      </w:r>
      <w:r>
        <w:rPr>
          <w:color w:val="000000"/>
        </w:rPr>
        <w:t xml:space="preserve"> </w:t>
      </w:r>
      <w:r>
        <w:rPr>
          <w:rFonts w:ascii="Times New Roman;serif" w:hAnsi="Times New Roman;serif"/>
          <w:b w:val="false"/>
          <w:color w:val="000000"/>
          <w:sz w:val="22"/>
        </w:rPr>
        <w:t>ROYALTY</w:t>
      </w:r>
      <w:r>
        <w:rPr>
          <w:color w:val="000000"/>
        </w:rPr>
        <w:t xml:space="preserve"> </w:t>
      </w:r>
      <w:r>
        <w:rPr>
          <w:rFonts w:ascii="Times New Roman;serif" w:hAnsi="Times New Roman;serif"/>
          <w:b w:val="false"/>
          <w:color w:val="000000"/>
          <w:sz w:val="22"/>
        </w:rPr>
        <w:t>PARTNERS</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HealthCare</w:t>
      </w:r>
      <w:r>
        <w:rPr>
          <w:color w:val="000000"/>
        </w:rPr>
        <w:t xml:space="preserve"> </w:t>
      </w:r>
      <w:r>
        <w:rPr>
          <w:rFonts w:ascii="Times New Roman;serif" w:hAnsi="Times New Roman;serif"/>
          <w:b w:val="false"/>
          <w:color w:val="000000"/>
          <w:sz w:val="22"/>
        </w:rPr>
        <w:t>Royalty</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Clarke B. Futch</w:t>
      </w:r>
    </w:p>
    <w:p>
      <w:pPr>
        <w:pStyle w:val="TextBody"/>
        <w:bidi w:val="0"/>
        <w:spacing w:lineRule="auto" w:line="288" w:before="0" w:after="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HCRX</w:t>
      </w:r>
      <w:r>
        <w:rPr>
          <w:color w:val="000000"/>
        </w:rPr>
        <w:t xml:space="preserve"> </w:t>
      </w:r>
      <w:r>
        <w:rPr>
          <w:rFonts w:ascii="Times New Roman;serif" w:hAnsi="Times New Roman;serif"/>
          <w:b w:val="false"/>
          <w:color w:val="000000"/>
          <w:sz w:val="22"/>
        </w:rPr>
        <w:t>INVESTMENTS</w:t>
      </w:r>
      <w:r>
        <w:rPr>
          <w:color w:val="000000"/>
        </w:rPr>
        <w:t xml:space="preserve"> </w:t>
      </w:r>
      <w:r>
        <w:rPr>
          <w:rFonts w:ascii="Times New Roman;serif" w:hAnsi="Times New Roman;serif"/>
          <w:b w:val="false"/>
          <w:color w:val="000000"/>
          <w:sz w:val="22"/>
        </w:rPr>
        <w:t>HOLDCO,</w:t>
      </w:r>
      <w:r>
        <w:rPr>
          <w:color w:val="000000"/>
        </w:rPr>
        <w:t xml:space="preserve"> </w:t>
      </w:r>
      <w:r>
        <w:rPr>
          <w:rFonts w:ascii="Times New Roman;serif" w:hAnsi="Times New Roman;serif"/>
          <w:b w:val="false"/>
          <w:color w:val="000000"/>
          <w:sz w:val="22"/>
        </w:rPr>
        <w:t>L.P.,</w:t>
      </w:r>
    </w:p>
    <w:p>
      <w:pPr>
        <w:pStyle w:val="TextBody"/>
        <w:bidi w:val="0"/>
        <w:spacing w:lineRule="auto" w:line="288" w:before="1"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HCRX</w:t>
      </w:r>
      <w:r>
        <w:rPr>
          <w:color w:val="000000"/>
        </w:rPr>
        <w:t xml:space="preserve"> </w:t>
      </w:r>
      <w:r>
        <w:rPr>
          <w:rFonts w:ascii="Times New Roman;serif" w:hAnsi="Times New Roman;serif"/>
          <w:b w:val="false"/>
          <w:color w:val="000000"/>
          <w:sz w:val="22"/>
        </w:rPr>
        <w:t>Master</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252" w:after="283"/>
        <w:jc w:val="left"/>
        <w:rPr/>
      </w:pPr>
      <w:r>
        <w:rPr/>
      </w:r>
    </w:p>
    <w:p>
      <w:pPr>
        <w:pStyle w:val="TextBody"/>
        <w:bidi w:val="0"/>
        <w:spacing w:lineRule="atLeast" w:line="252" w:before="0" w:after="0"/>
        <w:jc w:val="left"/>
        <w:rPr/>
      </w:pPr>
      <w:r>
        <w:rPr>
          <w:rFonts w:ascii="Times New Roman;serif" w:hAnsi="Times New Roman;serif"/>
          <w:b w:val="false"/>
          <w:color w:val="000000"/>
          <w:sz w:val="22"/>
        </w:rPr>
        <w:t>HCRP</w:t>
      </w:r>
      <w:r>
        <w:rPr>
          <w:color w:val="000000"/>
        </w:rPr>
        <w:t xml:space="preserve"> </w:t>
      </w:r>
      <w:r>
        <w:rPr>
          <w:rFonts w:ascii="Times New Roman;serif" w:hAnsi="Times New Roman;serif"/>
          <w:b w:val="false"/>
          <w:color w:val="000000"/>
          <w:sz w:val="22"/>
        </w:rPr>
        <w:t>OVERFLOW</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HCRP</w:t>
      </w:r>
      <w:r>
        <w:rPr>
          <w:color w:val="000000"/>
        </w:rPr>
        <w:t xml:space="preserve"> </w:t>
      </w:r>
      <w:r>
        <w:rPr>
          <w:rFonts w:ascii="Times New Roman;serif" w:hAnsi="Times New Roman;serif"/>
          <w:b w:val="false"/>
          <w:color w:val="000000"/>
          <w:sz w:val="22"/>
        </w:rPr>
        <w:t>Overflow</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w:t>
      </w:r>
      <w:r>
        <w:rPr>
          <w:color w:val="000000"/>
        </w:rPr>
        <w:t xml:space="preserve"> </w:t>
      </w:r>
      <w:r>
        <w:rPr>
          <w:rFonts w:ascii="Times New Roman;serif" w:hAnsi="Times New Roman;serif"/>
          <w:b w:val="false"/>
          <w:color w:val="000000"/>
          <w:sz w:val="22"/>
        </w:rPr>
        <w:t>partner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tLeast" w:line="251" w:before="0" w:after="0"/>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spacing w:before="0" w:after="0"/>
        <w:jc w:val="left"/>
        <w:rPr/>
      </w:pPr>
      <w:r>
        <w:rPr/>
      </w:r>
    </w:p>
    <w:p>
      <w:pPr>
        <w:pStyle w:val="TextBody"/>
        <w:bidi w:val="0"/>
        <w:spacing w:before="48" w:after="283"/>
        <w:jc w:val="left"/>
        <w:rPr/>
      </w:pPr>
      <w:r>
        <w:rPr/>
      </w:r>
    </w:p>
    <w:p>
      <w:pPr>
        <w:pStyle w:val="TextBody"/>
        <w:bidi w:val="0"/>
        <w:spacing w:lineRule="atLeast" w:line="252" w:before="0" w:after="0"/>
        <w:jc w:val="left"/>
        <w:rPr/>
      </w:pP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CANARY</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Canary</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w:t>
      </w:r>
      <w:r>
        <w:rPr>
          <w:rFonts w:ascii="Times New Roman;serif" w:hAnsi="Times New Roman;serif"/>
          <w:b w:val="false"/>
          <w:color w:val="000000"/>
          <w:sz w:val="22"/>
        </w:rPr>
        <w:t>Clarke B. Futch</w:t>
      </w:r>
    </w:p>
    <w:p>
      <w:pPr>
        <w:pStyle w:val="TextBody"/>
        <w:bidi w:val="0"/>
        <w:spacing w:lineRule="auto" w:line="288" w:before="0" w:after="0"/>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94995"/>
                <wp:effectExtent l="0" t="0" r="0" b="0"/>
                <wp:wrapNone/>
                <wp:docPr id="129" name="Frame1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r>
                                    <w:br w:type="page"/>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53" w:before="29" w:after="283"/>
        <w:jc w:val="left"/>
        <w:rPr/>
      </w:pP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MOLAG</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L.P.,</w:t>
      </w:r>
    </w:p>
    <w:p>
      <w:pPr>
        <w:pStyle w:val="TextBody"/>
        <w:bidi w:val="0"/>
        <w:spacing w:lineRule="atLeast" w:line="253"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HCR</w:t>
      </w:r>
      <w:r>
        <w:rPr>
          <w:color w:val="000000"/>
        </w:rPr>
        <w:t xml:space="preserve"> </w:t>
      </w:r>
      <w:r>
        <w:rPr>
          <w:rFonts w:ascii="Times New Roman;serif" w:hAnsi="Times New Roman;serif"/>
          <w:b w:val="false"/>
          <w:color w:val="000000"/>
          <w:sz w:val="22"/>
        </w:rPr>
        <w:t>Molag</w:t>
      </w:r>
      <w:r>
        <w:rPr>
          <w:color w:val="000000"/>
        </w:rPr>
        <w:t xml:space="preserve"> </w:t>
      </w:r>
      <w:r>
        <w:rPr>
          <w:rFonts w:ascii="Times New Roman;serif" w:hAnsi="Times New Roman;serif"/>
          <w:b w:val="false"/>
          <w:color w:val="000000"/>
          <w:sz w:val="22"/>
        </w:rPr>
        <w:t>Fund</w:t>
      </w:r>
      <w:r>
        <w:rPr>
          <w:color w:val="000000"/>
        </w:rPr>
        <w:t xml:space="preserve"> </w:t>
      </w:r>
      <w:r>
        <w:rPr>
          <w:rFonts w:ascii="Times New Roman;serif" w:hAnsi="Times New Roman;serif"/>
          <w:b w:val="false"/>
          <w:color w:val="000000"/>
          <w:sz w:val="22"/>
        </w:rPr>
        <w:t>GP,</w:t>
      </w:r>
      <w:r>
        <w:rPr>
          <w:color w:val="000000"/>
        </w:rPr>
        <w:t xml:space="preserve"> </w:t>
      </w:r>
      <w:r>
        <w:rPr>
          <w:rFonts w:ascii="Times New Roman;serif" w:hAnsi="Times New Roman;serif"/>
          <w:b w:val="false"/>
          <w:color w:val="000000"/>
          <w:sz w:val="22"/>
        </w:rPr>
        <w:t>LLC,</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general partner</w:t>
      </w:r>
    </w:p>
    <w:p>
      <w:pPr>
        <w:pStyle w:val="TextBody"/>
        <w:bidi w:val="0"/>
        <w:spacing w:before="25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Clarke B. Futch    </w:t>
      </w:r>
    </w:p>
    <w:p>
      <w:pPr>
        <w:pStyle w:val="TextBody"/>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Clarke B. Futch</w:t>
      </w:r>
    </w:p>
    <w:p>
      <w:pPr>
        <w:pStyle w:val="TextBody"/>
        <w:bidi w:val="0"/>
        <w:spacing w:lineRule="auto" w:line="288" w:before="1" w:after="283"/>
        <w:jc w:val="left"/>
        <w:rPr/>
      </w:pPr>
      <w:r>
        <w:rPr>
          <w:rFonts w:ascii="Times New Roman;serif" w:hAnsi="Times New Roman;serif"/>
          <w:b w:val="false"/>
          <w:color w:val="000000"/>
          <w:sz w:val="22"/>
        </w:rPr>
        <w:t>Title:</w:t>
      </w:r>
      <w:r>
        <w:rPr>
          <w:color w:val="000000"/>
        </w:rPr>
        <w:t>    </w:t>
      </w: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94995"/>
                <wp:effectExtent l="0" t="0" r="0" b="0"/>
                <wp:wrapNone/>
                <wp:docPr id="130" name="Frame1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tLeast" w:line="162" w:before="0" w:after="0"/>
                              <w:jc w:val="left"/>
                              <w:rPr/>
                            </w:pPr>
                            <w:r>
                              <w:rPr>
                                <w:rFonts w:ascii="Times New Roman;serif" w:hAnsi="Times New Roman;serif"/>
                                <w:b w:val="false"/>
                                <w:color w:val="000000"/>
                                <w:sz w:val="16"/>
                              </w:rPr>
                              <w:t>[Signature</w:t>
                            </w:r>
                            <w:r>
                              <w:rPr>
                                <w:color w:val="000000"/>
                              </w:rPr>
                              <w:t xml:space="preserve"> </w:t>
                            </w:r>
                            <w:r>
                              <w:rPr>
                                <w:rFonts w:ascii="Times New Roman;serif" w:hAnsi="Times New Roman;serif"/>
                                <w:b w:val="false"/>
                                <w:color w:val="000000"/>
                                <w:sz w:val="16"/>
                              </w:rPr>
                              <w:t>Page</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Second</w:t>
                            </w:r>
                            <w:r>
                              <w:rPr>
                                <w:color w:val="000000"/>
                              </w:rPr>
                              <w:t xml:space="preserve"> </w:t>
                            </w:r>
                            <w:r>
                              <w:rPr>
                                <w:rFonts w:ascii="Times New Roman;serif" w:hAnsi="Times New Roman;serif"/>
                                <w:b w:val="false"/>
                                <w:color w:val="000000"/>
                                <w:sz w:val="16"/>
                              </w:rPr>
                              <w:t>Amendment</w:t>
                            </w:r>
                            <w:r>
                              <w:rPr>
                                <w:color w:val="000000"/>
                              </w:rPr>
                              <w:t xml:space="preserve"> </w:t>
                            </w:r>
                            <w:r>
                              <w:rPr>
                                <w:rFonts w:ascii="Times New Roman;serif" w:hAnsi="Times New Roman;serif"/>
                                <w:b w:val="false"/>
                                <w:color w:val="000000"/>
                                <w:sz w:val="16"/>
                              </w:rPr>
                              <w:t>to</w:t>
                            </w:r>
                            <w:r>
                              <w:rPr>
                                <w:color w:val="000000"/>
                              </w:rPr>
                              <w:t xml:space="preserve"> </w:t>
                            </w:r>
                            <w:r>
                              <w:rPr>
                                <w:rFonts w:ascii="Times New Roman;serif" w:hAnsi="Times New Roman;serif"/>
                                <w:b w:val="false"/>
                                <w:color w:val="000000"/>
                                <w:sz w:val="16"/>
                              </w:rPr>
                              <w:t>Financing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David P. Meeker, certify that: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Rhythm Pharmaceuticals, Inc.;</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92" w:type="dxa"/>
        <w:jc w:val="left"/>
        <w:tblInd w:w="0" w:type="dxa"/>
        <w:tblLayout w:type="fixed"/>
        <w:tblCellMar>
          <w:top w:w="28" w:type="dxa"/>
          <w:left w:w="28" w:type="dxa"/>
          <w:bottom w:w="28" w:type="dxa"/>
          <w:right w:w="28" w:type="dxa"/>
        </w:tblCellMar>
      </w:tblPr>
      <w:tblGrid>
        <w:gridCol w:w="1346"/>
        <w:gridCol w:w="1184"/>
        <w:gridCol w:w="1190"/>
        <w:gridCol w:w="109"/>
        <w:gridCol w:w="109"/>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Hunter C. Smith, certify that: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Rhythm Pharmaceuticals, Inc.;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986" w:type="dxa"/>
        <w:jc w:val="left"/>
        <w:tblInd w:w="0" w:type="dxa"/>
        <w:tblLayout w:type="fixed"/>
        <w:tblCellMar>
          <w:top w:w="28" w:type="dxa"/>
          <w:left w:w="28" w:type="dxa"/>
          <w:bottom w:w="28" w:type="dxa"/>
          <w:right w:w="28" w:type="dxa"/>
        </w:tblCellMar>
      </w:tblPr>
      <w:tblGrid>
        <w:gridCol w:w="1307"/>
        <w:gridCol w:w="1151"/>
        <w:gridCol w:w="1156"/>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David P. Meeker, M.D., certify pursuant to 18 U.S.C. Section 1350, as adopted pursuant to Section 906 of the Sarbanes-Oxley Act of 2002, that, to the best of my knowledge, the Quarterly Report on Form 10-Q of Rhythm Pharmaceuticals, Inc. for the fiscal quarter ended June 30, 2026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tbl>
      <w:tblPr>
        <w:tblW w:w="4046" w:type="dxa"/>
        <w:jc w:val="left"/>
        <w:tblInd w:w="0" w:type="dxa"/>
        <w:tblLayout w:type="fixed"/>
        <w:tblCellMar>
          <w:top w:w="28" w:type="dxa"/>
          <w:left w:w="28" w:type="dxa"/>
          <w:bottom w:w="28" w:type="dxa"/>
          <w:right w:w="28" w:type="dxa"/>
        </w:tblCellMar>
      </w:tblPr>
      <w:tblGrid>
        <w:gridCol w:w="1331"/>
        <w:gridCol w:w="1167"/>
        <w:gridCol w:w="1176"/>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P. Meeker,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Hunter C. Smith, certify pursuant to 18 U.S.C. Section 1350, as adopted pursuant to Section 906 of the Sarbanes-Oxley Act of 2002, that, to the best of my knowledge, the Quarterly Report on Form 10-Q of Rhythm Pharmaceuticals, Inc. for the fiscal quarter ended June 30, 2026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tbl>
      <w:tblPr>
        <w:tblW w:w="3987" w:type="dxa"/>
        <w:jc w:val="left"/>
        <w:tblInd w:w="0" w:type="dxa"/>
        <w:tblLayout w:type="fixed"/>
        <w:tblCellMar>
          <w:top w:w="28" w:type="dxa"/>
          <w:left w:w="28" w:type="dxa"/>
          <w:bottom w:w="28" w:type="dxa"/>
          <w:right w:w="28" w:type="dxa"/>
        </w:tblCellMar>
      </w:tblPr>
      <w:tblGrid>
        <w:gridCol w:w="1305"/>
        <w:gridCol w:w="1149"/>
        <w:gridCol w:w="1161"/>
        <w:gridCol w:w="109"/>
        <w:gridCol w:w="109"/>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 Hunter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Treasurer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04/000155837025008924/rytm-20250624xex3d1.htm" TargetMode="External"/><Relationship Id="rId3" Type="http://schemas.openxmlformats.org/officeDocument/2006/relationships/hyperlink" Target="https://www.sec.gov/Archives/edgar/data/1649904/000110465923126873/tm2332524d2_ex3-1.htm" TargetMode="External"/><Relationship Id="rId4" Type="http://schemas.openxmlformats.org/officeDocument/2006/relationships/hyperlink" Target="https://www.sec.gov/Archives/edgar/data/1649904/000110465924047492/tm2411919d1_ex3-1.htm" TargetMode="External"/><Relationship Id="rId5" Type="http://schemas.openxmlformats.org/officeDocument/2006/relationships/hyperlink" Target="https://www.sec.gov/Archives/edgar/data/1649904/000155837024007076/rytm-20240331xex3d4.htm" TargetMode="External"/><Relationship Id="rId6" Type="http://schemas.openxmlformats.org/officeDocument/2006/relationships/hyperlink" Target="https://www.sec.gov/Archives/edgar/data/1649904/000110465926020665/tm267280d2_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79678</Words>
  <Characters>445564</Characters>
  <CharactersWithSpaces>523576</CharactersWithSpaces>
  <Paragraphs>3030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