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Joshi Manher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115.44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and become exercisable as to 25% of the total number of shares subject to the option on the first anniversary of the grant date and as to 6.25% of the total number of shares subject to the option upon the Reporting Person's completion of each successive three months of service to the 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as to 25% of the Restricted Stock Units on September 1 of each of 2027, 2028, 2029, and 2030, such that the Restricted Stock Units shall be fully vested on September 1, 2030, subject to the Reporting Person continuing in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Manher Joshi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048"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3802</Characters>
  <CharactersWithSpaces>4429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