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Jennifer Kayden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North America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22"/>
        <w:gridCol w:w="791"/>
        <w:gridCol w:w="612"/>
        <w:gridCol w:w="345"/>
        <w:gridCol w:w="921"/>
        <w:gridCol w:w="432"/>
        <w:gridCol w:w="1042"/>
        <w:gridCol w:w="1134"/>
        <w:gridCol w:w="980"/>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24.29</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54,233</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75,834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75,834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117.3818</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exercises and sales reported in the Form 4 were effected pursuant to a Rule 10b5-1 trading plan adopted by the Reporting Person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were granted on November 9, 2020. 25% of the shares subject to the option vested and become exercisable on November 9, 2021 and the remaining 75% of the shares subject to the option vested and become exercisable in 12 substantially equal installments upon the Reporting Person's completion of each three full months of successive service to the Issuer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were granted on February 9, 2022. The options vested and became exercisable in 16 substantially equal installments upon the Reporting Person's completion of each three full months of successive service to the Issuer following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Jennifer Kayden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1372"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4073</Characters>
  <CharactersWithSpaces>4722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