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66"/>
          <w:szCs w:val="166"/>
          <w:color w:val="2D98C5"/>
        </w:rPr>
        <w:t>2 0 2 5</w:t>
      </w:r>
    </w:p>
    <w:p>
      <w:pPr>
        <w:sectPr>
          <w:pgSz w:w="11880" w:h="15480" w:orient="portrait"/>
          <w:cols w:equalWidth="0" w:num="1">
            <w:col w:w="10120"/>
          </w:cols>
          <w:pgMar w:left="700" w:top="1440" w:right="1060" w:bottom="79" w:gutter="0" w:footer="0" w:header="0"/>
        </w:sectPr>
      </w:pPr>
    </w:p>
    <w:p>
      <w:pPr>
        <w:spacing w:after="0"/>
        <w:rPr>
          <w:sz w:val="20"/>
          <w:szCs w:val="20"/>
          <w:color w:val="auto"/>
        </w:rPr>
      </w:pPr>
      <w:r>
        <w:rPr>
          <w:rFonts w:ascii="Arial" w:cs="Arial" w:eastAsia="Arial" w:hAnsi="Arial"/>
          <w:sz w:val="116"/>
          <w:szCs w:val="116"/>
          <w:b w:val="1"/>
          <w:bCs w:val="1"/>
          <w:color w:val="FFFFFF"/>
        </w:rPr>
        <w:t>ANNUAL REPORT</w:t>
      </w:r>
    </w:p>
    <w:p>
      <w:pPr>
        <w:sectPr>
          <w:pgSz w:w="11880" w:h="15480" w:orient="portrait"/>
          <w:cols w:equalWidth="0" w:num="1">
            <w:col w:w="10120"/>
          </w:cols>
          <w:pgMar w:left="700" w:top="1440" w:right="1060" w:bottom="79" w:gutter="0" w:footer="0" w:header="0"/>
          <w:type w:val="continuous"/>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0"/>
          <w:szCs w:val="50"/>
          <w:b w:val="1"/>
          <w:bCs w:val="1"/>
          <w:color w:val="0000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About Rhythm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6" w:lineRule="auto"/>
        <w:rPr>
          <w:sz w:val="20"/>
          <w:szCs w:val="20"/>
          <w:color w:val="auto"/>
        </w:rPr>
      </w:pPr>
      <w:r>
        <w:rPr>
          <w:rFonts w:ascii="Arial" w:cs="Arial" w:eastAsia="Arial" w:hAnsi="Arial"/>
          <w:sz w:val="31"/>
          <w:szCs w:val="31"/>
          <w:b w:val="1"/>
          <w:bCs w:val="1"/>
          <w:color w:val="2D98C5"/>
        </w:rPr>
        <w:t>Rhythm Pharmaceuticals is a global, commercial-stage biopharmaceutical company committed to transforming the lives of patients living with rare neuroendocrine diseases. With deep expertise in melanocortin-4 receptor (MC4R) pathway biology and genetics, Rhythm focuses on developing and delivering precision medicines for patient who are often underserved or previously untreatable.</w:t>
      </w:r>
    </w:p>
    <w:p>
      <w:pPr>
        <w:spacing w:after="0" w:line="200" w:lineRule="exact"/>
        <w:rPr>
          <w:sz w:val="20"/>
          <w:szCs w:val="20"/>
          <w:color w:val="auto"/>
        </w:rPr>
      </w:pPr>
    </w:p>
    <w:p>
      <w:pPr>
        <w:spacing w:after="0" w:line="346"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Rhythm’s lead product, IMCIVREE® (setmelanotide), is an MC4R agonist designed to treat hyperphagia and severe obesity caused by impaired MC4R pathway signaling. IMCIVREE is approved by the U.S. Food and Drug Administration (FDA) to reduce excess body weight and maintain long-term weight reduction in adults and pediatric patients aged four years and older with acquired hypothalamic obesity (HO), as well as in adult and pediatric patients two years of age and older with syndromic or monogenic obesity due to Bardet-Biedl syndrome (BBS) or genetically confirmed proopiomelanocortin (POMC), including proprotein convertase subtilisin/kexin type 1 (PCSK1), deficiency or leptin receptor (LEPR) deficiency. In addition, both the European Commission (EC) and the United Kingdom’s Medicines &amp; Healthcare Products Regulatory Agency (MHRA) have authorized IMCIVREE for the treatment of obesity and the control of hunger associated with genetically confirmed BBS or genetically confirmed loss-of-function biallelic POMC, including PCSK1, deficiency or biallelic LEPR deficiency in adults and children aged two years and above.</w:t>
      </w:r>
    </w:p>
    <w:p>
      <w:pPr>
        <w:spacing w:after="0" w:line="279"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Rhythm is expanding global access to IMCIVREE while building a durable, patient-centered approach to care for rare MC4R pathway diseases. The Company supports disease awareness, patient identification, and genetic testing initiatives to improve diagnosis and access to care. Rhythm has begun commercialization of setmelanotide for acquired HO in the U.S. following FDA approval in March 2026, and is preparing for global commercialization in Europe, Japan and additional regions upon approval.</w:t>
      </w:r>
    </w:p>
    <w:p>
      <w:pPr>
        <w:spacing w:after="0" w:line="288"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In addition, Rhythm is advancing a comprehensive portfolio of MC4R agonists, including IMCIVREE and investigational next-generation therapies designed to further expand treatment options across rare MC4R pathway diseases. The Company aligns its development and commercialization strategy around areas of significant unmet need, including hypothalamic dysfunction, Prader-Willi syndrome (PWS), and rare genetic MC4R pathway diseases. Rhythm also continues to advance preclinical research to explore new therapeutic product candidates for congenital hyperinsulinism.</w:t>
      </w:r>
    </w:p>
    <w:p>
      <w:pPr>
        <w:spacing w:after="0" w:line="286" w:lineRule="exact"/>
        <w:rPr>
          <w:sz w:val="20"/>
          <w:szCs w:val="20"/>
          <w:color w:val="auto"/>
        </w:rPr>
      </w:pPr>
    </w:p>
    <w:p>
      <w:pPr>
        <w:ind w:right="60"/>
        <w:spacing w:after="0" w:line="242" w:lineRule="auto"/>
        <w:rPr>
          <w:sz w:val="20"/>
          <w:szCs w:val="20"/>
          <w:color w:val="auto"/>
        </w:rPr>
      </w:pPr>
      <w:r>
        <w:rPr>
          <w:rFonts w:ascii="Arial" w:cs="Arial" w:eastAsia="Arial" w:hAnsi="Arial"/>
          <w:sz w:val="22"/>
          <w:szCs w:val="22"/>
          <w:color w:val="auto"/>
        </w:rPr>
        <w:t>Together, these efforts support Rhythm’s long-term objective to build a global biopharmaceutical company capable of delivering first-in-class or best-in-class MC4R-mediated therapies to patients with rare neuroendocrine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00004E"/>
        </w:rPr>
        <w:t>RHYTHM PHARMACEUTICALS | 2025 ANNUAL REPORT</w:t>
      </w:r>
      <w:r>
        <w:rPr>
          <w:sz w:val="20"/>
          <w:szCs w:val="20"/>
          <w:color w:val="auto"/>
        </w:rPr>
        <w:tab/>
      </w:r>
      <w:r>
        <w:rPr>
          <w:rFonts w:ascii="Arial" w:cs="Arial" w:eastAsia="Arial" w:hAnsi="Arial"/>
          <w:sz w:val="14"/>
          <w:szCs w:val="14"/>
          <w:b w:val="1"/>
          <w:bCs w:val="1"/>
          <w:color w:val="00004E"/>
        </w:rPr>
        <w:t>1</w:t>
      </w:r>
    </w:p>
    <w:p>
      <w:pPr>
        <w:sectPr>
          <w:pgSz w:w="11880" w:h="15480" w:orient="portrait"/>
          <w:cols w:equalWidth="0" w:num="1">
            <w:col w:w="10440"/>
          </w:cols>
          <w:pgMar w:left="720" w:top="650" w:right="720" w:bottom="8"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0000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Letter to Shareholders</w:t>
      </w:r>
    </w:p>
    <w:p>
      <w:pPr>
        <w:spacing w:after="0" w:line="200" w:lineRule="exact"/>
        <w:rPr>
          <w:sz w:val="20"/>
          <w:szCs w:val="20"/>
          <w:color w:val="auto"/>
        </w:rPr>
      </w:pPr>
    </w:p>
    <w:p>
      <w:pPr>
        <w:spacing w:after="0" w:line="300"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00004E"/>
        </w:rPr>
        <w:t>Dear Fellow Shareholders:</w:t>
      </w:r>
    </w:p>
    <w:p>
      <w:pPr>
        <w:spacing w:after="0" w:line="198" w:lineRule="exact"/>
        <w:rPr>
          <w:sz w:val="20"/>
          <w:szCs w:val="20"/>
          <w:color w:val="auto"/>
        </w:rPr>
      </w:pPr>
    </w:p>
    <w:p>
      <w:pPr>
        <w:ind w:left="2380" w:right="160"/>
        <w:spacing w:after="0" w:line="255" w:lineRule="auto"/>
        <w:rPr>
          <w:sz w:val="20"/>
          <w:szCs w:val="20"/>
          <w:color w:val="auto"/>
        </w:rPr>
      </w:pPr>
      <w:r>
        <w:rPr>
          <w:rFonts w:ascii="Arial" w:cs="Arial" w:eastAsia="Arial" w:hAnsi="Arial"/>
          <w:sz w:val="21"/>
          <w:szCs w:val="21"/>
          <w:color w:val="auto"/>
        </w:rPr>
        <w:t>In 2025, Rhythm continued to evolve and grow as we expanded our organization to more than 400 employees, advanced our work across multiple rare disease programs, and strengthened our global capabilities. IMCIVREE is now available to patients in more than 25 countries, reflecting a growing reach and our commitment to serving patients and communities worldwide. This progress is the result of disciplined execution and a sharp focus on helping patients who have had little to no meaningful treatment options.</w:t>
      </w:r>
    </w:p>
    <w:p>
      <w:pPr>
        <w:spacing w:after="0" w:line="237" w:lineRule="exact"/>
        <w:rPr>
          <w:sz w:val="20"/>
          <w:szCs w:val="20"/>
          <w:color w:val="auto"/>
        </w:rPr>
      </w:pPr>
    </w:p>
    <w:p>
      <w:pPr>
        <w:ind w:left="20" w:right="20"/>
        <w:spacing w:after="0" w:line="255" w:lineRule="exact"/>
        <w:rPr>
          <w:sz w:val="20"/>
          <w:szCs w:val="20"/>
          <w:color w:val="auto"/>
        </w:rPr>
      </w:pPr>
      <w:r>
        <w:rPr>
          <w:rFonts w:ascii="Arial" w:cs="Arial" w:eastAsia="Arial" w:hAnsi="Arial"/>
          <w:sz w:val="21"/>
          <w:szCs w:val="21"/>
          <w:color w:val="auto"/>
        </w:rPr>
        <w:t>As Rhythm has grown, our strategy has remained consistent. We follow the science to understand the root causes of disease, particularly where well</w:t>
      </w:r>
      <w:r>
        <w:rPr>
          <w:rFonts w:ascii="Arial Unicode MS" w:cs="Arial Unicode MS" w:eastAsia="Arial Unicode MS" w:hAnsi="Arial Unicode MS"/>
          <w:sz w:val="21"/>
          <w:szCs w:val="21"/>
          <w:color w:val="auto"/>
        </w:rPr>
        <w:t>‑</w:t>
      </w:r>
      <w:r>
        <w:rPr>
          <w:rFonts w:ascii="Arial" w:cs="Arial" w:eastAsia="Arial" w:hAnsi="Arial"/>
          <w:sz w:val="21"/>
          <w:szCs w:val="21"/>
          <w:color w:val="auto"/>
        </w:rPr>
        <w:t>defined biological disruptions can be addressed through a clear mechanism of action. Over time, this approach has made one thing clear: obesity is not a single condition, but many diseases driven by distinct biological mechanisms that can benefit from targeted, rather than generalized, therapeutic approaches. At Rhythm, we focus on the melanocortin-4 receptor (MC4R) pathway and its role in regulating body weight and hunger as the underlying driver of a growing number of rare obesity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60" w:right="840"/>
        <w:spacing w:after="0" w:line="255" w:lineRule="auto"/>
        <w:rPr>
          <w:sz w:val="20"/>
          <w:szCs w:val="20"/>
          <w:color w:val="auto"/>
        </w:rPr>
      </w:pPr>
      <w:r>
        <w:rPr>
          <w:rFonts w:ascii="Arial" w:cs="Arial" w:eastAsia="Arial" w:hAnsi="Arial"/>
          <w:sz w:val="32"/>
          <w:szCs w:val="32"/>
          <w:color w:val="auto"/>
        </w:rPr>
        <w:t>“IMCIVREE is now available to patients in more than 25 countries, reflecting a growing reach and our commitment to serving patients and communities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spacing w:after="0" w:line="253" w:lineRule="auto"/>
        <w:rPr>
          <w:sz w:val="20"/>
          <w:szCs w:val="20"/>
          <w:color w:val="auto"/>
        </w:rPr>
      </w:pPr>
      <w:r>
        <w:rPr>
          <w:rFonts w:ascii="Arial" w:cs="Arial" w:eastAsia="Arial" w:hAnsi="Arial"/>
          <w:sz w:val="21"/>
          <w:szCs w:val="21"/>
          <w:color w:val="auto"/>
        </w:rPr>
        <w:t xml:space="preserve">As we mark the tenth anniversary of a landmark </w:t>
      </w:r>
      <w:r>
        <w:rPr>
          <w:rFonts w:ascii="Arial" w:cs="Arial" w:eastAsia="Arial" w:hAnsi="Arial"/>
          <w:sz w:val="21"/>
          <w:szCs w:val="21"/>
          <w:i w:val="1"/>
          <w:iCs w:val="1"/>
          <w:color w:val="auto"/>
        </w:rPr>
        <w:t>New England Journal of Medicine</w:t>
      </w:r>
      <w:r>
        <w:rPr>
          <w:rFonts w:ascii="Arial" w:cs="Arial" w:eastAsia="Arial" w:hAnsi="Arial"/>
          <w:sz w:val="21"/>
          <w:szCs w:val="21"/>
          <w:color w:val="auto"/>
        </w:rPr>
        <w:t xml:space="preserve"> publication that helped validate our targeted approach to addressing rare obesity diseases of the MC4R pathway, it provides an opportunity to reflect on where our work began and how foundational biological insights, established decades earlier, have continued to guide our progress.</w:t>
      </w: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When MC4R pathway function is impaired, hunger and food intake increase while energy utilization decreases, which can lead to dramatic increases in body weight. The burden on patients and their families is substantial and frequently misunderstood. The patient journeys shared in the following pages help illustrate these realities and provide context for our mission and the science that has guided our work.</w:t>
      </w:r>
    </w:p>
    <w:p>
      <w:pPr>
        <w:spacing w:after="0" w:line="282"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Our efforts began with proopiomelanocortin (POMC) and leptin receptor (LEPR) deficiencies, rare genetic diseases caused by variants in the POMC and LEPR genes that disrupt signaling in the MC4R pathway. In patients with POMC or LEPR deficiency, the diminished signaling of the pathway impairs activation of the melanocortin-4 receptor and results in severe hyperphagia and weight gain beginning in early childhood. As you will read in the following pages, Ben’s journey with LEPR deficiency reflects how disruption of the MC4R pathway manifests in daily life from a very young age and the challenges families face when living with a disease driven by underlying pathway dysfunction.</w:t>
      </w:r>
    </w:p>
    <w:p>
      <w:pPr>
        <w:spacing w:after="0" w:line="284"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As our understanding of MC4R biology deepened, we recognized that similar downstream impairment occurs in other rare genetic diseases, including Bardet-Biedl syndrome (BBS). In BBS, defects in ciliary function disrupt leptin receptor trafficking, again impairing MC4R signaling.</w:t>
      </w:r>
    </w:p>
    <w:p>
      <w:pPr>
        <w:sectPr>
          <w:pgSz w:w="11880" w:h="15480" w:orient="portrait"/>
          <w:cols w:equalWidth="0" w:num="1">
            <w:col w:w="10440"/>
          </w:cols>
          <w:pgMar w:left="720" w:top="624" w:right="720" w:bottom="2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00004E"/>
        </w:rPr>
        <w:t>2</w:t>
        <w:tab/>
        <w:t>RHYTHM PHARMACEUTICALS | 2025 ANNUAL REPORT</w:t>
      </w:r>
    </w:p>
    <w:p>
      <w:pPr>
        <w:sectPr>
          <w:pgSz w:w="11880" w:h="15480" w:orient="portrait"/>
          <w:cols w:equalWidth="0" w:num="1">
            <w:col w:w="10440"/>
          </w:cols>
          <w:pgMar w:left="720" w:top="624" w:right="720" w:bottom="20" w:gutter="0" w:footer="0" w:header="0"/>
          <w:type w:val="continuous"/>
        </w:sectPr>
      </w:pPr>
    </w:p>
    <w:bookmarkStart w:id="4" w:name="page5"/>
    <w:bookmarkEnd w:id="4"/>
    <w:p>
      <w:pPr>
        <w:jc w:val="both"/>
        <w:ind w:right="420"/>
        <w:spacing w:after="0" w:line="250"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Patients experience persistent hunger and severe obesity alongside other serious manifestations, including vision loss and renal complications. Amber’s experience underscores how disruption of a single pathway can result in a complex, multisystem disease with lifelong impact.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40" w:right="1180"/>
        <w:spacing w:after="0" w:line="243" w:lineRule="auto"/>
        <w:rPr>
          <w:sz w:val="20"/>
          <w:szCs w:val="20"/>
          <w:color w:val="auto"/>
        </w:rPr>
      </w:pPr>
      <w:r>
        <w:rPr>
          <w:rFonts w:ascii="Arial" w:cs="Arial" w:eastAsia="Arial" w:hAnsi="Arial"/>
          <w:sz w:val="29"/>
          <w:szCs w:val="29"/>
          <w:color w:val="auto"/>
        </w:rPr>
        <w:t>“With a strong scientific foundation, a global footprint and an expanded MC4R pipeline, we believe Rhythm is well positioned for our next chapter as we work to translate complex biology into real-world impact for many more patients.”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color w:val="auto"/>
        </w:rPr>
        <w:t>Our evolution has also been informed by close engagement with patients, caregivers, and physicians. Feedback from the clinical and patient communities encouraged us to explore acquired hypothalamic obesity (HO), a rare condition that most frequently follows the growth or treatment of certain hypothalamic-pituitary tumors, and can also result from traumatic brain injury, stroke, or inflammation. Anatomical injury to the hypothalamus, like genetic injury, disrupts MC4R pathway signaling, leading to accelerated and sustained weight gain, often accompanied by hyperphagia and decreased energy expenditure. These changes can occur within months of hypothalamic injury. The experiences of Lainey and Zachary illustrate how suddenly and profoundly life can change following this disruption, even with careful medical management.</w:t>
      </w:r>
    </w:p>
    <w:p>
      <w:pPr>
        <w:spacing w:after="0" w:line="279" w:lineRule="exact"/>
        <w:rPr>
          <w:sz w:val="20"/>
          <w:szCs w:val="20"/>
          <w:color w:val="auto"/>
        </w:rPr>
      </w:pPr>
    </w:p>
    <w:p>
      <w:pPr>
        <w:ind w:right="320"/>
        <w:spacing w:after="0" w:line="255" w:lineRule="auto"/>
        <w:rPr>
          <w:sz w:val="20"/>
          <w:szCs w:val="20"/>
          <w:color w:val="auto"/>
        </w:rPr>
      </w:pPr>
      <w:r>
        <w:rPr>
          <w:rFonts w:ascii="Arial" w:cs="Arial" w:eastAsia="Arial" w:hAnsi="Arial"/>
          <w:sz w:val="21"/>
          <w:szCs w:val="21"/>
          <w:color w:val="auto"/>
        </w:rPr>
        <w:t>Together, these diseases reflect a shared biological principle and the basis of our therapeutic philosophy. When MC4R pathway function is disrupted, whether by genetic variants or injury, patients develop a serious and persistent disease driven by underlying biology. This understanding continues to guide our exploration of additional patient populations, including Prader-Willi syndrome, a complex genetic disease characterized by hypothalamic dysfunction that leads to abnormal appetite regulation, hyperphagia, and early-onset, severe obesity, as reflected in RJ’s story.</w:t>
      </w:r>
    </w:p>
    <w:p>
      <w:pPr>
        <w:spacing w:after="0" w:line="281" w:lineRule="exact"/>
        <w:rPr>
          <w:sz w:val="20"/>
          <w:szCs w:val="20"/>
          <w:color w:val="auto"/>
        </w:rPr>
      </w:pPr>
    </w:p>
    <w:p>
      <w:pPr>
        <w:ind w:right="60"/>
        <w:spacing w:after="0" w:line="254" w:lineRule="auto"/>
        <w:rPr>
          <w:sz w:val="20"/>
          <w:szCs w:val="20"/>
          <w:color w:val="auto"/>
        </w:rPr>
      </w:pPr>
      <w:r>
        <w:rPr>
          <w:rFonts w:ascii="Arial" w:cs="Arial" w:eastAsia="Arial" w:hAnsi="Arial"/>
          <w:sz w:val="21"/>
          <w:szCs w:val="21"/>
          <w:color w:val="auto"/>
        </w:rPr>
        <w:t>In addition to expanding MC4R agonism into new disease states, we have expanded our MC4R agonist franchise. We are developing two earlier-stage investigational MC4R agonists, bivamelagon (formerly LB54640), an oral small molecule, and RM-718, designed for weekly subcutaneous administration. These assets, both of which are now being evaluated in ongoing Phase 2 trials, are specifically designed to exhibit high selectivity for the MC4 receptor.</w:t>
      </w:r>
    </w:p>
    <w:p>
      <w:pPr>
        <w:spacing w:after="0" w:line="282"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Looking ahead, our focus remains on expanding our reach to ensure patients around the world have access to therapies for rare diseases of the MC4R pathway that have long been underrecognized and underserved. We are on track for regulatory decisions in acquired HO in both the European Union and Japan later this year, and we are prepared to execute and launch in these regions to bring therapy to patients in need. As we continue to grow globally, we remain committed to following the science into new indications where a clear biological rationale supports meaningful benefit.</w:t>
      </w:r>
    </w:p>
    <w:p>
      <w:pPr>
        <w:spacing w:after="0" w:line="281"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a strong scientific foundation, a global footprint and an expanded MC4R pipeline, we believe Rhythm is well positioned for our next chapter as we work to translate complex biology into real-world impact for many more patients.</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00004E"/>
        </w:rPr>
        <w:t>David Meeker, MD</w:t>
      </w:r>
    </w:p>
    <w:p>
      <w:pPr>
        <w:spacing w:after="0" w:line="18" w:lineRule="exact"/>
        <w:rPr>
          <w:sz w:val="20"/>
          <w:szCs w:val="20"/>
          <w:color w:val="auto"/>
        </w:rPr>
      </w:pPr>
    </w:p>
    <w:p>
      <w:pPr>
        <w:spacing w:after="0"/>
        <w:rPr>
          <w:sz w:val="20"/>
          <w:szCs w:val="20"/>
          <w:color w:val="auto"/>
        </w:rPr>
      </w:pPr>
      <w:r>
        <w:rPr>
          <w:rFonts w:ascii="Arial" w:cs="Arial" w:eastAsia="Arial" w:hAnsi="Arial"/>
          <w:sz w:val="24"/>
          <w:szCs w:val="24"/>
          <w:color w:val="00004E"/>
        </w:rPr>
        <w:t>Chief Executive Officer</w:t>
      </w:r>
    </w:p>
    <w:p>
      <w:pPr>
        <w:sectPr>
          <w:pgSz w:w="11880" w:h="15480" w:orient="portrait"/>
          <w:cols w:equalWidth="0" w:num="1">
            <w:col w:w="10440"/>
          </w:cols>
          <w:pgMar w:left="720" w:top="68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320"/>
        <w:spacing w:after="0"/>
        <w:tabs>
          <w:tab w:leader="none" w:pos="10340" w:val="left"/>
        </w:tabs>
        <w:rPr>
          <w:sz w:val="20"/>
          <w:szCs w:val="20"/>
          <w:color w:val="auto"/>
        </w:rPr>
      </w:pPr>
      <w:r>
        <w:rPr>
          <w:rFonts w:ascii="Arial" w:cs="Arial" w:eastAsia="Arial" w:hAnsi="Arial"/>
          <w:sz w:val="15"/>
          <w:szCs w:val="15"/>
          <w:b w:val="1"/>
          <w:bCs w:val="1"/>
          <w:color w:val="00004E"/>
        </w:rPr>
        <w:t>RHYTHM PHARMACEUTICALS | 2025 ANNUAL REPORT</w:t>
      </w:r>
      <w:r>
        <w:rPr>
          <w:sz w:val="20"/>
          <w:szCs w:val="20"/>
          <w:color w:val="auto"/>
        </w:rPr>
        <w:tab/>
      </w:r>
      <w:r>
        <w:rPr>
          <w:rFonts w:ascii="Arial" w:cs="Arial" w:eastAsia="Arial" w:hAnsi="Arial"/>
          <w:sz w:val="14"/>
          <w:szCs w:val="14"/>
          <w:b w:val="1"/>
          <w:bCs w:val="1"/>
          <w:color w:val="00004E"/>
        </w:rPr>
        <w:t>3</w:t>
      </w:r>
    </w:p>
    <w:p>
      <w:pPr>
        <w:sectPr>
          <w:pgSz w:w="11880" w:h="15480" w:orient="portrait"/>
          <w:cols w:equalWidth="0" w:num="1">
            <w:col w:w="10440"/>
          </w:cols>
          <w:pgMar w:left="720" w:top="688" w:right="720" w:bottom="0" w:gutter="0" w:footer="0" w:header="0"/>
          <w:type w:val="continuous"/>
        </w:sectPr>
      </w:pPr>
    </w:p>
    <w:bookmarkStart w:id="5" w:name="page6"/>
    <w:bookmarkEnd w:id="5"/>
    <w:p>
      <w:pPr>
        <w:spacing w:after="0"/>
        <w:rPr>
          <w:sz w:val="20"/>
          <w:szCs w:val="20"/>
          <w:color w:val="auto"/>
        </w:rPr>
      </w:pPr>
      <w:r>
        <w:rPr>
          <w:rFonts w:ascii="Arial" w:cs="Arial" w:eastAsia="Arial" w:hAnsi="Arial"/>
          <w:sz w:val="50"/>
          <w:szCs w:val="50"/>
          <w:b w:val="1"/>
          <w:bCs w:val="1"/>
          <w:color w:val="0000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Patient Stories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880"/>
        <w:spacing w:after="0"/>
        <w:rPr>
          <w:sz w:val="20"/>
          <w:szCs w:val="20"/>
          <w:color w:val="auto"/>
        </w:rPr>
      </w:pPr>
      <w:r>
        <w:rPr>
          <w:rFonts w:ascii="Arial" w:cs="Arial" w:eastAsia="Arial" w:hAnsi="Arial"/>
          <w:sz w:val="84"/>
          <w:szCs w:val="84"/>
          <w:b w:val="1"/>
          <w:bCs w:val="1"/>
          <w:color w:val="2D98C5"/>
        </w:rPr>
        <w:t>Ben’s</w:t>
      </w:r>
    </w:p>
    <w:p>
      <w:pPr>
        <w:ind w:left="7880"/>
        <w:spacing w:after="0" w:line="233" w:lineRule="auto"/>
        <w:rPr>
          <w:sz w:val="20"/>
          <w:szCs w:val="20"/>
          <w:color w:val="auto"/>
        </w:rPr>
      </w:pPr>
      <w:r>
        <w:rPr>
          <w:rFonts w:ascii="Arial" w:cs="Arial" w:eastAsia="Arial" w:hAnsi="Arial"/>
          <w:sz w:val="84"/>
          <w:szCs w:val="84"/>
          <w:b w:val="1"/>
          <w:bCs w:val="1"/>
          <w:color w:val="2D98C5"/>
        </w:rPr>
        <w:t>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80"/>
        <w:spacing w:after="0" w:line="250" w:lineRule="auto"/>
        <w:rPr>
          <w:sz w:val="20"/>
          <w:szCs w:val="20"/>
          <w:color w:val="auto"/>
        </w:rPr>
      </w:pPr>
      <w:r>
        <w:rPr>
          <w:rFonts w:ascii="Arial" w:cs="Arial" w:eastAsia="Arial" w:hAnsi="Arial"/>
          <w:sz w:val="28"/>
          <w:szCs w:val="28"/>
          <w:color w:val="auto"/>
        </w:rPr>
        <w:t>From early infancy, Ben experienced constant hunger and rapid weight gain that far exceeded typical expectations for his age. By the time he was two years old, Ben weighed more than 60 pounds, and by age three, nearly 100 pounds. His hyperphagia and weight gain affected his ability to crawl, walk, and engage in typical childhood activities, placing significant strain on Ben and his family.</w:t>
      </w:r>
    </w:p>
    <w:p>
      <w:pPr>
        <w:spacing w:after="0" w:line="318" w:lineRule="exact"/>
        <w:rPr>
          <w:sz w:val="20"/>
          <w:szCs w:val="20"/>
          <w:color w:val="auto"/>
        </w:rPr>
      </w:pPr>
    </w:p>
    <w:p>
      <w:pPr>
        <w:ind w:right="480"/>
        <w:spacing w:after="0" w:line="258" w:lineRule="auto"/>
        <w:rPr>
          <w:sz w:val="20"/>
          <w:szCs w:val="20"/>
          <w:color w:val="auto"/>
        </w:rPr>
      </w:pPr>
      <w:r>
        <w:rPr>
          <w:rFonts w:ascii="Arial" w:cs="Arial" w:eastAsia="Arial" w:hAnsi="Arial"/>
          <w:sz w:val="24"/>
          <w:szCs w:val="24"/>
          <w:color w:val="auto"/>
        </w:rPr>
        <w:t>When he was an infant, Ben underwent respiratory surgery that required him to be put in a medically induced coma. During the ten days he was in a coma, Ben continued to gain weight, further reinforcing that his symptoms were not related to eating behavior. Despite careful monitoring of food intake and structured efforts to manage his eating environment, Ben’s hyperphagia remained persistent. He would often sit by the pantry in distress looking for more food, and his parents resorted to hiding food and avoiding social situations centered around meals.</w:t>
      </w:r>
    </w:p>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24"/>
          <w:szCs w:val="24"/>
          <w:color w:val="auto"/>
        </w:rPr>
        <w:t>Over nearly two years, Ben’s family sought answers from more than 20 medical specialists at multiple institutions, including pediatricians, endocrinologists, and neurologists. Extensive testing did not initially reveal a cause. Finally, when he was two years old, genetic testing identified LEPR deficiency, a rare genetic disease caused by impairment in the MC4R pathway.</w:t>
      </w:r>
    </w:p>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24"/>
          <w:szCs w:val="24"/>
          <w:color w:val="auto"/>
        </w:rPr>
        <w:t>While Ben and his family continue to manage the realities of living with LEPR deficiency, Ben is able to take part in activities he enjoys, including playing with LEGOs and participating in sports, with karate as his favorite.</w:t>
      </w:r>
    </w:p>
    <w:p>
      <w:pPr>
        <w:sectPr>
          <w:pgSz w:w="11880" w:h="15480" w:orient="portrait"/>
          <w:cols w:equalWidth="0" w:num="1">
            <w:col w:w="10440"/>
          </w:cols>
          <w:pgMar w:left="720" w:top="624" w:right="720" w:bottom="20" w:gutter="0" w:footer="0" w:header="0"/>
        </w:sectPr>
      </w:pPr>
    </w:p>
    <w:p>
      <w:pPr>
        <w:spacing w:after="0" w:line="27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00004E"/>
        </w:rPr>
        <w:t>4</w:t>
        <w:tab/>
        <w:t>RHYTHM PHARMACEUTICALS | 2025 ANNUAL REPORT</w:t>
      </w:r>
    </w:p>
    <w:p>
      <w:pPr>
        <w:sectPr>
          <w:pgSz w:w="11880" w:h="15480" w:orient="portrait"/>
          <w:cols w:equalWidth="0" w:num="1">
            <w:col w:w="10440"/>
          </w:cols>
          <w:pgMar w:left="720" w:top="624" w:right="720" w:bottom="2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50" w:lineRule="auto"/>
        <w:rPr>
          <w:sz w:val="20"/>
          <w:szCs w:val="20"/>
          <w:color w:val="auto"/>
        </w:rPr>
      </w:pPr>
      <w:r>
        <w:rPr>
          <w:rFonts w:ascii="Arial" w:cs="Arial" w:eastAsia="Arial" w:hAnsi="Arial"/>
          <w:sz w:val="28"/>
          <w:szCs w:val="28"/>
          <w:color w:val="auto"/>
        </w:rPr>
        <w:t>Amber was diagnosed with Bardet-Biedl syndrome (BBS) following early clinical signs in infancy. Born with extra fingers and toes, she was referred to a specialist who recognized the likelihood of a broader underlying condition. Genetic testing later confirmed BBS10, a diagnosis that would shape Amber’s health, development, and daily life.</w:t>
      </w:r>
    </w:p>
    <w:p>
      <w:pPr>
        <w:spacing w:after="0" w:line="358" w:lineRule="exact"/>
        <w:rPr>
          <w:sz w:val="20"/>
          <w:szCs w:val="20"/>
          <w:color w:val="auto"/>
        </w:rPr>
      </w:pPr>
    </w:p>
    <w:p>
      <w:pPr>
        <w:ind w:right="200"/>
        <w:spacing w:after="0" w:line="258" w:lineRule="auto"/>
        <w:rPr>
          <w:sz w:val="20"/>
          <w:szCs w:val="20"/>
          <w:color w:val="auto"/>
        </w:rPr>
      </w:pPr>
      <w:r>
        <w:rPr>
          <w:rFonts w:ascii="Arial" w:cs="Arial" w:eastAsia="Arial" w:hAnsi="Arial"/>
          <w:sz w:val="24"/>
          <w:szCs w:val="24"/>
          <w:color w:val="auto"/>
        </w:rPr>
        <w:t>As Amber grew, one of the most significant and challenging manifestations of BBS became clear: hyperphagia, an insatiable, pathological hunger characterized by abnormal food-seeking behaviors. From early childhood, food dominated nearly every aspect of her day. Despite structured routines, environmental controls, and ongoing family support, the constant drive to eat was unrelenting. This had a profound impact not only on Amber’s physical health, but also on her emotional wellbeing, confidence, and independence, as well as on her family’s daily life.</w:t>
      </w:r>
    </w:p>
    <w:p>
      <w:pPr>
        <w:spacing w:after="0" w:line="320" w:lineRule="exact"/>
        <w:rPr>
          <w:sz w:val="20"/>
          <w:szCs w:val="20"/>
          <w:color w:val="auto"/>
        </w:rPr>
      </w:pPr>
    </w:p>
    <w:p>
      <w:pPr>
        <w:ind w:right="180"/>
        <w:spacing w:after="0" w:line="257" w:lineRule="auto"/>
        <w:rPr>
          <w:sz w:val="20"/>
          <w:szCs w:val="20"/>
          <w:color w:val="auto"/>
        </w:rPr>
      </w:pPr>
      <w:r>
        <w:rPr>
          <w:rFonts w:ascii="Arial" w:cs="Arial" w:eastAsia="Arial" w:hAnsi="Arial"/>
          <w:sz w:val="24"/>
          <w:szCs w:val="24"/>
          <w:color w:val="auto"/>
        </w:rPr>
        <w:t>Like many individuals living with BBS, Amber also experienced visual impairment and night blindness, requiring additional medical monitoring and support. Over time, her family navigated the realities of a lifelong, multisystem genetic disease, often in the absence of disease-specific treatment options. For many years, care focused on managing symptoms rather than addressing the underlying biology of hyperphagia.</w:t>
      </w:r>
    </w:p>
    <w:p>
      <w:pPr>
        <w:spacing w:after="0" w:line="322" w:lineRule="exact"/>
        <w:rPr>
          <w:sz w:val="20"/>
          <w:szCs w:val="20"/>
          <w:color w:val="auto"/>
        </w:rPr>
      </w:pPr>
    </w:p>
    <w:p>
      <w:pPr>
        <w:ind w:right="6160"/>
        <w:spacing w:after="0" w:line="269" w:lineRule="auto"/>
        <w:rPr>
          <w:sz w:val="20"/>
          <w:szCs w:val="20"/>
          <w:color w:val="auto"/>
        </w:rPr>
      </w:pPr>
      <w:r>
        <w:rPr>
          <w:rFonts w:ascii="Arial" w:cs="Arial" w:eastAsia="Arial" w:hAnsi="Arial"/>
          <w:sz w:val="23"/>
          <w:szCs w:val="23"/>
          <w:color w:val="auto"/>
        </w:rPr>
        <w:t>While BBS remains a lifelong condition, Amber is able to focus less on managing hunger and more on being herself.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40" w:right="6380"/>
        <w:spacing w:after="0" w:line="264" w:lineRule="auto"/>
        <w:rPr>
          <w:sz w:val="20"/>
          <w:szCs w:val="20"/>
          <w:color w:val="auto"/>
        </w:rPr>
      </w:pPr>
      <w:r>
        <w:rPr>
          <w:rFonts w:ascii="Arial" w:cs="Arial" w:eastAsia="Arial" w:hAnsi="Arial"/>
          <w:sz w:val="77"/>
          <w:szCs w:val="77"/>
          <w:b w:val="1"/>
          <w:bCs w:val="1"/>
          <w:color w:val="2D98C5"/>
        </w:rPr>
        <w:t>Amber’s Story</w:t>
      </w:r>
    </w:p>
    <w:p>
      <w:pPr>
        <w:sectPr>
          <w:pgSz w:w="11880" w:h="15480" w:orient="portrait"/>
          <w:cols w:equalWidth="0" w:num="1">
            <w:col w:w="10420"/>
          </w:cols>
          <w:pgMar w:left="74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300"/>
        <w:spacing w:after="0"/>
        <w:tabs>
          <w:tab w:leader="none" w:pos="10300" w:val="left"/>
        </w:tabs>
        <w:rPr>
          <w:sz w:val="20"/>
          <w:szCs w:val="20"/>
          <w:color w:val="auto"/>
        </w:rPr>
      </w:pPr>
      <w:r>
        <w:rPr>
          <w:rFonts w:ascii="Arial" w:cs="Arial" w:eastAsia="Arial" w:hAnsi="Arial"/>
          <w:sz w:val="15"/>
          <w:szCs w:val="15"/>
          <w:b w:val="1"/>
          <w:bCs w:val="1"/>
          <w:color w:val="00004E"/>
        </w:rPr>
        <w:t>RHYTHM PHARMACEUTICALS | 2025 ANNUAL REPORT</w:t>
      </w:r>
      <w:r>
        <w:rPr>
          <w:sz w:val="20"/>
          <w:szCs w:val="20"/>
          <w:color w:val="auto"/>
        </w:rPr>
        <w:tab/>
      </w:r>
      <w:r>
        <w:rPr>
          <w:rFonts w:ascii="Arial" w:cs="Arial" w:eastAsia="Arial" w:hAnsi="Arial"/>
          <w:sz w:val="16"/>
          <w:szCs w:val="16"/>
          <w:b w:val="1"/>
          <w:bCs w:val="1"/>
          <w:color w:val="00004E"/>
        </w:rPr>
        <w:t>5</w:t>
      </w:r>
    </w:p>
    <w:p>
      <w:pPr>
        <w:sectPr>
          <w:pgSz w:w="11880" w:h="15480" w:orient="portrait"/>
          <w:cols w:equalWidth="0" w:num="1">
            <w:col w:w="10420"/>
          </w:cols>
          <w:pgMar w:left="740" w:top="1440" w:right="720" w:bottom="0" w:gutter="0" w:footer="0" w:header="0"/>
          <w:type w:val="continuous"/>
        </w:sectPr>
      </w:pPr>
    </w:p>
    <w:bookmarkStart w:id="7" w:name="page8"/>
    <w:bookmarkEnd w:id="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left="5220" w:right="2060"/>
        <w:spacing w:after="0" w:line="277" w:lineRule="auto"/>
        <w:rPr>
          <w:sz w:val="20"/>
          <w:szCs w:val="20"/>
          <w:color w:val="auto"/>
        </w:rPr>
      </w:pPr>
      <w:r>
        <w:rPr>
          <w:rFonts w:ascii="Arial" w:cs="Arial" w:eastAsia="Arial" w:hAnsi="Arial"/>
          <w:sz w:val="75"/>
          <w:szCs w:val="75"/>
          <w:b w:val="1"/>
          <w:bCs w:val="1"/>
          <w:color w:val="2D98C5"/>
        </w:rPr>
        <w:t>Lainey’s Story</w:t>
      </w:r>
    </w:p>
    <w:p>
      <w:pPr>
        <w:spacing w:after="0" w:line="339" w:lineRule="exact"/>
        <w:rPr>
          <w:sz w:val="20"/>
          <w:szCs w:val="20"/>
          <w:color w:val="auto"/>
        </w:rPr>
      </w:pPr>
    </w:p>
    <w:p>
      <w:pPr>
        <w:ind w:left="5220" w:right="60"/>
        <w:spacing w:after="0" w:line="261" w:lineRule="auto"/>
        <w:rPr>
          <w:sz w:val="20"/>
          <w:szCs w:val="20"/>
          <w:color w:val="auto"/>
        </w:rPr>
      </w:pPr>
      <w:r>
        <w:rPr>
          <w:rFonts w:ascii="Arial" w:cs="Arial" w:eastAsia="Arial" w:hAnsi="Arial"/>
          <w:sz w:val="27"/>
          <w:szCs w:val="27"/>
          <w:color w:val="auto"/>
        </w:rPr>
        <w:t>Lainey was an active child who spent her early years in competitive gymnastics. At age eight, she was diagnosed with</w:t>
      </w:r>
    </w:p>
    <w:p>
      <w:pPr>
        <w:spacing w:after="0" w:line="7" w:lineRule="exact"/>
        <w:rPr>
          <w:sz w:val="20"/>
          <w:szCs w:val="20"/>
          <w:color w:val="auto"/>
        </w:rPr>
      </w:pPr>
    </w:p>
    <w:p>
      <w:pPr>
        <w:ind w:left="5220"/>
        <w:spacing w:after="0" w:line="250" w:lineRule="auto"/>
        <w:rPr>
          <w:sz w:val="20"/>
          <w:szCs w:val="20"/>
          <w:color w:val="auto"/>
        </w:rPr>
      </w:pPr>
      <w:r>
        <w:rPr>
          <w:rFonts w:ascii="Arial" w:cs="Arial" w:eastAsia="Arial" w:hAnsi="Arial"/>
          <w:sz w:val="28"/>
          <w:szCs w:val="28"/>
          <w:color w:val="auto"/>
        </w:rPr>
        <w:t>a craniopharyngioma tumor affecting her optic nerve. Surgical removal of the tumor was successful, but the procedure caused damage to her hypothalamus, resulting in acquired HO.</w:t>
      </w:r>
    </w:p>
    <w:p>
      <w:pPr>
        <w:spacing w:after="0" w:line="379" w:lineRule="exact"/>
        <w:rPr>
          <w:sz w:val="20"/>
          <w:szCs w:val="20"/>
          <w:color w:val="auto"/>
        </w:rPr>
      </w:pPr>
    </w:p>
    <w:p>
      <w:pPr>
        <w:ind w:right="80"/>
        <w:spacing w:after="0" w:line="293" w:lineRule="auto"/>
        <w:rPr>
          <w:sz w:val="20"/>
          <w:szCs w:val="20"/>
          <w:color w:val="auto"/>
        </w:rPr>
      </w:pPr>
      <w:r>
        <w:rPr>
          <w:rFonts w:ascii="Arial" w:cs="Arial" w:eastAsia="Arial" w:hAnsi="Arial"/>
          <w:sz w:val="21"/>
          <w:szCs w:val="21"/>
          <w:color w:val="auto"/>
        </w:rPr>
        <w:t>Following surgery, Lainey developed persistent hyperphagia, along with rapid weight gain, severe fatigue, and multiple hormone deficiencies. These symptoms emerged despite significant lifestyle management efforts and were unrelated to behavior or willpower. Several early medical consultations failed to recognize acquired HO, delaying appropriate diagnosis.</w:t>
      </w:r>
    </w:p>
    <w:p>
      <w:pPr>
        <w:spacing w:after="0" w:line="321" w:lineRule="exact"/>
        <w:rPr>
          <w:sz w:val="20"/>
          <w:szCs w:val="20"/>
          <w:color w:val="auto"/>
        </w:rPr>
      </w:pPr>
    </w:p>
    <w:p>
      <w:pPr>
        <w:ind w:right="60"/>
        <w:spacing w:after="0" w:line="293" w:lineRule="auto"/>
        <w:rPr>
          <w:sz w:val="20"/>
          <w:szCs w:val="20"/>
          <w:color w:val="auto"/>
        </w:rPr>
      </w:pPr>
      <w:r>
        <w:rPr>
          <w:rFonts w:ascii="Arial" w:cs="Arial" w:eastAsia="Arial" w:hAnsi="Arial"/>
          <w:sz w:val="21"/>
          <w:szCs w:val="21"/>
          <w:color w:val="auto"/>
        </w:rPr>
        <w:t>Acquired HO affected nearly every aspect of Lainey’s life. She was forced to stop competitive athletics and experienced increasing difficulty managing daily activities, social interactions, and academic transitions. The constant hyperphagia required ongoing monitoring and control measures, particularly at night, and limited her independence as she moved into adolescence and college.</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color w:val="auto"/>
        </w:rPr>
        <w:t>While acquired HO remains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a central factor in her life, she has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adapted to living with the condition</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and continues to advocate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for greater awareness and</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understanding among clinicians,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caregivers, and the broader</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healthcare community.</w:t>
      </w:r>
    </w:p>
    <w:p>
      <w:pPr>
        <w:sectPr>
          <w:pgSz w:w="11880" w:h="15480" w:orient="portrait"/>
          <w:cols w:equalWidth="0" w:num="1">
            <w:col w:w="10320"/>
          </w:cols>
          <w:pgMar w:left="720" w:top="1440" w:right="840" w:bottom="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00004E"/>
        </w:rPr>
        <w:t>6</w:t>
        <w:tab/>
        <w:t>RHYTHM PHARMACEUTICALS | 2025 ANNUAL REPORT</w:t>
      </w:r>
    </w:p>
    <w:p>
      <w:pPr>
        <w:sectPr>
          <w:pgSz w:w="11880" w:h="15480" w:orient="portrait"/>
          <w:cols w:equalWidth="0" w:num="1">
            <w:col w:w="10320"/>
          </w:cols>
          <w:pgMar w:left="720" w:top="1440" w:right="840" w:bottom="20" w:gutter="0" w:footer="0" w:header="0"/>
          <w:type w:val="continuous"/>
        </w:sectPr>
      </w:pPr>
    </w:p>
    <w:bookmarkStart w:id="8" w:name="page9"/>
    <w:bookmarkEnd w:id="8"/>
    <w:p>
      <w:pPr>
        <w:spacing w:after="0"/>
        <w:rPr>
          <w:sz w:val="20"/>
          <w:szCs w:val="20"/>
          <w:color w:val="auto"/>
        </w:rPr>
      </w:pPr>
      <w:r>
        <w:rPr>
          <w:rFonts w:ascii="Arial" w:cs="Arial" w:eastAsia="Arial" w:hAnsi="Arial"/>
          <w:sz w:val="84"/>
          <w:szCs w:val="84"/>
          <w:b w:val="1"/>
          <w:bCs w:val="1"/>
          <w:color w:val="2D98C5"/>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Zachary’s Story</w:t>
      </w:r>
    </w:p>
    <w:p>
      <w:pPr>
        <w:spacing w:after="0" w:line="181" w:lineRule="exact"/>
        <w:rPr>
          <w:sz w:val="20"/>
          <w:szCs w:val="20"/>
          <w:color w:val="auto"/>
        </w:rPr>
      </w:pPr>
    </w:p>
    <w:p>
      <w:pPr>
        <w:ind w:right="440"/>
        <w:spacing w:after="0" w:line="250" w:lineRule="auto"/>
        <w:rPr>
          <w:sz w:val="20"/>
          <w:szCs w:val="20"/>
          <w:color w:val="auto"/>
        </w:rPr>
      </w:pPr>
      <w:r>
        <w:rPr>
          <w:rFonts w:ascii="Arial" w:cs="Arial" w:eastAsia="Arial" w:hAnsi="Arial"/>
          <w:sz w:val="28"/>
          <w:szCs w:val="28"/>
          <w:color w:val="auto"/>
        </w:rPr>
        <w:t>Zachary was six years old when he was diagnosed with craniopharyngioma, a rare, benign brain tumor located near the pituitary gland. Prior to diagnosis, he experienced persistent headaches and changes in eating behavior that were initially difficult to explain. Imaging ultimately revealed the tumor, and his family quickly sought care from specialists with experience treating this rare condition.</w:t>
      </w:r>
    </w:p>
    <w:p>
      <w:pPr>
        <w:spacing w:after="0" w:line="343" w:lineRule="exact"/>
        <w:rPr>
          <w:sz w:val="20"/>
          <w:szCs w:val="20"/>
          <w:color w:val="auto"/>
        </w:rPr>
      </w:pPr>
    </w:p>
    <w:p>
      <w:pPr>
        <w:ind w:right="5880"/>
        <w:spacing w:after="0" w:line="295" w:lineRule="auto"/>
        <w:rPr>
          <w:sz w:val="20"/>
          <w:szCs w:val="20"/>
          <w:color w:val="auto"/>
        </w:rPr>
      </w:pPr>
      <w:r>
        <w:rPr>
          <w:rFonts w:ascii="Arial" w:cs="Arial" w:eastAsia="Arial" w:hAnsi="Arial"/>
          <w:sz w:val="21"/>
          <w:szCs w:val="21"/>
          <w:color w:val="auto"/>
        </w:rPr>
        <w:t>Zachary first underwent a less invasive radioisotope procedure to slow tumor growth, followed by surgery approximately one year later to remove the majority of the tumor. While the surgery was successful, his care team warned that damage to the hypothalamus could result in acquired HO.</w:t>
      </w:r>
    </w:p>
    <w:p>
      <w:pPr>
        <w:spacing w:after="0" w:line="322" w:lineRule="exact"/>
        <w:rPr>
          <w:sz w:val="20"/>
          <w:szCs w:val="20"/>
          <w:color w:val="auto"/>
        </w:rPr>
      </w:pPr>
    </w:p>
    <w:p>
      <w:pPr>
        <w:ind w:right="6600"/>
        <w:spacing w:after="0" w:line="293" w:lineRule="auto"/>
        <w:rPr>
          <w:sz w:val="20"/>
          <w:szCs w:val="20"/>
          <w:color w:val="auto"/>
        </w:rPr>
      </w:pPr>
      <w:r>
        <w:rPr>
          <w:rFonts w:ascii="Arial" w:cs="Arial" w:eastAsia="Arial" w:hAnsi="Arial"/>
          <w:sz w:val="21"/>
          <w:szCs w:val="21"/>
          <w:color w:val="auto"/>
        </w:rPr>
        <w:t>Following surgery, Zachary developed hyperphagia and was formally diagnosed with acquired HO several months later. The change was profound.</w:t>
      </w:r>
    </w:p>
    <w:p>
      <w:pPr>
        <w:spacing w:after="0" w:line="21" w:lineRule="exact"/>
        <w:rPr>
          <w:sz w:val="20"/>
          <w:szCs w:val="20"/>
          <w:color w:val="auto"/>
        </w:rPr>
      </w:pPr>
    </w:p>
    <w:p>
      <w:pPr>
        <w:ind w:right="6180"/>
        <w:spacing w:after="0" w:line="295" w:lineRule="auto"/>
        <w:rPr>
          <w:sz w:val="20"/>
          <w:szCs w:val="20"/>
          <w:color w:val="auto"/>
        </w:rPr>
      </w:pPr>
      <w:r>
        <w:rPr>
          <w:rFonts w:ascii="Arial" w:cs="Arial" w:eastAsia="Arial" w:hAnsi="Arial"/>
          <w:sz w:val="21"/>
          <w:szCs w:val="21"/>
          <w:color w:val="auto"/>
        </w:rPr>
        <w:t>After years of struggling to eat enough as a toddler, Zachary now found himself constantly preoccupied with food, often eating multiple meals at school and continuing to feel hungry. Managing food intake became a daily challenge for his family, requiring structure, supervision, and coping strategies.</w:t>
      </w:r>
    </w:p>
    <w:p>
      <w:pPr>
        <w:spacing w:after="0" w:line="325" w:lineRule="exact"/>
        <w:rPr>
          <w:sz w:val="20"/>
          <w:szCs w:val="20"/>
          <w:color w:val="auto"/>
        </w:rPr>
      </w:pPr>
    </w:p>
    <w:p>
      <w:pPr>
        <w:ind w:right="320"/>
        <w:spacing w:after="0" w:line="293" w:lineRule="auto"/>
        <w:rPr>
          <w:sz w:val="20"/>
          <w:szCs w:val="20"/>
          <w:color w:val="auto"/>
        </w:rPr>
      </w:pPr>
      <w:r>
        <w:rPr>
          <w:rFonts w:ascii="Arial" w:cs="Arial" w:eastAsia="Arial" w:hAnsi="Arial"/>
          <w:sz w:val="21"/>
          <w:szCs w:val="21"/>
          <w:color w:val="auto"/>
        </w:rPr>
        <w:t>The impact of acquired HO extended beyond his physical health. Zachary’s fixation on food and subsequent weight gain affected his social relationships and independence. He became more isolated at school and had difficulty maintaining friendships. Fatigue and reduced energy limited his ability to participate in activities he once enjoyed, altering family dynamics and the time he spent with his parents.</w:t>
      </w:r>
    </w:p>
    <w:p>
      <w:pPr>
        <w:spacing w:after="0" w:line="321" w:lineRule="exact"/>
        <w:rPr>
          <w:sz w:val="20"/>
          <w:szCs w:val="20"/>
          <w:color w:val="auto"/>
        </w:rPr>
      </w:pPr>
    </w:p>
    <w:p>
      <w:pPr>
        <w:ind w:right="80"/>
        <w:spacing w:after="0" w:line="293" w:lineRule="auto"/>
        <w:rPr>
          <w:sz w:val="20"/>
          <w:szCs w:val="20"/>
          <w:color w:val="auto"/>
        </w:rPr>
      </w:pPr>
      <w:r>
        <w:rPr>
          <w:rFonts w:ascii="Arial" w:cs="Arial" w:eastAsia="Arial" w:hAnsi="Arial"/>
          <w:sz w:val="21"/>
          <w:szCs w:val="21"/>
          <w:color w:val="auto"/>
        </w:rPr>
        <w:t>Over time, Zachary’s endocrinologist noted continued weight gain despite dietary interventions, lifestyle modifications, and a general obesity medication that did not yield the desired results. His family remained focused on long term health, encouraging balanced nutrition, physical activity, and social engagement through structured programs and community involvement.</w:t>
      </w:r>
    </w:p>
    <w:p>
      <w:pPr>
        <w:spacing w:after="0" w:line="321" w:lineRule="exact"/>
        <w:rPr>
          <w:sz w:val="20"/>
          <w:szCs w:val="20"/>
          <w:color w:val="auto"/>
        </w:rPr>
      </w:pPr>
    </w:p>
    <w:p>
      <w:pPr>
        <w:ind w:right="80"/>
        <w:spacing w:after="0" w:line="294" w:lineRule="auto"/>
        <w:rPr>
          <w:sz w:val="20"/>
          <w:szCs w:val="20"/>
          <w:color w:val="auto"/>
        </w:rPr>
      </w:pPr>
      <w:r>
        <w:rPr>
          <w:rFonts w:ascii="Arial" w:cs="Arial" w:eastAsia="Arial" w:hAnsi="Arial"/>
          <w:sz w:val="21"/>
          <w:szCs w:val="21"/>
          <w:color w:val="auto"/>
        </w:rPr>
        <w:t>Today, more than 17 years after his diagnosis, Zachary continues to live with acquired HO. He remains engaged in creative and academic pursuits, including photography, graphic design, voice lessons, and community college coursework. While acquired HO is a lifelong condition, Zachary and his family emphasize the importance of education, advocacy, and awareness, particularly around the hidden, constant challenges associated with hypothalamic injury.</w:t>
      </w:r>
    </w:p>
    <w:p>
      <w:pPr>
        <w:sectPr>
          <w:pgSz w:w="11880" w:h="15480" w:orient="portrait"/>
          <w:cols w:equalWidth="0" w:num="1">
            <w:col w:w="10420"/>
          </w:cols>
          <w:pgMar w:left="740" w:top="600" w:right="720" w:bottom="20" w:gutter="0" w:footer="0" w:header="0"/>
        </w:sectPr>
      </w:pPr>
    </w:p>
    <w:p>
      <w:pPr>
        <w:spacing w:after="0" w:line="187"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00004E"/>
        </w:rPr>
        <w:t>RHYTHM PHARMACEUTICALS | 2025 ANNUAL REPORT  7</w:t>
      </w:r>
    </w:p>
    <w:p>
      <w:pPr>
        <w:sectPr>
          <w:pgSz w:w="11880" w:h="15480" w:orient="portrait"/>
          <w:cols w:equalWidth="0" w:num="1">
            <w:col w:w="10420"/>
          </w:cols>
          <w:pgMar w:left="740" w:top="600" w:right="720" w:bottom="20" w:gutter="0" w:footer="0" w:header="0"/>
          <w:type w:val="continuous"/>
        </w:sectPr>
      </w:pPr>
    </w:p>
    <w:bookmarkStart w:id="9" w:name="page10"/>
    <w:bookmarkEnd w:id="9"/>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left="20"/>
        <w:spacing w:after="0"/>
        <w:rPr>
          <w:sz w:val="20"/>
          <w:szCs w:val="20"/>
          <w:color w:val="auto"/>
        </w:rPr>
      </w:pPr>
      <w:r>
        <w:rPr>
          <w:rFonts w:ascii="Arial" w:cs="Arial" w:eastAsia="Arial" w:hAnsi="Arial"/>
          <w:sz w:val="69"/>
          <w:szCs w:val="69"/>
          <w:b w:val="1"/>
          <w:bCs w:val="1"/>
          <w:color w:val="2D98C5"/>
        </w:rPr>
        <w:t>RJ’s Story</w:t>
      </w:r>
      <w:r>
        <w:rPr>
          <w:sz w:val="1"/>
          <w:szCs w:val="1"/>
          <w:color w:val="auto"/>
        </w:rPr>
        <w:drawing>
          <wp:inline distT="0" distB="0" distL="0" distR="0">
            <wp:extent cx="548640" cy="327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327660"/>
                    </a:xfrm>
                    <a:prstGeom prst="rect">
                      <a:avLst/>
                    </a:prstGeom>
                    <a:noFill/>
                    <a:ln>
                      <a:noFill/>
                    </a:ln>
                  </pic:spPr>
                </pic:pic>
              </a:graphicData>
            </a:graphic>
          </wp:inline>
        </w:drawing>
        <w:drawing>
          <wp:inline distT="0" distB="0" distL="0" distR="0">
            <wp:extent cx="534670" cy="3136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670" cy="313690"/>
                    </a:xfrm>
                    <a:prstGeom prst="rect">
                      <a:avLst/>
                    </a:prstGeom>
                    <a:noFill/>
                    <a:ln>
                      <a:noFill/>
                    </a:ln>
                  </pic:spPr>
                </pic:pic>
              </a:graphicData>
            </a:graphic>
          </wp:inline>
        </w:drawing>
        <w:drawing>
          <wp:inline distT="0" distB="0" distL="0" distR="0">
            <wp:extent cx="520700" cy="299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700" cy="299720"/>
                    </a:xfrm>
                    <a:prstGeom prst="rect">
                      <a:avLst/>
                    </a:prstGeom>
                    <a:noFill/>
                    <a:ln>
                      <a:noFill/>
                    </a:ln>
                  </pic:spPr>
                </pic:pic>
              </a:graphicData>
            </a:graphic>
          </wp:inline>
        </w:drawing>
        <w:drawing>
          <wp:inline distT="0" distB="0" distL="0" distR="0">
            <wp:extent cx="506095" cy="285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095" cy="285750"/>
                    </a:xfrm>
                    <a:prstGeom prst="rect">
                      <a:avLst/>
                    </a:prstGeom>
                    <a:noFill/>
                    <a:ln>
                      <a:noFill/>
                    </a:ln>
                  </pic:spPr>
                </pic:pic>
              </a:graphicData>
            </a:graphic>
          </wp:inline>
        </w:drawing>
        <w:drawing>
          <wp:inline distT="0" distB="0" distL="0" distR="0">
            <wp:extent cx="492125" cy="2711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2125" cy="271145"/>
                    </a:xfrm>
                    <a:prstGeom prst="rect">
                      <a:avLst/>
                    </a:prstGeom>
                    <a:noFill/>
                    <a:ln>
                      <a:noFill/>
                    </a:ln>
                  </pic:spPr>
                </pic:pic>
              </a:graphicData>
            </a:graphic>
          </wp:inline>
        </w:drawing>
        <w:drawing>
          <wp:inline distT="0" distB="0" distL="0" distR="0">
            <wp:extent cx="478155" cy="257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8155" cy="257175"/>
                    </a:xfrm>
                    <a:prstGeom prst="rect">
                      <a:avLst/>
                    </a:prstGeom>
                    <a:noFill/>
                    <a:ln>
                      <a:noFill/>
                    </a:ln>
                  </pic:spPr>
                </pic:pic>
              </a:graphicData>
            </a:graphic>
          </wp:inline>
        </w:drawing>
        <w:drawing>
          <wp:inline distT="0" distB="0" distL="0" distR="0">
            <wp:extent cx="463550" cy="243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550" cy="243205"/>
                    </a:xfrm>
                    <a:prstGeom prst="rect">
                      <a:avLst/>
                    </a:prstGeom>
                    <a:noFill/>
                    <a:ln>
                      <a:noFill/>
                    </a:ln>
                  </pic:spPr>
                </pic:pic>
              </a:graphicData>
            </a:graphic>
          </wp:inline>
        </w:drawing>
        <w:drawing>
          <wp:inline distT="0" distB="0" distL="0" distR="0">
            <wp:extent cx="448945"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8945" cy="228600"/>
                    </a:xfrm>
                    <a:prstGeom prst="rect">
                      <a:avLst/>
                    </a:prstGeom>
                    <a:noFill/>
                    <a:ln>
                      <a:noFill/>
                    </a:ln>
                  </pic:spPr>
                </pic:pic>
              </a:graphicData>
            </a:graphic>
          </wp:inline>
        </w:drawing>
        <w:drawing>
          <wp:inline distT="0" distB="0" distL="0" distR="0">
            <wp:extent cx="214630" cy="2146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p>
    <w:p>
      <w:pPr>
        <w:spacing w:after="0" w:line="328" w:lineRule="exact"/>
        <w:rPr>
          <w:sz w:val="20"/>
          <w:szCs w:val="20"/>
          <w:color w:val="auto"/>
        </w:rPr>
      </w:pPr>
    </w:p>
    <w:p>
      <w:pPr>
        <w:ind w:left="20" w:right="5440"/>
        <w:spacing w:after="0" w:line="252" w:lineRule="auto"/>
        <w:rPr>
          <w:sz w:val="20"/>
          <w:szCs w:val="20"/>
          <w:color w:val="auto"/>
        </w:rPr>
      </w:pPr>
      <w:r>
        <w:rPr>
          <w:rFonts w:ascii="Arial" w:cs="Arial" w:eastAsia="Arial" w:hAnsi="Arial"/>
          <w:sz w:val="28"/>
          <w:szCs w:val="28"/>
          <w:color w:val="auto"/>
        </w:rPr>
        <w:t>RJ was diagnosed with Prader-Willi syndrome (PWS) hours after birth following early clinical signs, including low muscle tone, feeding difficulties, and characteristic facial features. Due to feeding difficulties, RJ also required a G-tube and a procedure to prevent him from aspirating. Genetic testing confirmed the PWS diagnosis, and his mother began coordinating care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8"/>
          <w:szCs w:val="28"/>
          <w:color w:val="auto"/>
        </w:rPr>
        <w:t>across multiple medical specialties early in his life.</w:t>
      </w:r>
    </w:p>
    <w:p>
      <w:pPr>
        <w:spacing w:after="0" w:line="354" w:lineRule="exact"/>
        <w:rPr>
          <w:sz w:val="20"/>
          <w:szCs w:val="20"/>
          <w:color w:val="auto"/>
        </w:rPr>
      </w:pPr>
    </w:p>
    <w:p>
      <w:pPr>
        <w:ind w:left="20" w:right="40"/>
        <w:spacing w:after="0" w:line="295" w:lineRule="auto"/>
        <w:rPr>
          <w:sz w:val="20"/>
          <w:szCs w:val="20"/>
          <w:color w:val="auto"/>
        </w:rPr>
      </w:pPr>
      <w:r>
        <w:rPr>
          <w:rFonts w:ascii="Arial" w:cs="Arial" w:eastAsia="Arial" w:hAnsi="Arial"/>
          <w:sz w:val="21"/>
          <w:szCs w:val="21"/>
          <w:color w:val="auto"/>
        </w:rPr>
        <w:t>In infancy, RJ experienced developmental delays, including delayed crawling and walking due to low muscle tone. Now 16 years old, RJ continues to experience developmental delays, with cognitive functioning that varies depending on context and activity. He can become frustrated when he is unable to communicate his thoughts and needs, which can result in emotional outbursts. These behaviors are often misunderstood in school and community settings, requiring additional support, supervision, and advocacy from his mother. RJ attends school virtually due to his medical needs and requires full-time supervision during the day, which his mother is able to provide while working from home.</w:t>
      </w:r>
    </w:p>
    <w:p>
      <w:pPr>
        <w:spacing w:after="0" w:line="322" w:lineRule="exact"/>
        <w:rPr>
          <w:sz w:val="20"/>
          <w:szCs w:val="20"/>
          <w:color w:val="auto"/>
        </w:rPr>
      </w:pPr>
    </w:p>
    <w:p>
      <w:pPr>
        <w:ind w:left="20"/>
        <w:spacing w:after="0" w:line="293" w:lineRule="auto"/>
        <w:rPr>
          <w:sz w:val="20"/>
          <w:szCs w:val="20"/>
          <w:color w:val="auto"/>
        </w:rPr>
      </w:pPr>
      <w:r>
        <w:rPr>
          <w:rFonts w:ascii="Arial" w:cs="Arial" w:eastAsia="Arial" w:hAnsi="Arial"/>
          <w:sz w:val="21"/>
          <w:szCs w:val="21"/>
          <w:color w:val="auto"/>
        </w:rPr>
        <w:t>RJ weighed six pounds at birth and did not begin gaining excessive weight until around three years of age. Since that time, one of the most significant and ongoing challenges RJ experiences is hyperphagia, which is a constant feature of daily life and requires continuous supervision and strict environmental controls. These measures include locked food storage, monitored trash receptacles, and in-home video monitoring systems.</w:t>
      </w:r>
    </w:p>
    <w:p>
      <w:pPr>
        <w:spacing w:after="0" w:line="291" w:lineRule="exact"/>
        <w:rPr>
          <w:sz w:val="20"/>
          <w:szCs w:val="20"/>
          <w:color w:val="auto"/>
        </w:rPr>
      </w:pPr>
    </w:p>
    <w:p>
      <w:pPr>
        <w:ind w:left="4420" w:right="40"/>
        <w:spacing w:after="0" w:line="312" w:lineRule="auto"/>
        <w:rPr>
          <w:sz w:val="20"/>
          <w:szCs w:val="20"/>
          <w:color w:val="auto"/>
        </w:rPr>
      </w:pPr>
      <w:r>
        <w:rPr>
          <w:rFonts w:ascii="Arial" w:cs="Arial" w:eastAsia="Arial" w:hAnsi="Arial"/>
          <w:sz w:val="20"/>
          <w:szCs w:val="20"/>
          <w:color w:val="auto"/>
        </w:rPr>
        <w:t>Today, RJ continues to see eight medical specialists on a regular basis, reflecting the multi-system nature of PWS. Despite the challenges associated with the disease, RJ is polite, kind, socially engaged, and extremely active in his spiritual faith. RJ loves to let his personality shine brighter than the label of PWS. RJ has a quote that his mother has taught him his entire life, “I might be labeled as not normal, but I am normal - I just have a different way of doing things.” He and his mother partner with advocacy organizations and participate in community efforts to support education, awareness, and understanding of PWS.</w:t>
      </w:r>
    </w:p>
    <w:p>
      <w:pPr>
        <w:sectPr>
          <w:pgSz w:w="11880" w:h="15480" w:orient="portrait"/>
          <w:cols w:equalWidth="0" w:num="1">
            <w:col w:w="10420"/>
          </w:cols>
          <w:pgMar w:left="720" w:top="1440" w:right="740" w:bottom="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00004E"/>
        </w:rPr>
        <w:t>8</w:t>
        <w:tab/>
        <w:t>RHYTHM PHARMACEUTICALS | 2025 ANNUAL REPORT</w:t>
      </w:r>
    </w:p>
    <w:p>
      <w:pPr>
        <w:sectPr>
          <w:pgSz w:w="11880" w:h="15480" w:orient="portrait"/>
          <w:cols w:equalWidth="0" w:num="1">
            <w:col w:w="10420"/>
          </w:cols>
          <w:pgMar w:left="720" w:top="1440" w:right="740" w:bottom="20" w:gutter="0" w:footer="0" w:header="0"/>
          <w:type w:val="continuous"/>
        </w:sectPr>
      </w:pPr>
    </w:p>
    <w:bookmarkStart w:id="10" w:name="page11"/>
    <w:bookmarkEnd w:id="10"/>
    <w:p>
      <w:pPr>
        <w:ind w:right="1060"/>
        <w:spacing w:after="0" w:line="243" w:lineRule="auto"/>
        <w:rPr>
          <w:sz w:val="20"/>
          <w:szCs w:val="20"/>
          <w:color w:val="auto"/>
        </w:rPr>
      </w:pPr>
      <w:r>
        <w:rPr>
          <w:rFonts w:ascii="Arial" w:cs="Arial" w:eastAsia="Arial" w:hAnsi="Arial"/>
          <w:sz w:val="50"/>
          <w:szCs w:val="50"/>
          <w:b w:val="1"/>
          <w:bCs w:val="1"/>
          <w:color w:val="0000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About BBS, Acquired HO, POMC and LEPR Deficiencies, and PWS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2D98C5"/>
        </w:rPr>
        <w:t>Bardet-Biedl Syndrome</w:t>
      </w:r>
    </w:p>
    <w:p>
      <w:pPr>
        <w:spacing w:after="0" w:line="38" w:lineRule="exact"/>
        <w:rPr>
          <w:sz w:val="20"/>
          <w:szCs w:val="20"/>
          <w:color w:val="auto"/>
        </w:rPr>
      </w:pPr>
    </w:p>
    <w:p>
      <w:pPr>
        <w:ind w:right="220"/>
        <w:spacing w:after="0" w:line="295" w:lineRule="auto"/>
        <w:rPr>
          <w:sz w:val="20"/>
          <w:szCs w:val="20"/>
          <w:color w:val="auto"/>
        </w:rPr>
      </w:pPr>
      <w:r>
        <w:rPr>
          <w:rFonts w:ascii="Arial" w:cs="Arial" w:eastAsia="Arial" w:hAnsi="Arial"/>
          <w:sz w:val="21"/>
          <w:szCs w:val="21"/>
          <w:color w:val="auto"/>
        </w:rPr>
        <w:t>Bardet-Biedl syndrome (BBS) is a rare autosomal recessive ciliopathy that presents with a variety of symptoms that may evolve over time. At least 28 genes have been associated with BBS to date, and some of these genes play a critical role in MC4R signaling. Variants in genes encoding the BBSome (a complex of 8 BBS proteins), or those that support BBSome function, can result in dysfunction of primary cilium, leading to impaired leptin receptor trafficking. This impairs MC4R pathway signaling, thereby causing hyperphagia (pathological, insatiable hunger) and early-onset, severe obesity.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2D98C5"/>
        </w:rPr>
        <w:t>Acquired Hypothalamic Obesity</w:t>
      </w:r>
    </w:p>
    <w:p>
      <w:pPr>
        <w:spacing w:after="0" w:line="38" w:lineRule="exact"/>
        <w:rPr>
          <w:sz w:val="20"/>
          <w:szCs w:val="20"/>
          <w:color w:val="auto"/>
        </w:rPr>
      </w:pPr>
    </w:p>
    <w:p>
      <w:pPr>
        <w:ind w:right="40"/>
        <w:spacing w:after="0" w:line="293" w:lineRule="auto"/>
        <w:rPr>
          <w:sz w:val="20"/>
          <w:szCs w:val="20"/>
          <w:color w:val="auto"/>
        </w:rPr>
      </w:pPr>
      <w:r>
        <w:rPr>
          <w:rFonts w:ascii="Arial" w:cs="Arial" w:eastAsia="Arial" w:hAnsi="Arial"/>
          <w:sz w:val="21"/>
          <w:szCs w:val="21"/>
          <w:color w:val="auto"/>
        </w:rPr>
        <w:t>Acquired hypothalamic obesity is a rare disease characterized by accelerated and sustained weight gain caused by an injury to the hypothalamus. Hypothalamic injury may lead to decreased alpha-melanocyte-stimulating hormone (a-MSH) production and impairment of MC4R pathway signaling. The MC4R pathway is responsible for regulating energy balance and body weight.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2"/>
          <w:szCs w:val="32"/>
          <w:b w:val="1"/>
          <w:bCs w:val="1"/>
          <w:color w:val="2D98C5"/>
        </w:rPr>
        <w:t>POMC and LEPR Deficiencies</w:t>
      </w:r>
    </w:p>
    <w:p>
      <w:pPr>
        <w:spacing w:after="0" w:line="38" w:lineRule="exact"/>
        <w:rPr>
          <w:sz w:val="20"/>
          <w:szCs w:val="20"/>
          <w:color w:val="auto"/>
        </w:rPr>
      </w:pPr>
    </w:p>
    <w:p>
      <w:pPr>
        <w:ind w:right="340"/>
        <w:spacing w:after="0" w:line="290" w:lineRule="auto"/>
        <w:rPr>
          <w:sz w:val="20"/>
          <w:szCs w:val="20"/>
          <w:color w:val="auto"/>
        </w:rPr>
      </w:pPr>
      <w:r>
        <w:rPr>
          <w:rFonts w:ascii="Arial" w:cs="Arial" w:eastAsia="Arial" w:hAnsi="Arial"/>
          <w:sz w:val="21"/>
          <w:szCs w:val="21"/>
          <w:color w:val="auto"/>
        </w:rPr>
        <w:t>Proopiomelanocortin (POMC) and leptin receptor (LEPR) deficiencies are rare, autosomal recessive genetic diseases caused by biallelic gene variants in the POMC or LEPR genes. These variants disrupt signaling within the MC4R pathway, leading to hyperphagia and early-onset, severe obesity.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b w:val="1"/>
          <w:bCs w:val="1"/>
          <w:color w:val="2D98C5"/>
        </w:rPr>
        <w:t>Prader-Willi Syndrome</w:t>
      </w:r>
    </w:p>
    <w:p>
      <w:pPr>
        <w:spacing w:after="0" w:line="38" w:lineRule="exact"/>
        <w:rPr>
          <w:sz w:val="20"/>
          <w:szCs w:val="20"/>
          <w:color w:val="auto"/>
        </w:rPr>
      </w:pPr>
    </w:p>
    <w:p>
      <w:pPr>
        <w:ind w:right="180"/>
        <w:spacing w:after="0" w:line="295" w:lineRule="auto"/>
        <w:rPr>
          <w:sz w:val="20"/>
          <w:szCs w:val="20"/>
          <w:color w:val="auto"/>
        </w:rPr>
      </w:pPr>
      <w:r>
        <w:rPr>
          <w:rFonts w:ascii="Arial" w:cs="Arial" w:eastAsia="Arial" w:hAnsi="Arial"/>
          <w:sz w:val="21"/>
          <w:szCs w:val="21"/>
          <w:color w:val="auto"/>
        </w:rPr>
        <w:t>Prader-Willi syndrome (PWS) is a rare genetic disease that results in a number of clinical features which may include hyperphagia, severe obesity, endocrine abnormalities, intellectual disability, and behavioral difficulties. A majority of people with PWS lack expression of genes involved in the development and function of the MC4R pathway, including MAGEL2 and SNORD115. The loss of these genes may result in decreased a-MSH and impaired MC4R pathway signaling, contributing to the hyperphagia and severe obesity observed in people with PWS.</w:t>
      </w:r>
    </w:p>
    <w:p>
      <w:pPr>
        <w:sectPr>
          <w:pgSz w:w="11880" w:h="15480" w:orient="portrait"/>
          <w:cols w:equalWidth="0" w:num="1">
            <w:col w:w="10440"/>
          </w:cols>
          <w:pgMar w:left="720" w:top="640" w:right="720" w:bottom="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00004E"/>
        </w:rPr>
        <w:t>RHYTHM PHARMACEUTICALS | 2025 ANNUAL REPORT  9</w:t>
      </w:r>
    </w:p>
    <w:p>
      <w:pPr>
        <w:sectPr>
          <w:pgSz w:w="11880" w:h="15480" w:orient="portrait"/>
          <w:cols w:equalWidth="0" w:num="1">
            <w:col w:w="10440"/>
          </w:cols>
          <w:pgMar w:left="720" w:top="640" w:right="720" w:bottom="20" w:gutter="0" w:footer="0" w:header="0"/>
          <w:type w:val="continuous"/>
        </w:sectPr>
      </w:pPr>
    </w:p>
    <w:bookmarkStart w:id="11" w:name="page12"/>
    <w:bookmarkEnd w:id="1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730250</wp:posOffset>
            </wp:positionH>
            <wp:positionV relativeFrom="page">
              <wp:posOffset>584200</wp:posOffset>
            </wp:positionV>
            <wp:extent cx="631190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84" w:lineRule="exact"/>
        <w:rPr>
          <w:sz w:val="20"/>
          <w:szCs w:val="20"/>
          <w:color w:val="auto"/>
        </w:rPr>
      </w:pPr>
    </w:p>
    <w:p>
      <w:pPr>
        <w:ind w:left="320" w:hanging="257"/>
        <w:spacing w:after="0"/>
        <w:tabs>
          <w:tab w:leader="none" w:pos="320" w:val="left"/>
        </w:tabs>
        <w:numPr>
          <w:ilvl w:val="0"/>
          <w:numId w:val="1"/>
        </w:numPr>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2" w:lineRule="exact"/>
        <w:rPr>
          <w:sz w:val="20"/>
          <w:szCs w:val="20"/>
          <w:color w:val="auto"/>
        </w:rPr>
      </w:pPr>
    </w:p>
    <w:p>
      <w:pPr>
        <w:ind w:left="320" w:hanging="257"/>
        <w:spacing w:after="0"/>
        <w:tabs>
          <w:tab w:leader="none" w:pos="32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4" w:lineRule="exact"/>
        <w:rPr>
          <w:sz w:val="20"/>
          <w:szCs w:val="20"/>
          <w:color w:val="auto"/>
        </w:rPr>
      </w:pPr>
    </w:p>
    <w:p>
      <w:pPr>
        <w:ind w:left="380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Commission file number 001-38223</w:t>
      </w:r>
    </w:p>
    <w:p>
      <w:pPr>
        <w:ind w:left="2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RHYTHM PHARMACEUTICALS,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63"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17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20" w:type="dxa"/>
            <w:vAlign w:val="bottom"/>
          </w:tcPr>
          <w:p>
            <w:pPr>
              <w:jc w:val="center"/>
              <w:ind w:left="3410"/>
              <w:spacing w:after="0"/>
              <w:rPr>
                <w:sz w:val="20"/>
                <w:szCs w:val="20"/>
                <w:color w:val="auto"/>
              </w:rPr>
            </w:pPr>
            <w:r>
              <w:rPr>
                <w:rFonts w:ascii="Times New Roman" w:cs="Times New Roman" w:eastAsia="Times New Roman" w:hAnsi="Times New Roman"/>
                <w:sz w:val="14"/>
                <w:szCs w:val="14"/>
                <w:b w:val="1"/>
                <w:bCs w:val="1"/>
                <w:color w:val="auto"/>
              </w:rPr>
              <w:t>46-2159271</w:t>
            </w:r>
          </w:p>
        </w:tc>
      </w:tr>
      <w:tr>
        <w:trPr>
          <w:trHeight w:val="197"/>
        </w:trPr>
        <w:tc>
          <w:tcPr>
            <w:tcW w:w="17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4520" w:type="dxa"/>
            <w:vAlign w:val="bottom"/>
          </w:tcPr>
          <w:p>
            <w:pPr>
              <w:jc w:val="center"/>
              <w:ind w:left="3410"/>
              <w:spacing w:after="0"/>
              <w:rPr>
                <w:sz w:val="20"/>
                <w:szCs w:val="20"/>
                <w:color w:val="auto"/>
              </w:rPr>
            </w:pPr>
            <w:r>
              <w:rPr>
                <w:rFonts w:ascii="Times New Roman" w:cs="Times New Roman" w:eastAsia="Times New Roman" w:hAnsi="Times New Roman"/>
                <w:sz w:val="14"/>
                <w:szCs w:val="14"/>
                <w:color w:val="auto"/>
              </w:rPr>
              <w:t>(I.R.S. Employer</w:t>
            </w:r>
          </w:p>
        </w:tc>
      </w:tr>
      <w:tr>
        <w:trPr>
          <w:trHeight w:val="2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Incorporation or Organization)</w:t>
            </w:r>
          </w:p>
        </w:tc>
        <w:tc>
          <w:tcPr>
            <w:tcW w:w="4520" w:type="dxa"/>
            <w:vAlign w:val="bottom"/>
          </w:tcPr>
          <w:p>
            <w:pPr>
              <w:jc w:val="center"/>
              <w:ind w:left="3410"/>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1780" w:type="dxa"/>
            <w:vAlign w:val="bottom"/>
          </w:tcPr>
          <w:p>
            <w:pPr>
              <w:spacing w:after="0"/>
              <w:rPr>
                <w:sz w:val="24"/>
                <w:szCs w:val="24"/>
                <w:color w:val="auto"/>
              </w:rPr>
            </w:pPr>
          </w:p>
        </w:tc>
        <w:tc>
          <w:tcPr>
            <w:tcW w:w="4520" w:type="dxa"/>
            <w:vAlign w:val="bottom"/>
          </w:tcPr>
          <w:p>
            <w:pPr>
              <w:jc w:val="center"/>
              <w:ind w:right="1370"/>
              <w:spacing w:after="0"/>
              <w:rPr>
                <w:sz w:val="20"/>
                <w:szCs w:val="20"/>
                <w:color w:val="auto"/>
              </w:rPr>
            </w:pPr>
            <w:r>
              <w:rPr>
                <w:rFonts w:ascii="Times New Roman" w:cs="Times New Roman" w:eastAsia="Times New Roman" w:hAnsi="Times New Roman"/>
                <w:sz w:val="14"/>
                <w:szCs w:val="14"/>
                <w:b w:val="1"/>
                <w:bCs w:val="1"/>
                <w:color w:val="auto"/>
                <w:w w:val="99"/>
              </w:rPr>
              <w:t>222 Berkeley Street</w:t>
            </w:r>
          </w:p>
        </w:tc>
      </w:tr>
      <w:tr>
        <w:trPr>
          <w:trHeight w:val="168"/>
        </w:trPr>
        <w:tc>
          <w:tcPr>
            <w:tcW w:w="1780" w:type="dxa"/>
            <w:vAlign w:val="bottom"/>
          </w:tcPr>
          <w:p>
            <w:pPr>
              <w:spacing w:after="0"/>
              <w:rPr>
                <w:sz w:val="14"/>
                <w:szCs w:val="14"/>
                <w:color w:val="auto"/>
              </w:rPr>
            </w:pPr>
          </w:p>
        </w:tc>
        <w:tc>
          <w:tcPr>
            <w:tcW w:w="4520" w:type="dxa"/>
            <w:vAlign w:val="bottom"/>
          </w:tcPr>
          <w:p>
            <w:pPr>
              <w:jc w:val="center"/>
              <w:ind w:right="1370"/>
              <w:spacing w:after="0" w:line="168" w:lineRule="exact"/>
              <w:rPr>
                <w:sz w:val="20"/>
                <w:szCs w:val="20"/>
                <w:color w:val="auto"/>
              </w:rPr>
            </w:pPr>
            <w:r>
              <w:rPr>
                <w:rFonts w:ascii="Times New Roman" w:cs="Times New Roman" w:eastAsia="Times New Roman" w:hAnsi="Times New Roman"/>
                <w:sz w:val="14"/>
                <w:szCs w:val="14"/>
                <w:b w:val="1"/>
                <w:bCs w:val="1"/>
                <w:color w:val="auto"/>
                <w:w w:val="98"/>
              </w:rPr>
              <w:t>12</w:t>
            </w:r>
            <w:r>
              <w:rPr>
                <w:rFonts w:ascii="Times New Roman" w:cs="Times New Roman" w:eastAsia="Times New Roman" w:hAnsi="Times New Roman"/>
                <w:sz w:val="18"/>
                <w:szCs w:val="18"/>
                <w:b w:val="1"/>
                <w:bCs w:val="1"/>
                <w:color w:val="auto"/>
                <w:w w:val="98"/>
                <w:vertAlign w:val="superscript"/>
              </w:rPr>
              <w:t>th</w:t>
            </w:r>
            <w:r>
              <w:rPr>
                <w:rFonts w:ascii="Times New Roman" w:cs="Times New Roman" w:eastAsia="Times New Roman" w:hAnsi="Times New Roman"/>
                <w:sz w:val="14"/>
                <w:szCs w:val="14"/>
                <w:b w:val="1"/>
                <w:bCs w:val="1"/>
                <w:color w:val="auto"/>
                <w:w w:val="98"/>
              </w:rPr>
              <w:t xml:space="preserve"> Floor</w:t>
            </w:r>
          </w:p>
        </w:tc>
      </w:tr>
      <w:tr>
        <w:trPr>
          <w:trHeight w:val="165"/>
        </w:trPr>
        <w:tc>
          <w:tcPr>
            <w:tcW w:w="1780" w:type="dxa"/>
            <w:vAlign w:val="bottom"/>
          </w:tcPr>
          <w:p>
            <w:pPr>
              <w:spacing w:after="0"/>
              <w:rPr>
                <w:sz w:val="14"/>
                <w:szCs w:val="14"/>
                <w:color w:val="auto"/>
              </w:rPr>
            </w:pPr>
          </w:p>
        </w:tc>
        <w:tc>
          <w:tcPr>
            <w:tcW w:w="4520" w:type="dxa"/>
            <w:vAlign w:val="bottom"/>
          </w:tcPr>
          <w:p>
            <w:pPr>
              <w:jc w:val="center"/>
              <w:ind w:right="1350"/>
              <w:spacing w:after="0"/>
              <w:rPr>
                <w:sz w:val="20"/>
                <w:szCs w:val="20"/>
                <w:color w:val="auto"/>
              </w:rPr>
            </w:pPr>
            <w:r>
              <w:rPr>
                <w:rFonts w:ascii="Times New Roman" w:cs="Times New Roman" w:eastAsia="Times New Roman" w:hAnsi="Times New Roman"/>
                <w:sz w:val="14"/>
                <w:szCs w:val="14"/>
                <w:b w:val="1"/>
                <w:bCs w:val="1"/>
                <w:color w:val="auto"/>
                <w:w w:val="99"/>
              </w:rPr>
              <w:t>Boston, MA 02116</w:t>
            </w:r>
          </w:p>
        </w:tc>
      </w:tr>
      <w:tr>
        <w:trPr>
          <w:trHeight w:val="161"/>
        </w:trPr>
        <w:tc>
          <w:tcPr>
            <w:tcW w:w="1780" w:type="dxa"/>
            <w:vAlign w:val="bottom"/>
          </w:tcPr>
          <w:p>
            <w:pPr>
              <w:spacing w:after="0"/>
              <w:rPr>
                <w:sz w:val="13"/>
                <w:szCs w:val="13"/>
                <w:color w:val="auto"/>
              </w:rPr>
            </w:pPr>
          </w:p>
        </w:tc>
        <w:tc>
          <w:tcPr>
            <w:tcW w:w="4520" w:type="dxa"/>
            <w:vAlign w:val="bottom"/>
          </w:tcPr>
          <w:p>
            <w:pPr>
              <w:jc w:val="center"/>
              <w:ind w:right="137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r>
      <w:tr>
        <w:trPr>
          <w:trHeight w:val="183"/>
        </w:trPr>
        <w:tc>
          <w:tcPr>
            <w:tcW w:w="1780" w:type="dxa"/>
            <w:vAlign w:val="bottom"/>
          </w:tcPr>
          <w:p>
            <w:pPr>
              <w:spacing w:after="0"/>
              <w:rPr>
                <w:sz w:val="15"/>
                <w:szCs w:val="15"/>
                <w:color w:val="auto"/>
              </w:rPr>
            </w:pPr>
          </w:p>
        </w:tc>
        <w:tc>
          <w:tcPr>
            <w:tcW w:w="4520" w:type="dxa"/>
            <w:vAlign w:val="bottom"/>
          </w:tcPr>
          <w:p>
            <w:pPr>
              <w:jc w:val="center"/>
              <w:ind w:right="1370"/>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199"/>
        </w:trPr>
        <w:tc>
          <w:tcPr>
            <w:tcW w:w="1780" w:type="dxa"/>
            <w:vAlign w:val="bottom"/>
          </w:tcPr>
          <w:p>
            <w:pPr>
              <w:spacing w:after="0"/>
              <w:rPr>
                <w:sz w:val="17"/>
                <w:szCs w:val="17"/>
                <w:color w:val="auto"/>
              </w:rPr>
            </w:pPr>
          </w:p>
        </w:tc>
        <w:tc>
          <w:tcPr>
            <w:tcW w:w="4520" w:type="dxa"/>
            <w:vAlign w:val="bottom"/>
          </w:tcPr>
          <w:p>
            <w:pPr>
              <w:jc w:val="center"/>
              <w:ind w:right="1370"/>
              <w:spacing w:after="0"/>
              <w:rPr>
                <w:sz w:val="20"/>
                <w:szCs w:val="20"/>
                <w:color w:val="auto"/>
              </w:rPr>
            </w:pPr>
            <w:r>
              <w:rPr>
                <w:rFonts w:ascii="Times New Roman" w:cs="Times New Roman" w:eastAsia="Times New Roman" w:hAnsi="Times New Roman"/>
                <w:sz w:val="14"/>
                <w:szCs w:val="14"/>
                <w:b w:val="1"/>
                <w:bCs w:val="1"/>
                <w:color w:val="auto"/>
              </w:rPr>
              <w:t>(857) 264-4280</w:t>
            </w:r>
          </w:p>
        </w:tc>
      </w:tr>
      <w:tr>
        <w:trPr>
          <w:trHeight w:val="183"/>
        </w:trPr>
        <w:tc>
          <w:tcPr>
            <w:tcW w:w="1780" w:type="dxa"/>
            <w:vAlign w:val="bottom"/>
          </w:tcPr>
          <w:p>
            <w:pPr>
              <w:spacing w:after="0"/>
              <w:rPr>
                <w:sz w:val="15"/>
                <w:szCs w:val="15"/>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71755</wp:posOffset>
                </wp:positionV>
                <wp:extent cx="0" cy="3175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0"/>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5.65pt" to="0.85pt,3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2649220</wp:posOffset>
                </wp:positionH>
                <wp:positionV relativeFrom="paragraph">
                  <wp:posOffset>71755</wp:posOffset>
                </wp:positionV>
                <wp:extent cx="0" cy="3175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0"/>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6pt,5.65pt" to="208.6pt,3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3649345</wp:posOffset>
                </wp:positionH>
                <wp:positionV relativeFrom="paragraph">
                  <wp:posOffset>71755</wp:posOffset>
                </wp:positionV>
                <wp:extent cx="0" cy="3175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0"/>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35pt,5.65pt" to="287.35pt,3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6287770</wp:posOffset>
                </wp:positionH>
                <wp:positionV relativeFrom="paragraph">
                  <wp:posOffset>71755</wp:posOffset>
                </wp:positionV>
                <wp:extent cx="0" cy="3175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0"/>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1pt,5.65pt" to="495.1pt,30.65pt" o:allowincell="f" strokecolor="#000000" strokeweight="0pt"/>
            </w:pict>
          </mc:Fallback>
        </mc:AlternateConten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RYTM</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 (Nasdaq Global Market)</w:t>
            </w: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186" w:lineRule="exact"/>
        <w:rPr>
          <w:sz w:val="20"/>
          <w:szCs w:val="20"/>
          <w:color w:val="auto"/>
        </w:rPr>
      </w:pPr>
    </w:p>
    <w:p>
      <w:pPr>
        <w:ind w:left="20" w:right="2440"/>
        <w:spacing w:after="0" w:line="239"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5"/>
          <w:szCs w:val="15"/>
          <w:b w:val="1"/>
          <w:bCs w:val="1"/>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5"/>
          <w:szCs w:val="15"/>
          <w:b w:val="1"/>
          <w:bCs w:val="1"/>
          <w:color w:val="auto"/>
        </w:rPr>
        <w:t>☒</w:t>
      </w:r>
    </w:p>
    <w:p>
      <w:pPr>
        <w:spacing w:after="0" w:line="76" w:lineRule="exact"/>
        <w:rPr>
          <w:sz w:val="20"/>
          <w:szCs w:val="20"/>
          <w:color w:val="auto"/>
        </w:rPr>
      </w:pPr>
    </w:p>
    <w:p>
      <w:pPr>
        <w:ind w:left="20" w:right="20"/>
        <w:spacing w:after="0" w:line="20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4"/>
          <w:szCs w:val="14"/>
          <w:color w:val="auto"/>
        </w:rPr>
        <w:t xml:space="preserve"> No</w:t>
      </w:r>
    </w:p>
    <w:p>
      <w:pPr>
        <w:ind w:left="20"/>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33" w:lineRule="exact"/>
        <w:rPr>
          <w:sz w:val="20"/>
          <w:szCs w:val="20"/>
          <w:color w:val="auto"/>
        </w:rPr>
      </w:pPr>
    </w:p>
    <w:p>
      <w:pPr>
        <w:ind w:left="20" w:right="400"/>
        <w:spacing w:after="0" w:line="20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b w:val="1"/>
          <w:bCs w:val="1"/>
          <w:color w:val="auto"/>
        </w:rPr>
        <w:t>☐</w:t>
      </w:r>
    </w:p>
    <w:p>
      <w:pPr>
        <w:spacing w:after="0" w:line="87" w:lineRule="exact"/>
        <w:rPr>
          <w:sz w:val="20"/>
          <w:szCs w:val="20"/>
          <w:color w:val="auto"/>
        </w:rPr>
      </w:pPr>
    </w:p>
    <w:p>
      <w:pPr>
        <w:ind w:left="20" w:right="20"/>
        <w:spacing w:after="0" w:line="31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Large accelerated filer</w:t>
            </w:r>
          </w:p>
        </w:tc>
        <w:tc>
          <w:tcPr>
            <w:tcW w:w="214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Accelerated filer</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345"/>
        </w:trPr>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Non-accelerated filer</w:t>
            </w:r>
          </w:p>
        </w:tc>
        <w:tc>
          <w:tcPr>
            <w:tcW w:w="214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1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44" w:lineRule="exact"/>
        <w:rPr>
          <w:sz w:val="20"/>
          <w:szCs w:val="20"/>
          <w:color w:val="auto"/>
        </w:rPr>
      </w:pPr>
    </w:p>
    <w:p>
      <w:pPr>
        <w:ind w:left="20" w:right="180"/>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75" w:lineRule="exact"/>
        <w:rPr>
          <w:sz w:val="20"/>
          <w:szCs w:val="20"/>
          <w:color w:val="auto"/>
        </w:rPr>
      </w:pPr>
    </w:p>
    <w:p>
      <w:pPr>
        <w:ind w:left="20" w:right="380"/>
        <w:spacing w:after="0" w:line="19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b w:val="1"/>
          <w:bCs w:val="1"/>
          <w:color w:val="auto"/>
        </w:rPr>
        <w:t>☒</w:t>
      </w:r>
    </w:p>
    <w:p>
      <w:pPr>
        <w:spacing w:after="0" w:line="76" w:lineRule="exact"/>
        <w:rPr>
          <w:sz w:val="20"/>
          <w:szCs w:val="20"/>
          <w:color w:val="auto"/>
        </w:rPr>
      </w:pPr>
    </w:p>
    <w:p>
      <w:pPr>
        <w:ind w:left="20" w:right="48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left="20" w:right="48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4"/>
          <w:szCs w:val="14"/>
          <w:color w:val="auto"/>
        </w:rPr>
        <w:t>.</w:t>
      </w:r>
    </w:p>
    <w:p>
      <w:pPr>
        <w:sectPr>
          <w:pgSz w:w="12240" w:h="15840" w:orient="portrait"/>
          <w:cols w:equalWidth="0" w:num="1">
            <w:col w:w="9920"/>
          </w:cols>
          <w:pgMar w:left="1160" w:top="975" w:right="1160" w:bottom="369" w:gutter="0" w:footer="0" w:header="0"/>
        </w:sectPr>
      </w:pPr>
    </w:p>
    <w:bookmarkStart w:id="13" w:name="page14"/>
    <w:bookmarkEnd w:id="13"/>
    <w:p>
      <w:pPr>
        <w:spacing w:after="0" w:line="313"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$3.8 billion, based on the closing price of the registrant’s Common Stock on June 30, 2025, the last business day of the registrant’s most recently completed second fiscal quarter. Solely for purposes of this disclosure,</w:t>
      </w:r>
    </w:p>
    <w:p>
      <w:pPr>
        <w:spacing w:after="0" w:line="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Common Stock held by executive officers, directors and certain stockholders of the registrant as of such date have been excluded because such holders may be deemed to be affiliates. There were 68,285,039 shares of the registrant's Common Stock outstanding as of February 24, 2026.</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for the registrant's 2026 Annual Meeting of Stockholders within 120 days of the end of the fiscal year ended December 31, 2025. Portions of such definitive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22860</wp:posOffset>
            </wp:positionV>
            <wp:extent cx="631190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760"/>
          </w:cols>
          <w:pgMar w:left="1180" w:top="856" w:right="1300" w:bottom="1440" w:gutter="0" w:footer="0" w:header="0"/>
        </w:sectPr>
      </w:pPr>
    </w:p>
    <w:bookmarkStart w:id="14" w:name="page15"/>
    <w:bookmarkEnd w:id="1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220"/>
        </w:trPr>
        <w:tc>
          <w:tcPr>
            <w:tcW w:w="9120" w:type="dxa"/>
            <w:vAlign w:val="bottom"/>
            <w:gridSpan w:val="32"/>
          </w:tcPr>
          <w:p>
            <w:pPr>
              <w:spacing w:after="0" w:line="220" w:lineRule="exact"/>
              <w:rPr>
                <w:sz w:val="20"/>
                <w:szCs w:val="20"/>
                <w:color w:val="auto"/>
              </w:rPr>
            </w:pPr>
            <w:r>
              <w:rPr>
                <w:rFonts w:ascii="Times New Roman" w:cs="Times New Roman" w:eastAsia="Times New Roman" w:hAnsi="Times New Roman"/>
                <w:sz w:val="20"/>
                <w:szCs w:val="20"/>
                <w:color w:val="282828"/>
              </w:rPr>
              <w:t>PART I</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40"/>
        </w:trPr>
        <w:tc>
          <w:tcPr>
            <w:tcW w:w="640" w:type="dxa"/>
            <w:vAlign w:val="bottom"/>
            <w:tcBorders>
              <w:top w:val="single" w:sz="8" w:color="282828"/>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w w:val="99"/>
              </w:rPr>
              <w:t>Item 1. Business</w:t>
            </w:r>
          </w:p>
        </w:tc>
        <w:tc>
          <w:tcPr>
            <w:tcW w:w="6900" w:type="dxa"/>
            <w:vAlign w:val="bottom"/>
            <w:gridSpan w:val="23"/>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w w:val="99"/>
              </w:rPr>
              <w:t>Item 1A. Risk Factors</w:t>
            </w:r>
          </w:p>
        </w:tc>
        <w:tc>
          <w:tcPr>
            <w:tcW w:w="6460" w:type="dxa"/>
            <w:vAlign w:val="bottom"/>
            <w:gridSpan w:val="20"/>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w w:val="99"/>
              </w:rPr>
              <w:t>Item 1B. Unresolved Staff Comments</w:t>
            </w:r>
          </w:p>
        </w:tc>
        <w:tc>
          <w:tcPr>
            <w:tcW w:w="5200" w:type="dxa"/>
            <w:vAlign w:val="bottom"/>
            <w:gridSpan w:val="11"/>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282828"/>
            </w:tcBorders>
            <w:gridSpan w:val="8"/>
          </w:tcPr>
          <w:p>
            <w:pPr>
              <w:spacing w:after="0"/>
              <w:rPr>
                <w:sz w:val="20"/>
                <w:szCs w:val="20"/>
                <w:color w:val="auto"/>
              </w:rPr>
            </w:pPr>
            <w:r>
              <w:rPr>
                <w:rFonts w:ascii="Times New Roman" w:cs="Times New Roman" w:eastAsia="Times New Roman" w:hAnsi="Times New Roman"/>
                <w:sz w:val="20"/>
                <w:szCs w:val="20"/>
                <w:color w:val="282828"/>
                <w:w w:val="99"/>
              </w:rPr>
              <w:t>Item 1C. Cybersecurity</w:t>
            </w:r>
          </w:p>
        </w:tc>
        <w:tc>
          <w:tcPr>
            <w:tcW w:w="6360" w:type="dxa"/>
            <w:vAlign w:val="bottom"/>
            <w:gridSpan w:val="19"/>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bottom w:val="single" w:sz="8" w:color="282828"/>
            </w:tcBorders>
            <w:gridSpan w:val="5"/>
          </w:tcPr>
          <w:p>
            <w:pPr>
              <w:spacing w:after="0"/>
              <w:rPr>
                <w:sz w:val="20"/>
                <w:szCs w:val="20"/>
                <w:color w:val="auto"/>
              </w:rPr>
            </w:pPr>
            <w:r>
              <w:rPr>
                <w:rFonts w:ascii="Times New Roman" w:cs="Times New Roman" w:eastAsia="Times New Roman" w:hAnsi="Times New Roman"/>
                <w:sz w:val="20"/>
                <w:szCs w:val="20"/>
                <w:color w:val="282828"/>
                <w:w w:val="99"/>
              </w:rPr>
              <w:t>Item 2. Properties</w:t>
            </w:r>
          </w:p>
        </w:tc>
        <w:tc>
          <w:tcPr>
            <w:tcW w:w="6800" w:type="dxa"/>
            <w:vAlign w:val="bottom"/>
            <w:gridSpan w:val="2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3. Legal Proceedings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282828"/>
          </w:tcPr>
          <w:p>
            <w:pPr>
              <w:spacing w:after="0" w:line="20" w:lineRule="exact"/>
              <w:rPr>
                <w:sz w:val="1"/>
                <w:szCs w:val="1"/>
                <w:color w:val="auto"/>
              </w:rPr>
            </w:pPr>
          </w:p>
        </w:tc>
        <w:tc>
          <w:tcPr>
            <w:tcW w:w="280" w:type="dxa"/>
            <w:vAlign w:val="bottom"/>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60" w:type="dxa"/>
            <w:vAlign w:val="bottom"/>
            <w:gridSpan w:val="3"/>
            <w:shd w:val="clear" w:color="auto" w:fill="282828"/>
          </w:tcPr>
          <w:p>
            <w:pPr>
              <w:spacing w:after="0" w:line="20" w:lineRule="exact"/>
              <w:rPr>
                <w:sz w:val="1"/>
                <w:szCs w:val="1"/>
                <w:color w:val="auto"/>
              </w:rPr>
            </w:pPr>
          </w:p>
        </w:tc>
        <w:tc>
          <w:tcPr>
            <w:tcW w:w="500" w:type="dxa"/>
            <w:vAlign w:val="bottom"/>
            <w:gridSpan w:val="3"/>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4. Mine Safety Disclosures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40"/>
        </w:trPr>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282828"/>
              </w:rPr>
              <w:t>PART II</w:t>
            </w:r>
          </w:p>
        </w:tc>
        <w:tc>
          <w:tcPr>
            <w:tcW w:w="2580" w:type="dxa"/>
            <w:vAlign w:val="bottom"/>
            <w:tcBorders>
              <w:top w:val="single" w:sz="8" w:color="282828"/>
            </w:tcBorders>
            <w:gridSpan w:val="13"/>
          </w:tcPr>
          <w:p>
            <w:pPr>
              <w:spacing w:after="0"/>
              <w:rPr>
                <w:sz w:val="24"/>
                <w:szCs w:val="24"/>
                <w:color w:val="auto"/>
              </w:rPr>
            </w:pPr>
          </w:p>
        </w:tc>
        <w:tc>
          <w:tcPr>
            <w:tcW w:w="56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0"/>
        </w:trPr>
        <w:tc>
          <w:tcPr>
            <w:tcW w:w="64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tcBorders>
              <w:bottom w:val="single" w:sz="8" w:color="282828"/>
            </w:tcBorders>
            <w:gridSpan w:val="27"/>
          </w:tcPr>
          <w:p>
            <w:pPr>
              <w:spacing w:after="0"/>
              <w:rPr>
                <w:sz w:val="20"/>
                <w:szCs w:val="20"/>
                <w:color w:val="auto"/>
              </w:rPr>
            </w:pPr>
            <w:r>
              <w:rPr>
                <w:rFonts w:ascii="Times New Roman" w:cs="Times New Roman" w:eastAsia="Times New Roman" w:hAnsi="Times New Roman"/>
                <w:sz w:val="20"/>
                <w:szCs w:val="20"/>
                <w:color w:val="282828"/>
              </w:rPr>
              <w:t>Item 5. Market for Registrant’s Common Equity, Related Stockholder Matters and Issuer Purchases of</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10"/>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282828"/>
              </w:rPr>
              <w:t>Equity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60" w:type="dxa"/>
            <w:vAlign w:val="bottom"/>
            <w:gridSpan w:val="3"/>
            <w:shd w:val="clear" w:color="auto" w:fill="282828"/>
          </w:tcPr>
          <w:p>
            <w:pPr>
              <w:spacing w:after="0" w:line="20" w:lineRule="exact"/>
              <w:rPr>
                <w:sz w:val="1"/>
                <w:szCs w:val="1"/>
                <w:color w:val="auto"/>
              </w:rPr>
            </w:pPr>
          </w:p>
        </w:tc>
        <w:tc>
          <w:tcPr>
            <w:tcW w:w="500" w:type="dxa"/>
            <w:vAlign w:val="bottom"/>
            <w:gridSpan w:val="3"/>
            <w:shd w:val="clear" w:color="auto" w:fill="28282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3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6. [Reserved]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282828"/>
          </w:tcPr>
          <w:p>
            <w:pPr>
              <w:spacing w:after="0" w:line="20" w:lineRule="exact"/>
              <w:rPr>
                <w:sz w:val="1"/>
                <w:szCs w:val="1"/>
                <w:color w:val="auto"/>
              </w:rPr>
            </w:pPr>
          </w:p>
        </w:tc>
        <w:tc>
          <w:tcPr>
            <w:tcW w:w="880" w:type="dxa"/>
            <w:vAlign w:val="bottom"/>
            <w:gridSpan w:val="2"/>
            <w:shd w:val="clear" w:color="auto" w:fill="282828"/>
          </w:tcPr>
          <w:p>
            <w:pPr>
              <w:spacing w:after="0" w:line="20" w:lineRule="exact"/>
              <w:rPr>
                <w:sz w:val="1"/>
                <w:szCs w:val="1"/>
                <w:color w:val="auto"/>
              </w:rPr>
            </w:pPr>
          </w:p>
        </w:tc>
        <w:tc>
          <w:tcPr>
            <w:tcW w:w="260" w:type="dxa"/>
            <w:vAlign w:val="bottom"/>
            <w:gridSpan w:val="3"/>
            <w:shd w:val="clear" w:color="auto" w:fill="282828"/>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7. Management’s Discussion and Analysis of Financial Condition and Results of Operations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Borders>
              <w:top w:val="single" w:sz="8" w:color="282828"/>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w w:val="99"/>
              </w:rPr>
              <w:t>Item 7A. Quantitative and Qualitative Disclosures about Market Risk</w:t>
            </w:r>
          </w:p>
        </w:tc>
        <w:tc>
          <w:tcPr>
            <w:tcW w:w="2240" w:type="dxa"/>
            <w:vAlign w:val="bottom"/>
            <w:tcBorders>
              <w:top w:val="single" w:sz="8" w:color="282828"/>
            </w:tcBorders>
            <w:gridSpan w:val="3"/>
          </w:tcPr>
          <w:p>
            <w:pPr>
              <w:spacing w:after="0"/>
              <w:rPr>
                <w:sz w:val="24"/>
                <w:szCs w:val="24"/>
                <w:color w:val="auto"/>
              </w:rPr>
            </w:pPr>
          </w:p>
        </w:tc>
        <w:tc>
          <w:tcPr>
            <w:tcW w:w="440" w:type="dxa"/>
            <w:vAlign w:val="bottom"/>
            <w:gridSpan w:val="3"/>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w w:val="99"/>
              </w:rPr>
              <w:t>Item 8. Financial Statements and Supplementary Data</w:t>
            </w:r>
          </w:p>
        </w:tc>
        <w:tc>
          <w:tcPr>
            <w:tcW w:w="3920" w:type="dxa"/>
            <w:vAlign w:val="bottom"/>
            <w:gridSpan w:val="8"/>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w w:val="99"/>
              </w:rPr>
              <w:t>Item 9. Changes in and Disagreements with Accountants on Accounting and Financial Disclosures</w:t>
            </w:r>
          </w:p>
        </w:tc>
        <w:tc>
          <w:tcPr>
            <w:tcW w:w="340" w:type="dxa"/>
            <w:vAlign w:val="bottom"/>
            <w:gridSpan w:val="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w w:val="99"/>
              </w:rPr>
              <w:t>Item 9A. Controls and Procedures</w:t>
            </w:r>
          </w:p>
        </w:tc>
        <w:tc>
          <w:tcPr>
            <w:tcW w:w="5500" w:type="dxa"/>
            <w:vAlign w:val="bottom"/>
            <w:gridSpan w:val="1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282828"/>
            </w:tcBorders>
            <w:gridSpan w:val="11"/>
          </w:tcPr>
          <w:p>
            <w:pPr>
              <w:spacing w:after="0"/>
              <w:rPr>
                <w:sz w:val="20"/>
                <w:szCs w:val="20"/>
                <w:color w:val="auto"/>
              </w:rPr>
            </w:pPr>
            <w:r>
              <w:rPr>
                <w:rFonts w:ascii="Times New Roman" w:cs="Times New Roman" w:eastAsia="Times New Roman" w:hAnsi="Times New Roman"/>
                <w:sz w:val="20"/>
                <w:szCs w:val="20"/>
                <w:color w:val="282828"/>
                <w:w w:val="99"/>
              </w:rPr>
              <w:t>Item 9B. Other Information</w:t>
            </w:r>
          </w:p>
        </w:tc>
        <w:tc>
          <w:tcPr>
            <w:tcW w:w="6020" w:type="dxa"/>
            <w:vAlign w:val="bottom"/>
            <w:gridSpan w:val="16"/>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w w:val="99"/>
              </w:rPr>
              <w:t>Item 9C. Disclosure Regarding Foreign Jurisdictions that Prevent Inspections</w:t>
            </w:r>
          </w:p>
        </w:tc>
        <w:tc>
          <w:tcPr>
            <w:tcW w:w="2040" w:type="dxa"/>
            <w:vAlign w:val="bottom"/>
            <w:gridSpan w:val="5"/>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40"/>
        </w:trPr>
        <w:tc>
          <w:tcPr>
            <w:tcW w:w="9120" w:type="dxa"/>
            <w:vAlign w:val="bottom"/>
            <w:gridSpan w:val="32"/>
          </w:tcPr>
          <w:p>
            <w:pPr>
              <w:spacing w:after="0"/>
              <w:rPr>
                <w:sz w:val="20"/>
                <w:szCs w:val="20"/>
                <w:color w:val="auto"/>
              </w:rPr>
            </w:pPr>
            <w:r>
              <w:rPr>
                <w:rFonts w:ascii="Times New Roman" w:cs="Times New Roman" w:eastAsia="Times New Roman" w:hAnsi="Times New Roman"/>
                <w:sz w:val="20"/>
                <w:szCs w:val="20"/>
                <w:color w:val="282828"/>
              </w:rPr>
              <w:t>PART III</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0"/>
        </w:trPr>
        <w:tc>
          <w:tcPr>
            <w:tcW w:w="64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w w:val="99"/>
              </w:rPr>
              <w:t>Item 10. Directors, Executive Officers and Corporate Governance</w:t>
            </w:r>
          </w:p>
        </w:tc>
        <w:tc>
          <w:tcPr>
            <w:tcW w:w="2960" w:type="dxa"/>
            <w:vAlign w:val="bottom"/>
            <w:gridSpan w:val="7"/>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11. Executive Compensation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282828"/>
          </w:tcPr>
          <w:p>
            <w:pPr>
              <w:spacing w:after="0" w:line="20" w:lineRule="exact"/>
              <w:rPr>
                <w:sz w:val="1"/>
                <w:szCs w:val="1"/>
                <w:color w:val="auto"/>
              </w:rPr>
            </w:pPr>
          </w:p>
        </w:tc>
        <w:tc>
          <w:tcPr>
            <w:tcW w:w="880" w:type="dxa"/>
            <w:vAlign w:val="bottom"/>
            <w:gridSpan w:val="2"/>
            <w:shd w:val="clear" w:color="auto" w:fill="282828"/>
          </w:tcPr>
          <w:p>
            <w:pPr>
              <w:spacing w:after="0" w:line="20" w:lineRule="exact"/>
              <w:rPr>
                <w:sz w:val="1"/>
                <w:szCs w:val="1"/>
                <w:color w:val="auto"/>
              </w:rPr>
            </w:pPr>
          </w:p>
        </w:tc>
        <w:tc>
          <w:tcPr>
            <w:tcW w:w="1200" w:type="dxa"/>
            <w:vAlign w:val="bottom"/>
            <w:gridSpan w:val="9"/>
            <w:shd w:val="clear" w:color="auto" w:fill="282828"/>
          </w:tcPr>
          <w:p>
            <w:pPr>
              <w:spacing w:after="0" w:line="20" w:lineRule="exact"/>
              <w:rPr>
                <w:sz w:val="1"/>
                <w:szCs w:val="1"/>
                <w:color w:val="auto"/>
              </w:rPr>
            </w:pPr>
          </w:p>
        </w:tc>
        <w:tc>
          <w:tcPr>
            <w:tcW w:w="280" w:type="dxa"/>
            <w:vAlign w:val="bottom"/>
            <w:gridSpan w:val="2"/>
            <w:shd w:val="clear" w:color="auto" w:fill="28282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Item 12. Security Ownership of Certain Beneficial Owners and Management and Related Stockholder</w:t>
            </w:r>
          </w:p>
        </w:tc>
        <w:tc>
          <w:tcPr>
            <w:tcW w:w="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10"/>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282828"/>
              </w:rPr>
              <w:t>Matters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3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w w:val="99"/>
              </w:rPr>
              <w:t>Item 13. Certain Relationships and Related Transactions and Director Independence</w:t>
            </w:r>
          </w:p>
        </w:tc>
        <w:tc>
          <w:tcPr>
            <w:tcW w:w="1500" w:type="dxa"/>
            <w:vAlign w:val="bottom"/>
            <w:gridSpan w:val="4"/>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w w:val="99"/>
              </w:rPr>
              <w:t>Item 14. Principal Accountant Fees and Services</w:t>
            </w:r>
          </w:p>
        </w:tc>
        <w:tc>
          <w:tcPr>
            <w:tcW w:w="4340" w:type="dxa"/>
            <w:vAlign w:val="bottom"/>
            <w:gridSpan w:val="10"/>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40"/>
        </w:trPr>
        <w:tc>
          <w:tcPr>
            <w:tcW w:w="9120" w:type="dxa"/>
            <w:vAlign w:val="bottom"/>
            <w:gridSpan w:val="32"/>
          </w:tcPr>
          <w:p>
            <w:pPr>
              <w:spacing w:after="0"/>
              <w:rPr>
                <w:sz w:val="20"/>
                <w:szCs w:val="20"/>
                <w:color w:val="auto"/>
              </w:rPr>
            </w:pPr>
            <w:r>
              <w:rPr>
                <w:rFonts w:ascii="Times New Roman" w:cs="Times New Roman" w:eastAsia="Times New Roman" w:hAnsi="Times New Roman"/>
                <w:sz w:val="20"/>
                <w:szCs w:val="20"/>
                <w:color w:val="282828"/>
              </w:rPr>
              <w:t>PART IV</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340"/>
        </w:trPr>
        <w:tc>
          <w:tcPr>
            <w:tcW w:w="64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20" w:type="dxa"/>
            <w:vAlign w:val="bottom"/>
            <w:tcBorders>
              <w:top w:val="single" w:sz="8" w:color="282828"/>
            </w:tcBorders>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w w:val="99"/>
              </w:rPr>
              <w:t>Item 15. Exhibits and Financial Statement Schedules</w:t>
            </w:r>
          </w:p>
        </w:tc>
        <w:tc>
          <w:tcPr>
            <w:tcW w:w="4000" w:type="dxa"/>
            <w:vAlign w:val="bottom"/>
            <w:gridSpan w:val="9"/>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340"/>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4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Item 16. Form 10-K Summary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0"/>
        </w:trPr>
        <w:tc>
          <w:tcPr>
            <w:tcW w:w="880" w:type="dxa"/>
            <w:vAlign w:val="bottom"/>
            <w:gridSpan w:val="5"/>
          </w:tcPr>
          <w:p>
            <w:pPr>
              <w:spacing w:after="0" w:line="20" w:lineRule="exact"/>
              <w:rPr>
                <w:sz w:val="1"/>
                <w:szCs w:val="1"/>
                <w:color w:val="auto"/>
              </w:rPr>
            </w:pPr>
          </w:p>
        </w:tc>
        <w:tc>
          <w:tcPr>
            <w:tcW w:w="360" w:type="dxa"/>
            <w:vAlign w:val="bottom"/>
            <w:shd w:val="clear" w:color="auto" w:fill="282828"/>
          </w:tcPr>
          <w:p>
            <w:pPr>
              <w:spacing w:after="0" w:line="20" w:lineRule="exact"/>
              <w:rPr>
                <w:sz w:val="1"/>
                <w:szCs w:val="1"/>
                <w:color w:val="auto"/>
              </w:rPr>
            </w:pPr>
          </w:p>
        </w:tc>
        <w:tc>
          <w:tcPr>
            <w:tcW w:w="2080" w:type="dxa"/>
            <w:vAlign w:val="bottom"/>
            <w:gridSpan w:val="11"/>
            <w:shd w:val="clear" w:color="auto" w:fill="282828"/>
          </w:tcPr>
          <w:p>
            <w:pPr>
              <w:spacing w:after="0" w:line="20" w:lineRule="exact"/>
              <w:rPr>
                <w:sz w:val="1"/>
                <w:szCs w:val="1"/>
                <w:color w:val="auto"/>
              </w:rPr>
            </w:pPr>
          </w:p>
        </w:tc>
        <w:tc>
          <w:tcPr>
            <w:tcW w:w="58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0"/>
        </w:trPr>
        <w:tc>
          <w:tcPr>
            <w:tcW w:w="9120" w:type="dxa"/>
            <w:vAlign w:val="bottom"/>
            <w:gridSpan w:val="32"/>
          </w:tcPr>
          <w:p>
            <w:pPr>
              <w:spacing w:after="0"/>
              <w:rPr>
                <w:sz w:val="20"/>
                <w:szCs w:val="20"/>
                <w:color w:val="auto"/>
              </w:rPr>
            </w:pPr>
            <w:r>
              <w:rPr>
                <w:rFonts w:ascii="Times New Roman" w:cs="Times New Roman" w:eastAsia="Times New Roman" w:hAnsi="Times New Roman"/>
                <w:sz w:val="20"/>
                <w:szCs w:val="20"/>
                <w:color w:val="282828"/>
              </w:rPr>
              <w:t>SIGNATURES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0"/>
        </w:trPr>
        <w:tc>
          <w:tcPr>
            <w:tcW w:w="64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360" w:type="dxa"/>
            <w:vAlign w:val="bottom"/>
            <w:shd w:val="clear" w:color="auto" w:fill="28282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860"/>
          </w:cols>
          <w:pgMar w:left="1220" w:top="831" w:right="1160" w:bottom="0" w:gutter="0" w:footer="0" w:header="0"/>
          <w:type w:val="continuous"/>
        </w:sectPr>
      </w:pPr>
    </w:p>
    <w:bookmarkStart w:id="15" w:name="page16"/>
    <w:bookmarkEnd w:id="15"/>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7" w:lineRule="exact"/>
        <w:rPr>
          <w:sz w:val="20"/>
          <w:szCs w:val="20"/>
          <w:color w:val="auto"/>
        </w:rPr>
      </w:pPr>
    </w:p>
    <w:p>
      <w:pPr>
        <w:jc w:val="both"/>
        <w:ind w:left="10" w:firstLine="720"/>
        <w:spacing w:after="0"/>
        <w:rPr>
          <w:sz w:val="20"/>
          <w:szCs w:val="20"/>
          <w:color w:val="auto"/>
        </w:rPr>
      </w:pPr>
      <w:r>
        <w:rPr>
          <w:rFonts w:ascii="Times New Roman" w:cs="Times New Roman" w:eastAsia="Times New Roman" w:hAnsi="Times New Roman"/>
          <w:sz w:val="20"/>
          <w:szCs w:val="20"/>
          <w:color w:val="auto"/>
        </w:rPr>
        <w:t>This Annual Report on Form 10-K, or this Annual Report, contains forward-looking statements within the meaning of Section 27A of the Securities Act of 1933, as amended, or the Securities Act, and Section 21E of the Securities Exchange Act of 1934, as amended, or the Exchange Act, and is subject to the “safe harbor” created by those sections. Any statements about our expectations, beliefs, plans, objectives, assumptions or future events or performance are not historical facts and may be forward-looking. Some of the forward-looking statements can be identified by the use of forward-looking terms such as “anticipates,” “believes,” “could,” “estimates,” “expects,” “intends,” “may,” “might,” “likely,” “plans,” “potential,” “predicts,” “projects,” “seeks,” “should,” “target,” “will,” “would,” or similar expressions and the negatives of those terms include forward-looking statements that involve risks and uncertainties. Forward-looking statements include, but are not limited to, statements regarding the promise or potential of any of our products or product candidates; the marketing, commercialization and sales of IMCIVREE (setmelanotide), bivamelagon (formerly LB54640), and RM-718; commercialization, design, success, cost and timing of our product development activities and clinical trials; the ongoing enrollment of patients in our clinical trials; our expectations surrounding potential regulatory submissions, progress, or approvals for any of our product candidates in any indications; PDUFA goal dates and Type II variation submissions; the estimated market size and addressable population for our drug products; the announcement of data from our clinical trials, including the Japanese patient cohort and the substudy evaluating setmelanotide for patients with congenital hypothalamic obesity; our Phase 3 EMANATE trial evaluating setmelanotide in genetically caused MC4R pathway diseases; Parts C and D of the Phase 1 trial evaluating RM-718; the ongoing open-label Phase 2 trial evaluating setmelanotide in patients with Prader-Willi syndrome; our financial performance, including our expectations regarding our existing cash, cash equivalents, short-term investments, operating losses, expenses, sources of future financing and sufficiency of cash; our ability to hire and retain necessary personnel, including in international regions; patient enrollments; announcements regarding results of clinical trials and filing of regulatory applications; our ability to protect our intellectual property; our ability to negotiate our collaboration agreements, if needed; our relationship with third parties; our marketing, commercial sales, and revenue generation; expectations surrounding our manufacturing arrangements; the potential financial impact, growth prospects and future benefits of our ongoing discovery efforts with respect to congenital hyperinsulinism; the impact of economic conditions on our business and operations and our future financial results; changes in the political and regulatory landscape; the impact of accounting pronouncements and the timing of any of the foregoing. We have based these forward-looking statements largely on our current expectations and projections about future events and financial trends that we believe may affect our business, financial condition and results of operations. We cannot guarantee future results, levels of activity, performance or achievements, and you should not place undue reliance on our forward-looking statements. Our actual results may differ significantly or materially from the results discussed in the forward-looking statements. Important factors that might cause such a difference include, but are not limited to, those set forth in Item 1A. “Risk Factors” and elsewhere in this Annual Report. Moreover, we operate in an evolving environment. New risk factors and uncertainties may emerge from time to time, and it is not possible for management to predict all risk factors and uncertainties. Except as may be required by law, we have no plans to update our forward-looking statements to reflect events or circumstances after the date of this Annual Report. We caution readers not to place undue reliance upon any such forward-looking statements, which speak only as of the date made.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241" w:lineRule="exact"/>
        <w:rPr>
          <w:sz w:val="20"/>
          <w:szCs w:val="20"/>
          <w:color w:val="auto"/>
        </w:rPr>
      </w:pPr>
    </w:p>
    <w:p>
      <w:pPr>
        <w:jc w:val="both"/>
        <w:ind w:left="10" w:right="20" w:firstLine="720"/>
        <w:spacing w:after="0" w:line="271" w:lineRule="auto"/>
        <w:rPr>
          <w:sz w:val="20"/>
          <w:szCs w:val="20"/>
          <w:color w:val="auto"/>
        </w:rPr>
      </w:pPr>
      <w:r>
        <w:rPr>
          <w:rFonts w:ascii="Times New Roman" w:cs="Times New Roman" w:eastAsia="Times New Roman" w:hAnsi="Times New Roman"/>
          <w:sz w:val="20"/>
          <w:szCs w:val="20"/>
          <w:color w:val="auto"/>
        </w:rPr>
        <w:t>Unless the content requires otherwise, references to “Rhythm Pharmaceuticals,” “Rhythm,” “the Company,” “we,” “our,” and “us,” in this Annual Report refer to Rhythm Pharmaceuticals, Inc. and its subsidiaries.</w:t>
      </w:r>
    </w:p>
    <w:p>
      <w:pPr>
        <w:spacing w:after="0" w:line="1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TRADEMARKS, TRADENAMES AND SERVICE MARKS</w:t>
      </w:r>
    </w:p>
    <w:p>
      <w:pPr>
        <w:spacing w:after="0" w:line="247" w:lineRule="exact"/>
        <w:rPr>
          <w:sz w:val="20"/>
          <w:szCs w:val="20"/>
          <w:color w:val="auto"/>
        </w:rPr>
      </w:pPr>
    </w:p>
    <w:p>
      <w:pPr>
        <w:jc w:val="both"/>
        <w:ind w:left="10" w:right="20" w:firstLine="720"/>
        <w:spacing w:after="0" w:line="264" w:lineRule="auto"/>
        <w:rPr>
          <w:sz w:val="20"/>
          <w:szCs w:val="20"/>
          <w:color w:val="auto"/>
        </w:rPr>
      </w:pPr>
      <w:r>
        <w:rPr>
          <w:rFonts w:ascii="Times New Roman" w:cs="Times New Roman" w:eastAsia="Times New Roman" w:hAnsi="Times New Roman"/>
          <w:sz w:val="19"/>
          <w:szCs w:val="19"/>
          <w:color w:val="auto"/>
        </w:rPr>
        <w:t>This Annual Report may include trademarks, tradenames and service marks that are the property of other organizations. Solely for convenience, trademarks and tradenames referred to in this Annual Report may appear without the</w:t>
      </w:r>
    </w:p>
    <w:p>
      <w:pPr>
        <w:spacing w:after="0" w:line="1" w:lineRule="exact"/>
        <w:rPr>
          <w:sz w:val="20"/>
          <w:szCs w:val="20"/>
          <w:color w:val="auto"/>
        </w:rPr>
      </w:pPr>
    </w:p>
    <w:p>
      <w:pPr>
        <w:ind w:left="10" w:right="20" w:hanging="10"/>
        <w:spacing w:after="0" w:line="248" w:lineRule="auto"/>
        <w:tabs>
          <w:tab w:leader="none" w:pos="2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7" w:lineRule="exact"/>
        <w:rPr>
          <w:sz w:val="20"/>
          <w:szCs w:val="20"/>
          <w:color w:val="auto"/>
        </w:rPr>
      </w:pPr>
    </w:p>
    <w:p>
      <w:pPr>
        <w:jc w:val="both"/>
        <w:ind w:left="10" w:firstLine="720"/>
        <w:spacing w:after="0" w:line="255"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97" w:lineRule="exact"/>
        <w:rPr>
          <w:sz w:val="20"/>
          <w:szCs w:val="20"/>
          <w:color w:val="auto"/>
        </w:rPr>
      </w:pPr>
    </w:p>
    <w:p>
      <w:pPr>
        <w:jc w:val="both"/>
        <w:ind w:left="1090" w:right="20" w:hanging="370"/>
        <w:spacing w:after="0" w:line="281" w:lineRule="auto"/>
        <w:tabs>
          <w:tab w:leader="none" w:pos="109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commercial-stage biopharmaceutical company with a limited operating history. To date, we have generated approximately $422.5 million from product sales. We have incurred significant operating losses</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10"/>
          </w:cols>
          <w:pgMar w:left="1170" w:top="831" w:right="1160" w:bottom="0" w:gutter="0" w:footer="0" w:header="0"/>
          <w:type w:val="continuous"/>
        </w:sectPr>
      </w:pPr>
    </w:p>
    <w:bookmarkStart w:id="16" w:name="page17"/>
    <w:bookmarkEnd w:id="16"/>
    <w:p>
      <w:pPr>
        <w:ind w:left="820" w:right="20"/>
        <w:spacing w:after="0" w:line="281" w:lineRule="auto"/>
        <w:rPr>
          <w:sz w:val="20"/>
          <w:szCs w:val="20"/>
          <w:color w:val="auto"/>
        </w:rPr>
      </w:pPr>
      <w:r>
        <w:rPr>
          <w:rFonts w:ascii="Times New Roman" w:cs="Times New Roman" w:eastAsia="Times New Roman" w:hAnsi="Times New Roman"/>
          <w:sz w:val="20"/>
          <w:szCs w:val="20"/>
          <w:color w:val="auto"/>
        </w:rPr>
        <w:t>since our inception, anticipate that we will incur continued losses for the foreseeable future and may never achieve profitability.</w:t>
      </w:r>
    </w:p>
    <w:p>
      <w:pPr>
        <w:spacing w:after="0" w:line="181" w:lineRule="exact"/>
        <w:rPr>
          <w:sz w:val="20"/>
          <w:szCs w:val="20"/>
          <w:color w:val="auto"/>
        </w:rPr>
      </w:pPr>
    </w:p>
    <w:p>
      <w:pPr>
        <w:jc w:val="both"/>
        <w:ind w:left="820" w:hanging="37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95" w:lineRule="exact"/>
        <w:rPr>
          <w:rFonts w:ascii="Times New Roman" w:cs="Times New Roman" w:eastAsia="Times New Roman" w:hAnsi="Times New Roman"/>
          <w:sz w:val="20"/>
          <w:szCs w:val="20"/>
          <w:color w:val="auto"/>
        </w:rPr>
      </w:pPr>
    </w:p>
    <w:p>
      <w:pPr>
        <w:jc w:val="both"/>
        <w:ind w:left="820" w:right="20" w:hanging="37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Interest Financing Agreement with Healthcare Royalty Partners, our license agreement with LGC, and our other agreements, could restrict our ability to commercialize IMCIVREE, limit cash flow available for our operations and expose us to risks that could adversely affect our business, financial condition and results of operations.</w:t>
      </w:r>
    </w:p>
    <w:p>
      <w:pPr>
        <w:spacing w:after="0" w:line="203" w:lineRule="exact"/>
        <w:rPr>
          <w:rFonts w:ascii="Times New Roman" w:cs="Times New Roman" w:eastAsia="Times New Roman" w:hAnsi="Times New Roman"/>
          <w:sz w:val="20"/>
          <w:szCs w:val="20"/>
          <w:color w:val="auto"/>
        </w:rPr>
      </w:pPr>
    </w:p>
    <w:p>
      <w:pPr>
        <w:ind w:left="820" w:right="20" w:hanging="37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only one approved product, which is still in clinical development in additional indications, and we may not be successful in any future efforts to identify and develop additional product candidates.</w:t>
      </w:r>
    </w:p>
    <w:p>
      <w:pPr>
        <w:spacing w:after="0" w:line="181" w:lineRule="exact"/>
        <w:rPr>
          <w:rFonts w:ascii="Times New Roman" w:cs="Times New Roman" w:eastAsia="Times New Roman" w:hAnsi="Times New Roman"/>
          <w:sz w:val="20"/>
          <w:szCs w:val="20"/>
          <w:color w:val="auto"/>
        </w:rPr>
      </w:pPr>
    </w:p>
    <w:p>
      <w:pPr>
        <w:jc w:val="both"/>
        <w:ind w:left="820" w:right="20" w:hanging="370"/>
        <w:spacing w:after="0" w:line="258"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successful commercialization of IMCIVREE and any other product candidates will depend in part on the extent to which governmental authorities, private health insurers, and other third-party payors provide coverage and adequate reimbursement. Failure to obtain or maintain coverage and adequate reimbursement for setmelanotide or our other product candidates, if any and if approved, could severely limit our ability to market those products and decrease our ability to generate revenue.</w:t>
      </w:r>
    </w:p>
    <w:p>
      <w:pPr>
        <w:spacing w:after="0" w:line="203" w:lineRule="exact"/>
        <w:rPr>
          <w:rFonts w:ascii="Times New Roman" w:cs="Times New Roman" w:eastAsia="Times New Roman" w:hAnsi="Times New Roman"/>
          <w:sz w:val="20"/>
          <w:szCs w:val="20"/>
          <w:color w:val="auto"/>
        </w:rPr>
      </w:pPr>
    </w:p>
    <w:p>
      <w:pPr>
        <w:jc w:val="both"/>
        <w:ind w:left="820" w:right="20" w:hanging="37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results from early clinical trials of setmelanotide may not be predictive of the results of later clinical trials of setmelanotide and preliminary data may not be predictive of final results. If we cannot generate positive results in our later clinical trials of setmelanotide, we may be unable to successfully develop, obtain regulatory approval for and commercialize additional indications for setmelanotide.</w:t>
      </w:r>
    </w:p>
    <w:p>
      <w:pPr>
        <w:spacing w:after="0" w:line="203" w:lineRule="exact"/>
        <w:rPr>
          <w:rFonts w:ascii="Times New Roman" w:cs="Times New Roman" w:eastAsia="Times New Roman" w:hAnsi="Times New Roman"/>
          <w:sz w:val="20"/>
          <w:szCs w:val="20"/>
          <w:color w:val="auto"/>
        </w:rPr>
      </w:pPr>
    </w:p>
    <w:p>
      <w:pPr>
        <w:jc w:val="both"/>
        <w:ind w:left="820" w:right="20" w:hanging="370"/>
        <w:spacing w:after="0" w:line="258"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with each of the MC4R pathway deficiencies is very small and has not been established with precision. If the actual number of patients with any of these conditions is smaller than we had estimated, our revenue and ability to achieve profitability will be materially adversely affected. Moreover, our ability to recruit patients to our trials may be materially adversely affected. Patient enrollment may also be adversely affected by competition and other factors.</w:t>
      </w:r>
    </w:p>
    <w:p>
      <w:pPr>
        <w:spacing w:after="0" w:line="203" w:lineRule="exact"/>
        <w:rPr>
          <w:rFonts w:ascii="Times New Roman" w:cs="Times New Roman" w:eastAsia="Times New Roman" w:hAnsi="Times New Roman"/>
          <w:sz w:val="20"/>
          <w:szCs w:val="20"/>
          <w:color w:val="auto"/>
        </w:rPr>
      </w:pPr>
    </w:p>
    <w:p>
      <w:pPr>
        <w:jc w:val="both"/>
        <w:ind w:left="820" w:right="20" w:hanging="37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the commencement or completion of our planned clinical trials of setmelanotide could result in increased costs to us and could delay, prevent or limit our ability to generate revenue and continue our business.</w:t>
      </w:r>
    </w:p>
    <w:p>
      <w:pPr>
        <w:spacing w:after="0" w:line="195" w:lineRule="exact"/>
        <w:rPr>
          <w:rFonts w:ascii="Times New Roman" w:cs="Times New Roman" w:eastAsia="Times New Roman" w:hAnsi="Times New Roman"/>
          <w:sz w:val="20"/>
          <w:szCs w:val="20"/>
          <w:color w:val="auto"/>
        </w:rPr>
      </w:pPr>
    </w:p>
    <w:p>
      <w:pPr>
        <w:jc w:val="both"/>
        <w:ind w:left="820" w:hanging="370"/>
        <w:spacing w:after="0" w:line="25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and, guidance in the United States or abroad, or unanticipated events during our clinical trials of setmelanotide may occur, which may result in changes to clinical trial protocols or additional clinical trial requirements, which could result in increased costs to us and could delay our development timeline. Additionally, it may be necessary to validate different or additional instruments for measuring subjective symptoms, and to show that setmelanotide has a clinically meaningful impact on specified endpoints in order to obtain regulatory approval.</w:t>
      </w:r>
    </w:p>
    <w:p>
      <w:pPr>
        <w:spacing w:after="0" w:line="208" w:lineRule="exact"/>
        <w:rPr>
          <w:rFonts w:ascii="Times New Roman" w:cs="Times New Roman" w:eastAsia="Times New Roman" w:hAnsi="Times New Roman"/>
          <w:sz w:val="20"/>
          <w:szCs w:val="20"/>
          <w:color w:val="auto"/>
        </w:rPr>
      </w:pPr>
    </w:p>
    <w:p>
      <w:pPr>
        <w:jc w:val="both"/>
        <w:ind w:left="820" w:hanging="370"/>
        <w:spacing w:after="0" w:line="255"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complete the necessary clinical trials, the regulatory and marketing approval process is expensive, time consuming and uncertain and may prevent us from obtaining additional approvals for the commercialization of setmelanotide. We depend entirely on the success of setmelanotide, and we cannot be certain that we will be able to obtain additional regulatory approvals for, or successfully commercialize, setmelanotide. If we are not able to obtain, or if there are delays in obtaining, required additional regulatory approvals, we will not be able to commercialize setmelanotide in additional indications in the United States or in foreign jurisdictions, and our ability to generate revenue will be materially impaired.</w:t>
      </w:r>
    </w:p>
    <w:p>
      <w:pPr>
        <w:spacing w:after="0" w:line="209" w:lineRule="exact"/>
        <w:rPr>
          <w:rFonts w:ascii="Times New Roman" w:cs="Times New Roman" w:eastAsia="Times New Roman" w:hAnsi="Times New Roman"/>
          <w:sz w:val="20"/>
          <w:szCs w:val="20"/>
          <w:color w:val="auto"/>
        </w:rPr>
      </w:pPr>
    </w:p>
    <w:p>
      <w:pPr>
        <w:jc w:val="both"/>
        <w:ind w:left="820" w:hanging="370"/>
        <w:spacing w:after="0" w:line="25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 marking of an in vitro companion diagnostic device to ensure appropriate selection of patients as a condition of approving setmelanotide in additional indications. The requirement that we obtain clearance, approval or CE marking of an in vitro companion diagnostic device would require substantial financial resources, and could delay or</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640"/>
          </w:cols>
          <w:pgMar w:left="1440" w:top="838" w:right="1160" w:bottom="0" w:gutter="0" w:footer="0" w:header="0"/>
          <w:type w:val="continuous"/>
        </w:sectPr>
      </w:pPr>
    </w:p>
    <w:bookmarkStart w:id="17" w:name="page18"/>
    <w:bookmarkEnd w:id="17"/>
    <w:p>
      <w:pPr>
        <w:ind w:left="820" w:right="20"/>
        <w:spacing w:after="0" w:line="281" w:lineRule="auto"/>
        <w:rPr>
          <w:sz w:val="20"/>
          <w:szCs w:val="20"/>
          <w:color w:val="auto"/>
        </w:rPr>
      </w:pPr>
      <w:r>
        <w:rPr>
          <w:rFonts w:ascii="Times New Roman" w:cs="Times New Roman" w:eastAsia="Times New Roman" w:hAnsi="Times New Roman"/>
          <w:sz w:val="20"/>
          <w:szCs w:val="20"/>
          <w:color w:val="auto"/>
        </w:rPr>
        <w:t>prevent the receipt of additional regulatory approvals for setmelanotide, or adversely affect those we have already obtained.</w:t>
      </w:r>
    </w:p>
    <w:p>
      <w:pPr>
        <w:spacing w:after="0" w:line="181" w:lineRule="exact"/>
        <w:rPr>
          <w:sz w:val="20"/>
          <w:szCs w:val="20"/>
          <w:color w:val="auto"/>
        </w:rPr>
      </w:pPr>
    </w:p>
    <w:p>
      <w:pPr>
        <w:jc w:val="both"/>
        <w:ind w:left="820" w:right="20" w:hanging="37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cause undesirable side effects that could delay or prevent their regulatory approval, limit the commercial profile of an approved labeling or result in significant negative consequences following marketing approval, if any.</w:t>
      </w:r>
    </w:p>
    <w:p>
      <w:pPr>
        <w:spacing w:after="0" w:line="195" w:lineRule="exact"/>
        <w:rPr>
          <w:rFonts w:ascii="Times New Roman" w:cs="Times New Roman" w:eastAsia="Times New Roman" w:hAnsi="Times New Roman"/>
          <w:sz w:val="20"/>
          <w:szCs w:val="20"/>
          <w:color w:val="auto"/>
        </w:rPr>
      </w:pPr>
    </w:p>
    <w:p>
      <w:pPr>
        <w:jc w:val="both"/>
        <w:ind w:left="820" w:hanging="37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CHI program remains in the discovery stage and although we intend to identify an investigational candidate in 2026, we cannot be assured that we will ever successfully develop and commercialize a CHI product candidate.</w:t>
      </w:r>
    </w:p>
    <w:p>
      <w:pPr>
        <w:spacing w:after="0" w:line="195" w:lineRule="exact"/>
        <w:rPr>
          <w:rFonts w:ascii="Times New Roman" w:cs="Times New Roman" w:eastAsia="Times New Roman" w:hAnsi="Times New Roman"/>
          <w:sz w:val="20"/>
          <w:szCs w:val="20"/>
          <w:color w:val="auto"/>
        </w:rPr>
      </w:pPr>
    </w:p>
    <w:p>
      <w:pPr>
        <w:jc w:val="both"/>
        <w:ind w:left="820" w:hanging="37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third parties we rely on, and will continue to rely on, do not successfully carry out their contractual obligations or meet expected timelines, we may not be able to obtain additional regulatory approvals for, manufacture, distribute or continue to commercialize setmelanotide and our business could be materially adversely affected.</w:t>
      </w:r>
    </w:p>
    <w:p>
      <w:pPr>
        <w:spacing w:after="0" w:line="203" w:lineRule="exact"/>
        <w:rPr>
          <w:rFonts w:ascii="Times New Roman" w:cs="Times New Roman" w:eastAsia="Times New Roman" w:hAnsi="Times New Roman"/>
          <w:sz w:val="20"/>
          <w:szCs w:val="20"/>
          <w:color w:val="auto"/>
        </w:rPr>
      </w:pPr>
    </w:p>
    <w:p>
      <w:pPr>
        <w:jc w:val="both"/>
        <w:ind w:left="820" w:right="20" w:hanging="37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industry is intensely competitive. If we are not able to compete effectively against current and future competitors, we may not be able to generate sufficient revenue from the sale of IMCIVREE, our business will not grow and our financial condition and operations will suffer.</w:t>
      </w:r>
    </w:p>
    <w:p>
      <w:pPr>
        <w:spacing w:after="0" w:line="195" w:lineRule="exact"/>
        <w:rPr>
          <w:rFonts w:ascii="Times New Roman" w:cs="Times New Roman" w:eastAsia="Times New Roman" w:hAnsi="Times New Roman"/>
          <w:sz w:val="20"/>
          <w:szCs w:val="20"/>
          <w:color w:val="auto"/>
        </w:rPr>
      </w:pPr>
    </w:p>
    <w:p>
      <w:pPr>
        <w:jc w:val="both"/>
        <w:ind w:left="820" w:right="20" w:hanging="37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adequately protect our proprietary technology or maintain issued patents that are sufficient to protect setmelanotide or our other product candidates, others could compete against us more directly, which would have a material adverse impact on our business, results of operations, financial condition and prospects.</w:t>
      </w:r>
    </w:p>
    <w:p>
      <w:pPr>
        <w:spacing w:after="0" w:line="203" w:lineRule="exact"/>
        <w:rPr>
          <w:rFonts w:ascii="Times New Roman" w:cs="Times New Roman" w:eastAsia="Times New Roman" w:hAnsi="Times New Roman"/>
          <w:sz w:val="20"/>
          <w:szCs w:val="20"/>
          <w:color w:val="auto"/>
        </w:rPr>
      </w:pPr>
    </w:p>
    <w:p>
      <w:pPr>
        <w:jc w:val="both"/>
        <w:ind w:left="820" w:right="20" w:hanging="37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events, such as pandemics, economic, political and regulatory changes and uncertainties, have and may continue to adversely impact our business, including our preclinical studies, clinical trials and other commercialization prospects.</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640"/>
          </w:cols>
          <w:pgMar w:left="1440" w:top="838" w:right="1160" w:bottom="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are a global, commercial-stage biopharmaceutical company dedicated to transforming the lives of patients living with rare neuroendocrine diseases. We are focused on advancing melanocortin-4 receptor (MC4R)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(setmelanotide), as precision medicines designed to treat hyperphagia and severe obesity caused by rare MC4R pathway diseases. While obesity affects hundreds of millions of people worldwide, we are developing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Bardet-Biedl syndrome (BBS), Prader-Willi syndrome (PWS) and other diseases caused by impaired MC4R pathway signaling. The MC4R pathway is a neuro-endocrine pathway in the brain that is responsible for regulating hunger, caloric intake and energy expenditure, which consequently affect body weight. IMCIVREE, our most advanced MC4R agonist for which we hold worldwide rights, is the first-ever therapy that is marketed in the United States, European Union (EU), United Kingdom, Canada and several other countries and regions for certain rare MC4R pathway diseases, including BBS. We also are developing two earlier-stage investigational MC4R agonists, bivamelagon (formerly LB54640), an oral small molecule, and RM-718, designed for weekly subcutaneous administration. These investigational assets, for which we possess global rights, are specifically designed to exhibit high selectivity for MC4R while functionally sparing MC1R. As a result, they are not expected to induce hyperpigmentation.</w:t>
      </w:r>
    </w:p>
    <w:p>
      <w:pPr>
        <w:spacing w:after="0" w:line="222" w:lineRule="exact"/>
        <w:rPr>
          <w:sz w:val="20"/>
          <w:szCs w:val="20"/>
          <w:color w:val="auto"/>
        </w:rPr>
      </w:pPr>
    </w:p>
    <w:p>
      <w:pPr>
        <w:ind w:right="40" w:firstLine="720"/>
        <w:spacing w:after="0" w:line="235" w:lineRule="auto"/>
        <w:rPr>
          <w:sz w:val="20"/>
          <w:szCs w:val="20"/>
          <w:color w:val="auto"/>
        </w:rPr>
      </w:pPr>
      <w:r>
        <w:rPr>
          <w:rFonts w:ascii="Times New Roman" w:cs="Times New Roman" w:eastAsia="Times New Roman" w:hAnsi="Times New Roman"/>
          <w:sz w:val="20"/>
          <w:szCs w:val="20"/>
          <w:color w:val="auto"/>
        </w:rPr>
        <w:t>In 2026, pending regulatory approval, we anticipate launching IMCIVREE in the United States as the first and only therapy specifically to treat patients living with acquired hypothalamic obesity. This represents a meaningful, near-term expansion opportunity. Acquired hypothalamic obesity is a rare disease characterized by accelerated and sustained weight gain caused by injury to the hypothalamus, which may impair MC4R pathway signaling. We believe there are approximately 10,000 patients in United States living with acquired hypothalamic obesity with an annual incidence of 500 new cases, with similar prevalence and incidence in Europe, as well as between 5,000 and 8,000 patients in Japan. We believe this represents a significant global unmet need as there are no therapies specifically approved for hypothalamic obesity. We are seeking regulatory approval in the United States and the European Union based on statistically significant and clinically meaningful placebo-adjusted BMI reduction of 19.8% achieved in our 120-patient, Phase 3 trial. In addition, we added an independent substudy to our ongoing global trial, in order to evaluate setmelanotide in patients with congenital hypothalamic obesity, a constellation of rare diseases caused by certain brain abnormalities that may impair the function of the MC4R pathway, with enrollment of the first patients in this substudy expected to be complete in the second half of 2026. Our preliminary estimate of the prevalence of congenital hypothalamic obesity is in excess of 1,000 patients in the United States with a similar prevalence in Europe, and this is in addition to the prevalence for acquired hypothalamic obesity. Also, we plan to initiate a Phase 3 registrational trial to evaluate bivamelagon in patients with hypothalamic obesity by year-end 2026, and we are evaluating RM-718 in an ongoing Phase 1/2 trial, also in acquired hypothalamic obesity. On February 26, 2026 we announced we completed a positive end-of-Phase-2 meeting with FDA regarding bivamelagon in acquired HO and disclosed open-label extension data from our Phase 2 trial that showed bivamelagon achieved persistent BMI reductions at six and nine months of therapy.</w:t>
      </w:r>
    </w:p>
    <w:p>
      <w:pPr>
        <w:spacing w:after="0" w:line="21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For IMCIVREE, which was first approved in the United States in 2020, we have demonstrated success in achieving regulatory approvals and/or securing market access or named patient sales in more than 25 countries in addition to the United States, and we continue to seek access in additional markets. IMCIVREE is approved by the U.S. Food and Drug Administration (FDA) to reduce excess body weight and maintain weight reduction long term in adult and pediatric patients aged 2 years and older with syndromic or monogenic obesity due to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 Reviews of our regulatory submissions seeking approval and marketing authorization for setmelanotide as a treatment for acquired hypothalamic obesity are ongoing in the United States and Europe, with an FDA-assigned Prescription Drug User Fee Act (PDUFA) goal date of March 20, 2026. We anticipate disclosing topline data from a 12-patient Japanese cohort of our Phase 3 trial evaluating setmelanotide for acquired hypothalamic obesity in March 2026, and pending positive data, completing a new drug application submission in Japan. Regulatory decisions in Europe and Japan are anticipated later in 2026 or 2027.</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880"/>
          </w:cols>
          <w:pgMar w:left="1180" w:top="831" w:right="1180" w:bottom="0" w:gutter="0" w:footer="0" w:header="0"/>
          <w:type w:val="continuous"/>
        </w:sectPr>
      </w:pPr>
    </w:p>
    <w:bookmarkStart w:id="19" w:name="page20"/>
    <w:bookmarkEnd w:id="19"/>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Following our disclosure in December 2025 of positive preliminary data from our ongoing, exploratory, open-label Phase 2 trial with setmelanotide in patients with PWS, we believe there is potential for an MC4R agonist to be a future treatment option for patients with PWS, a rare genetic disorder that results in a number of physical, mental and behavioral problems. A key feature of PWS is a constant sense of hunger that usually begins in early childhood. PWS is estimated to affect approximately 400,000 people worldwide and approximately 20,000 people in the United States. There are currently limited therapeutic options that effectively reduce the extreme hyperphagia and address low resting energy expenditure associated with PWS. Following the disclosure of these positive preliminary results in December 2025, we announced plans to further develop setmelanotide and RM-718 for PWS.</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advancing what we believe is the most comprehensive clinical research and development program ever initiated in MC4R pathway diseases, with setmelanotide, bivamelagon and RM-718 in multiple ongoing and planned clinical trials. Our MC4R pathway program is designed to expand the total number of patients who we believe could benefit from setmelanotide therapy or from one of our new drug candidates. Our Phase 3 EMANATE trial, comprised of four independent substudies evaluating setmelanotide in genetically caused MC4R pathway diseases, is ongoing with topline data expected in March 2026. Following the completion of our Phase 2 DAYBREAK trial, we identified six genetically-defined cohorts that we believe merit further investigation for potential setmelanotide efficacy.</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are leveraging what we believe is the largest known DNA database focused on obesity—with approximately 120,000 sequencing samples as of December 31, 2025—to improve the understanding, diagnosis and care of people living with severe obesity due to certain variants in genes associated with the MC4R pathway. Our sequencing-based epidemiology estimates show that each of these genetically-defined MC4R pathway deficiencies we are focused on are considered rare diseases, according to established definitions based on patient populations. Our epidemiology estimates are approximately 4,600 to 7,500 for U.S. patients in initial FDA-approved indications, including obesity due to BBS and biallelic POMC, PCSK1 or LEPR deficiencies. Our epidemiology estimates for the SH2B1 insufficiency and heterozygous POMC/PCSK1 insufficiency being studied in our Phase 3 EMANATE trial suggest that approximately 29,000 U.S. patients with one of these genetically driven obesities have the potential to respond well to setmelanotide. Similarly, our epidemiology estimates for patients with genetic indications who demonstrated an initial response in our Phase 2 DAYBREAK trial is approximately 65,300. All these patients face similar challenges to other patients with rare diseases, namely lack of awareness, resources, tests, tools and especially therapeutic options.</w:t>
      </w:r>
    </w:p>
    <w:p>
      <w:pPr>
        <w:spacing w:after="0" w:line="21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working to expand access to IMCIVREE globally. Our disease awareness and patient finding efforts are aligned with a singular focus on building a community of caregivers and healthcare providers focused on transforming the treatment of these diseases. We have multiple field teams in the United States and Europe engaging with physicians who treat patients with severe obesity, and we have a team in Japan preparing for the potential registration and launch of setmelanotide for acquired hypothalamic obesity. We continue to bring together health care providers, patients and families with educational and awareness events. Our genetic testing programs fuel MC4R pathway research, disease education, awareness, and patient finding.</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As of February 1, 2026, we had 414 employees, including 126 employees in 11 countries outside of North America and with an ever-expanding network of key opinion leaders, and an increasing number of identified, diagnosed and treated patients, we are focused on changing the paradigm for the treatment of rare MC4R pathway diseases. Rhythm is executing a strategy to build a durable, global biopharmaceutical company focused on transforming the lives of patients with rare neuroendocrine diseases by rapidly advancing care and precision medicines that address the root cause. We have established a strong global foundation with IMCIVREE (setmelanotide), which has achieved regulatory approvals and marketing authorization, reimbursed access or named patient sales in more than 25 countries, including the United States, the European Union and the United Kingdom. With RM-718 and bivamelagon in addition to setmelanotide, we are advancing what we believe is the most comprehensive portfolio of MC4R agonists. Leveraging our expertise, we plan to maximize the value of our MC4R agonists by aligning our clinical development, commercial and life-cycle management strategies around three key disease areas where patients are currently underserved:</w:t>
      </w:r>
    </w:p>
    <w:p>
      <w:pPr>
        <w:spacing w:after="0" w:line="209" w:lineRule="exact"/>
        <w:rPr>
          <w:sz w:val="20"/>
          <w:szCs w:val="20"/>
          <w:color w:val="auto"/>
        </w:rPr>
      </w:pPr>
    </w:p>
    <w:p>
      <w:pPr>
        <w:ind w:left="1080" w:hanging="730"/>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Hypothalamic dysfunction</w:t>
      </w:r>
    </w:p>
    <w:p>
      <w:pPr>
        <w:spacing w:after="0" w:line="254" w:lineRule="exact"/>
        <w:rPr>
          <w:rFonts w:ascii="Times New Roman" w:cs="Times New Roman" w:eastAsia="Times New Roman" w:hAnsi="Times New Roman"/>
          <w:sz w:val="20"/>
          <w:szCs w:val="20"/>
          <w:color w:val="auto"/>
        </w:rPr>
      </w:pPr>
    </w:p>
    <w:p>
      <w:pPr>
        <w:jc w:val="both"/>
        <w:ind w:left="1080" w:right="2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preparing for global commercialization of setmelanotide for the treatment of patients with acquired hypothalamic obesity beginning in 2026, if approved, in the United States, Europe, Japan and more regions and countries. In parallel, we expect to initiate a registrational Phase 3 program for bivamelagon, our oral MC4R agonist, by year-end 2026, and continue to evaluate RM</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718, our weekly MC4R agonist, in an ongoing Phase 1/2 trial in patients with hypothalamic obesity. We also are evaluating setmelanotide in congenital hypothalamic obesity.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838" w:right="1160" w:bottom="0" w:gutter="0" w:footer="0" w:header="0"/>
          <w:type w:val="continuous"/>
        </w:sectPr>
      </w:pPr>
    </w:p>
    <w:bookmarkStart w:id="20" w:name="page21"/>
    <w:bookmarkEnd w:id="20"/>
    <w:p>
      <w:pPr>
        <w:ind w:left="1080" w:hanging="73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Prader-Willi syndrome (PWS)</w:t>
      </w:r>
    </w:p>
    <w:p>
      <w:pPr>
        <w:spacing w:after="0" w:line="254" w:lineRule="exact"/>
        <w:rPr>
          <w:rFonts w:ascii="Times New Roman" w:cs="Times New Roman" w:eastAsia="Times New Roman" w:hAnsi="Times New Roman"/>
          <w:sz w:val="20"/>
          <w:szCs w:val="20"/>
          <w:color w:val="auto"/>
        </w:rPr>
      </w:pPr>
    </w:p>
    <w:p>
      <w:pPr>
        <w:ind w:left="1080" w:right="80"/>
        <w:spacing w:after="0" w:line="27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With encouraging preliminary results from the ongoing exploratory Phase 2 PWS trial of setmelanotide, we believe MC4R agonism has the potential to address the profound hyperphagia and severe obesity associated with PWS. We also are advancing RM</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718 in an ongoing Phase 1/2 trial in PWS. There remains a significant unmet need to treat hyperphagia, diminished energy expenditure and obesity associated with PWS.</w:t>
      </w:r>
    </w:p>
    <w:p>
      <w:pPr>
        <w:spacing w:after="0" w:line="182" w:lineRule="exact"/>
        <w:rPr>
          <w:rFonts w:ascii="Times New Roman" w:cs="Times New Roman" w:eastAsia="Times New Roman" w:hAnsi="Times New Roman"/>
          <w:sz w:val="20"/>
          <w:szCs w:val="20"/>
          <w:color w:val="auto"/>
        </w:rPr>
      </w:pPr>
    </w:p>
    <w:p>
      <w:pPr>
        <w:ind w:left="1080" w:hanging="73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Rare genetic MC4R pathway diseases</w:t>
      </w:r>
    </w:p>
    <w:p>
      <w:pPr>
        <w:spacing w:after="0" w:line="254" w:lineRule="exact"/>
        <w:rPr>
          <w:sz w:val="20"/>
          <w:szCs w:val="20"/>
          <w:color w:val="auto"/>
        </w:rPr>
      </w:pPr>
    </w:p>
    <w:p>
      <w:pPr>
        <w:jc w:val="both"/>
        <w:ind w:left="1080"/>
        <w:spacing w:after="0" w:line="253" w:lineRule="auto"/>
        <w:rPr>
          <w:sz w:val="20"/>
          <w:szCs w:val="20"/>
          <w:color w:val="auto"/>
        </w:rPr>
      </w:pPr>
      <w:r>
        <w:rPr>
          <w:rFonts w:ascii="Times New Roman" w:cs="Times New Roman" w:eastAsia="Times New Roman" w:hAnsi="Times New Roman"/>
          <w:sz w:val="20"/>
          <w:szCs w:val="20"/>
          <w:color w:val="auto"/>
        </w:rPr>
        <w:t>We are leveraging our global leadership in MC4R pathway genetics to deepen our knowledge of the genetics underlying these rare diseases and the number of patients who may benefit from MC4R agonism. EMANATE, our pivotal Phase 3 program comprised of four independent substudies across genetically defined MC4R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pathway diseases, is expected to deliver topline results from each substudy in March 2026. We believe, these results, if positive, could have the potential to support regulatory approval for setmelanotide in up to four additional indications. We also expect EMANATE results, in combination with results from our completed DAYBREAK trial, to advance our understanding of which genetic variants are associated with loss of function and to inform on our approach to future clinical development. We are evaluating our next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generation MC4R agonists, including bivamelagon and RM</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718, for further development in these populations. While each genetic MC4R pathway disease may be ultra-rare, when combined this set of diseases represents a meaningful expansion opportunity for setmelanotide and/or our next-generation assets.</w:t>
      </w:r>
    </w:p>
    <w:p>
      <w:pPr>
        <w:spacing w:after="0" w:line="196"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In addition to our commercial and clinical priorities, we are advancing pre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clinical research and exploring new potential indications and potential therapeutic benefits of MC4R agonism. We are advancing new product candidates for congenital hyperinsulinism (CHI), a rare genetic disease. Together, these efforts support our long</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objective: to develop a scientifically differentiated, globally scaled company capable of delivering first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in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class or best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in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class MC4R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mediated therapeutics to patients with rare neuroendocrine diseases across multiple geographies and therapeutic categories.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Overview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Severe Obesity, Hyperphagia, and the MC4R Pathway</w:t>
      </w:r>
    </w:p>
    <w:p>
      <w:pPr>
        <w:spacing w:after="0" w:line="25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Rare MC4R pathway diseases are distinct from general obesity. The hallmark characteristics of rare MC4R pathway diseases are severe obesity and hyperphagia, a pathological and insatiable hunger that drives a severe preoccupation with food and extreme food-seeking behaviors. Lifestyle interventions are not effective in patients with these diseases because they fail to address the underlying genetic or acquired impairment of central energy regulation and satiety. Accordingly, the discovery that the MC4R pathway regulates both energy intake (hunger) and energy expenditure has made it an important target for therapeutics. Studies have shown that injuries to the hypothalamus region of the brain in patients with certain tumors impair MC4R signaling, leading to increased hunger, reduced energy expenditure and accelerated and sustained weight gain. With a deeper understanding of this critical signaling pathway, we are taking a different approach to drug development by focusing on specific genetic variants and acquired injury affecting the MC4R pathway. We believe that this approach has the potential to provide clinically meaningful improvements in the treatment of rare obesity and hyperphagia by addressing lost function in the MC4R pathway.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MC4R Pathway Diseases</w:t>
      </w:r>
    </w:p>
    <w:p>
      <w:pPr>
        <w:spacing w:after="0" w:line="25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MC4R pathway has been the focus of extensive scientific investigation for many years. This neuro-endocrine pathway in the hypothalamus is a key signaling pathway responsible for regulating hunger, caloric intake, and energy expenditure, which consequently affects body weight. It is known to be a critical component in the regulation of energy balance. The critical role of the MC4R pathway in weight regulation is supported by the observation that single gene variants at various points in this pathway may result in early-onset, severe obesity.</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MC4R pathway, through its regulation of energy intake and energy expenditure, is the key physiological determinant of body weight. Genetic variants or anatomical injury or insults may lead to MC4R pathway impairment and result in severe obesity, hyperphagia (an extreme and unrelenting hunger) and reduced energy expenditure. Such MC4R pathway diseases include POMC, PCSK1, LEPR genetic deficiencies, Bardet-Biedl syndrome, Prader-Willi syndrome, acquired and congenital hypothalamic obesity. Additionally, variants of several genes may be associated with MC4R pathway disease, including SH2B1 and SRC1/NCOA1.</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834" w:right="1160" w:bottom="0" w:gutter="0" w:footer="0" w:header="0"/>
          <w:type w:val="continuous"/>
        </w:sectPr>
      </w:pPr>
    </w:p>
    <w:bookmarkStart w:id="21" w:name="page22"/>
    <w:bookmarkEnd w:id="21"/>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MC4R pathway is illustrated in the figure below. Under normal conditions, POMC neurons are activated by adiposity and satiety signals, including the hormone leptin acting through the LEPR. POMC neurons produce a protein, which is processed by the PCSK1 enzyme, into melanocyte stimulating hormone, or MSH, the natural agonist, or activator of the MC4R. When upstream genetic variants, traumatic injuries or lesions disrupt this pathway, it can lead to insufficient MC4R activation and downstream signaling, the result of which can be hyperphagia, reduced energy expenditure and severe obesity.</w:t>
      </w:r>
    </w:p>
    <w:p>
      <w:pPr>
        <w:spacing w:after="0" w:line="208"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figure below also illustrates some of the genes that are upstream of the MC4R and the potential effect variants in those genes can have on the activation of the MC4R, which regulates food intake and energy expenditure.</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MC4R Agonism Development Targets: Upstream Deficiencies Affecting the MC4R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6286500" cy="3119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286500" cy="311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720" w:right="2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AgRP, agouti-related protein; LEPR, leptin receptor; MC4R, melanocortin-4 receptor; MSH, melanocyte-stimulating hormone; ACTH, adrenocorticotropic hormone; PCSK1, proprotein convertase subtilisin/ kexin-type 1; POMC, proopiomelanocortin. Reference: Yazdi FT et al. PeerJ. 2015;3:e856.</w:t>
      </w:r>
    </w:p>
    <w:p>
      <w:pPr>
        <w:spacing w:after="0" w:line="19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are focused on developing our MC4R agonists, including our lead asset setmelanotide, as precision treatments for certain rare MC4R pathway diseases. In addition to acquired hypothalamic obesity, congenital hypothalamic obesity and PWS, we are evaluating setmelanotide for the treatment of obesity due to variants in a number of genes associated with the MC4R pathway. Setmelanotide has the potential to restore lost function in this pathway by activating the intact MC4R-expressing neuron downstream of the genetic impairment. In this way, we believe setmelanotide may act as restorative therapy, to restore lost signaling of the MC4R pathway.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Epidemiology Estimates of Rare MC4R Pathway Diseases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While obesity is a global epidemic, we are focused on rare MC4R pathway diseases. Impairment of the MC4R pathway is characterized by hyperphagia and rapid-onset obesity or the presence of early-onset, severe obesity. Of the tens of millions of individuals with obesity in the United States, the U.S. Center for Disease Control (CDC) estimates that there are approximately 5 million individuals whose severe obesity had onset between the ages of 2 and 5 years old. The tables below summarize the estimated prevalence for indications currently approved or under clinical investigation. These calculations rely on internal and proprietary sequencing data and current estimated responder rates to setmelanotide therapy, and they assume a U.S. population of 327 million, of which 1.7% have early-onset, severe obesity (Hales et al in JAMA – April 2018: Trends in Obesity and Severe Obesity Prevalence in US Youth and Adults by Sex and Age, 2007-2008 to 2015-2016).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179070</wp:posOffset>
                </wp:positionH>
                <wp:positionV relativeFrom="paragraph">
                  <wp:posOffset>175260</wp:posOffset>
                </wp:positionV>
                <wp:extent cx="0" cy="2032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0"/>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pt,13.8pt" to="14.1pt,2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179070</wp:posOffset>
                </wp:positionH>
                <wp:positionV relativeFrom="paragraph">
                  <wp:posOffset>175260</wp:posOffset>
                </wp:positionV>
                <wp:extent cx="0" cy="2032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pt,13.8pt" to="14.1pt,29.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6094095</wp:posOffset>
                </wp:positionH>
                <wp:positionV relativeFrom="paragraph">
                  <wp:posOffset>175260</wp:posOffset>
                </wp:positionV>
                <wp:extent cx="0" cy="2032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0"/>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5pt,13.8pt" to="479.85pt,2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6094095</wp:posOffset>
                </wp:positionH>
                <wp:positionV relativeFrom="paragraph">
                  <wp:posOffset>175260</wp:posOffset>
                </wp:positionV>
                <wp:extent cx="0" cy="2032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5pt,13.8pt" to="479.85pt,29.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172720</wp:posOffset>
                </wp:positionH>
                <wp:positionV relativeFrom="paragraph">
                  <wp:posOffset>181610</wp:posOffset>
                </wp:positionV>
                <wp:extent cx="59277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7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14.3pt" to="480.35pt,14.3pt" o:allowincell="f" strokecolor="#000000" strokeweight="1pt"/>
            </w:pict>
          </mc:Fallback>
        </mc:AlternateConten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Approved by the U.S. FDA and authorized by the EC and United Kingdom’s MHRA</w:t>
      </w:r>
      <w:r>
        <w:rPr>
          <w:rFonts w:ascii="Times New Roman" w:cs="Times New Roman" w:eastAsia="Times New Roman" w:hAnsi="Times New Roman"/>
          <w:sz w:val="26"/>
          <w:szCs w:val="26"/>
          <w:color w:val="auto"/>
          <w:vertAlign w:val="superscript"/>
        </w:rPr>
        <w: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172720</wp:posOffset>
                </wp:positionH>
                <wp:positionV relativeFrom="paragraph">
                  <wp:posOffset>-7620</wp:posOffset>
                </wp:positionV>
                <wp:extent cx="59277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7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0.5999pt" to="480.35pt,-0.5999pt" o:allowincell="f" strokecolor="#000000" strokeweight="1pt"/>
            </w:pict>
          </mc:Fallback>
        </mc:AlternateConten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838" w:right="1160" w:bottom="0" w:gutter="0" w:footer="0" w:header="0"/>
          <w:type w:val="continuous"/>
        </w:sectPr>
      </w:pPr>
    </w:p>
    <w:bookmarkStart w:id="22" w:name="page23"/>
    <w:bookmarkEnd w:id="22"/>
    <w:tbl>
      <w:tblPr>
        <w:tblLayout w:type="fixed"/>
        <w:tblInd w:w="290" w:type="dxa"/>
        <w:tblCellMar>
          <w:top w:w="0" w:type="dxa"/>
          <w:left w:w="0" w:type="dxa"/>
          <w:bottom w:w="0" w:type="dxa"/>
          <w:right w:w="0" w:type="dxa"/>
        </w:tblCellMar>
      </w:tblPr>
      <w:tr>
        <w:trPr>
          <w:trHeight w:val="300"/>
        </w:trPr>
        <w:tc>
          <w:tcPr>
            <w:tcW w:w="31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Estimated U.S. prevalence</w:t>
            </w:r>
          </w:p>
        </w:tc>
        <w:tc>
          <w:tcPr>
            <w:tcW w:w="31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Estimated European prevalence</w:t>
            </w:r>
          </w:p>
        </w:tc>
      </w:tr>
      <w:tr>
        <w:trPr>
          <w:trHeight w:val="280"/>
        </w:trPr>
        <w:tc>
          <w:tcPr>
            <w:tcW w:w="3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Bardet-Biedl syndrome</w:t>
            </w:r>
          </w:p>
        </w:tc>
        <w:tc>
          <w:tcPr>
            <w:tcW w:w="3100" w:type="dxa"/>
            <w:vAlign w:val="bottom"/>
            <w:tcBorders>
              <w:bottom w:val="single" w:sz="8" w:color="auto"/>
              <w:right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4,000 – 5,000</w:t>
            </w:r>
            <w:r>
              <w:rPr>
                <w:rFonts w:ascii="Times New Roman" w:cs="Times New Roman" w:eastAsia="Times New Roman" w:hAnsi="Times New Roman"/>
                <w:sz w:val="26"/>
                <w:szCs w:val="26"/>
                <w:color w:val="auto"/>
                <w:vertAlign w:val="superscript"/>
              </w:rPr>
              <w:t>b</w:t>
            </w:r>
          </w:p>
        </w:tc>
        <w:tc>
          <w:tcPr>
            <w:tcW w:w="3100" w:type="dxa"/>
            <w:vAlign w:val="bottom"/>
            <w:tcBorders>
              <w:bottom w:val="single" w:sz="8" w:color="auto"/>
              <w:right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4,000 – 5,000</w:t>
            </w:r>
            <w:r>
              <w:rPr>
                <w:rFonts w:ascii="Times New Roman" w:cs="Times New Roman" w:eastAsia="Times New Roman" w:hAnsi="Times New Roman"/>
                <w:sz w:val="26"/>
                <w:szCs w:val="26"/>
                <w:color w:val="auto"/>
                <w:vertAlign w:val="superscript"/>
              </w:rPr>
              <w:t>b</w:t>
            </w:r>
          </w:p>
        </w:tc>
      </w:tr>
      <w:tr>
        <w:trPr>
          <w:trHeight w:val="243"/>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to POMC or LEPR</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~600 – 2,500</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Similar prevalence as U.S.</w:t>
            </w:r>
            <w:r>
              <w:rPr>
                <w:rFonts w:ascii="Times New Roman" w:cs="Times New Roman" w:eastAsia="Times New Roman" w:hAnsi="Times New Roman"/>
                <w:sz w:val="26"/>
                <w:szCs w:val="26"/>
                <w:color w:val="auto"/>
                <w:vertAlign w:val="superscript"/>
              </w:rPr>
              <w:t>c</w:t>
            </w:r>
          </w:p>
        </w:tc>
      </w:tr>
      <w:tr>
        <w:trPr>
          <w:trHeight w:val="240"/>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deficiency caused by biallelic</w:t>
            </w:r>
          </w:p>
        </w:tc>
        <w:tc>
          <w:tcPr>
            <w:tcW w:w="3100" w:type="dxa"/>
            <w:vAlign w:val="bottom"/>
            <w:tcBorders>
              <w:right w:val="single" w:sz="8" w:color="auto"/>
            </w:tcBorders>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r>
      <w:tr>
        <w:trPr>
          <w:trHeight w:val="240"/>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variants in the POMC, PCSK1 or</w:t>
            </w:r>
          </w:p>
        </w:tc>
        <w:tc>
          <w:tcPr>
            <w:tcW w:w="3100" w:type="dxa"/>
            <w:vAlign w:val="bottom"/>
            <w:tcBorders>
              <w:right w:val="single" w:sz="8" w:color="auto"/>
            </w:tcBorders>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r>
      <w:tr>
        <w:trPr>
          <w:trHeight w:val="277"/>
        </w:trPr>
        <w:tc>
          <w:tcPr>
            <w:tcW w:w="3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LEPR gene</w:t>
            </w:r>
          </w:p>
        </w:tc>
        <w:tc>
          <w:tcPr>
            <w:tcW w:w="310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bl>
    <w:p>
      <w:pPr>
        <w:spacing w:after="0" w:line="26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928370</wp:posOffset>
                </wp:positionH>
                <wp:positionV relativeFrom="page">
                  <wp:posOffset>565150</wp:posOffset>
                </wp:positionV>
                <wp:extent cx="0" cy="10414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1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3.1pt,44.5pt" to="73.1pt,126.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2900045</wp:posOffset>
                </wp:positionH>
                <wp:positionV relativeFrom="page">
                  <wp:posOffset>565150</wp:posOffset>
                </wp:positionV>
                <wp:extent cx="0" cy="10414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1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8.35pt,44.5pt" to="228.35pt,126.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4871720</wp:posOffset>
                </wp:positionH>
                <wp:positionV relativeFrom="page">
                  <wp:posOffset>565150</wp:posOffset>
                </wp:positionV>
                <wp:extent cx="0" cy="10414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1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3.6pt,44.5pt" to="383.6pt,126.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6843395</wp:posOffset>
                </wp:positionH>
                <wp:positionV relativeFrom="page">
                  <wp:posOffset>565150</wp:posOffset>
                </wp:positionV>
                <wp:extent cx="0" cy="10414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1400"/>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8.85pt,44.5pt" to="538.85pt,126.5pt" o:allowincell="f" strokecolor="#000000" strokeweight="0pt">
                <w10:wrap anchorx="page" anchory="page"/>
              </v:line>
            </w:pict>
          </mc:Fallback>
        </mc:AlternateContent>
      </w:r>
    </w:p>
    <w:p>
      <w:pPr>
        <w:ind w:left="720" w:right="20" w:hanging="370"/>
        <w:spacing w:after="0" w:line="286" w:lineRule="auto"/>
        <w:tabs>
          <w:tab w:leader="none" w:pos="72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Authorized by the EC and MHRA for use in patients 2 years of age and older. Approved by the FDA for use in patients 2 years of age and older with monogenic or syndromic obesity.</w:t>
      </w:r>
    </w:p>
    <w:p>
      <w:pPr>
        <w:spacing w:after="0" w:line="171" w:lineRule="exact"/>
        <w:rPr>
          <w:rFonts w:ascii="Times New Roman" w:cs="Times New Roman" w:eastAsia="Times New Roman" w:hAnsi="Times New Roman"/>
          <w:sz w:val="20"/>
          <w:szCs w:val="20"/>
          <w:b w:val="1"/>
          <w:bCs w:val="1"/>
          <w:i w:val="1"/>
          <w:iCs w:val="1"/>
          <w:color w:val="auto"/>
        </w:rPr>
      </w:pPr>
    </w:p>
    <w:p>
      <w:pPr>
        <w:jc w:val="both"/>
        <w:ind w:left="720" w:hanging="370"/>
        <w:spacing w:after="0" w:line="254" w:lineRule="auto"/>
        <w:tabs>
          <w:tab w:leader="none" w:pos="72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 BBS, prevalence estimates vary between populations, from 1 in 100,000 in northern European populations with higher prevalence rates in some additional regions throughout the world. We estimate the number of patients with BBS in the United States is between 4,000 and 5,000, with a similar number in continental Europe and the United Kingdom (UK). These estimates are based on our patient identification efforts in the United States and Europe and our proprietary genetic sequencing data, as well as our belief that BBS, like most rare diseases, is underdiagnosed. We believe the BBS health care provider network in EU member states and the UK is particularly well-established and more advanced than in the United States, and based on field work, we believe there are approximately 1,500 patients diagnosed and being cared for at academic centers in Europe. Applying these population-adjusted identified patient populations to the United States and other countries with comparable population genetics supports our epidemiology estimates.</w:t>
      </w:r>
    </w:p>
    <w:p>
      <w:pPr>
        <w:spacing w:after="0" w:line="206"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62" w:lineRule="auto"/>
        <w:tabs>
          <w:tab w:leader="none" w:pos="72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 POMC or LEPR deficiencies, we estimate European prevalence is similar to the United States. While our sequencing data include patients from the United States and Europe, at the time, we did not have a comparable number of sequencing samples from European countries, and these estimates are therefore based on applying relative population percentages to the Rhythm-derived estimates described above.</w:t>
      </w:r>
    </w:p>
    <w:p>
      <w:pPr>
        <w:spacing w:after="0" w:line="20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Separately, in Canada, where IMCIVREE is approved for weight management in adult and pediatric patients 6 years of age and older with obesity due to BBS or biallelic POMC, PSCK1 or LEPR deficiency, we estimated at the time of our filing for approval with Health Canada that there are approximately 300 – 400 individuals with BBS. This was based on data on file, a range of prevalence estimates for BBS in Canada between 1 in 125,000 to 1 in 160,000, and a population in Canada of 38,929,902 as of July 1, 2022, according to StatsCan. Also, our prevalence estimate accounted for a reported founder effect in the province of Newfoundland, where estimated prevalence is approximately 1 in 17,500 (Forsythe E, Beales PL. Eur J Hum Genet. 2013;21(1):8-13). The prevalence of POMC, PCSK1, and LEPR deficiency obesity in Canada is not well characterized as very little data are available.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179070</wp:posOffset>
                </wp:positionH>
                <wp:positionV relativeFrom="paragraph">
                  <wp:posOffset>177165</wp:posOffset>
                </wp:positionV>
                <wp:extent cx="0" cy="305117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51175"/>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pt,13.95pt" to="14.1pt,254.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179070</wp:posOffset>
                </wp:positionH>
                <wp:positionV relativeFrom="paragraph">
                  <wp:posOffset>177165</wp:posOffset>
                </wp:positionV>
                <wp:extent cx="0" cy="305117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5117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pt,13.95pt" to="14.1pt,254.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6094095</wp:posOffset>
                </wp:positionH>
                <wp:positionV relativeFrom="paragraph">
                  <wp:posOffset>177165</wp:posOffset>
                </wp:positionV>
                <wp:extent cx="0" cy="305117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51175"/>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5pt,13.95pt" to="479.85pt,254.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6094095</wp:posOffset>
                </wp:positionH>
                <wp:positionV relativeFrom="paragraph">
                  <wp:posOffset>177165</wp:posOffset>
                </wp:positionV>
                <wp:extent cx="0" cy="305117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5117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85pt,13.95pt" to="479.85pt,254.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172720</wp:posOffset>
                </wp:positionH>
                <wp:positionV relativeFrom="paragraph">
                  <wp:posOffset>183515</wp:posOffset>
                </wp:positionV>
                <wp:extent cx="59277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7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14.45pt" to="480.35pt,14.45pt" o:allowincell="f" strokecolor="#000000" strokeweight="1pt"/>
            </w:pict>
          </mc:Fallback>
        </mc:AlternateContent>
      </w: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Setmelanotide currently being evaluated in Phase 3 trials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2150745</wp:posOffset>
                </wp:positionH>
                <wp:positionV relativeFrom="paragraph">
                  <wp:posOffset>24130</wp:posOffset>
                </wp:positionV>
                <wp:extent cx="0" cy="28702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70200"/>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35pt,1.9pt" to="169.35pt,22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4122420</wp:posOffset>
                </wp:positionH>
                <wp:positionV relativeFrom="paragraph">
                  <wp:posOffset>24130</wp:posOffset>
                </wp:positionV>
                <wp:extent cx="0" cy="28702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70200"/>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6pt,1.9pt" to="324.6pt,227.9pt" o:allowincell="f" strokecolor="#000000" strokeweight="0pt"/>
            </w:pict>
          </mc:Fallback>
        </mc:AlternateContent>
      </w:r>
    </w:p>
    <w:p>
      <w:pPr>
        <w:spacing w:after="0" w:line="14" w:lineRule="exact"/>
        <w:rPr>
          <w:sz w:val="20"/>
          <w:szCs w:val="20"/>
          <w:color w:val="auto"/>
        </w:rPr>
      </w:pPr>
    </w:p>
    <w:tbl>
      <w:tblPr>
        <w:tblLayout w:type="fixed"/>
        <w:tblInd w:w="280" w:type="dxa"/>
        <w:tblCellMar>
          <w:top w:w="0" w:type="dxa"/>
          <w:left w:w="0" w:type="dxa"/>
          <w:bottom w:w="0" w:type="dxa"/>
          <w:right w:w="0" w:type="dxa"/>
        </w:tblCellMar>
      </w:tblPr>
      <w:tr>
        <w:trPr>
          <w:trHeight w:val="285"/>
        </w:trPr>
        <w:tc>
          <w:tcPr>
            <w:tcW w:w="3120" w:type="dxa"/>
            <w:vAlign w:val="bottom"/>
            <w:tcBorders>
              <w:top w:val="single" w:sz="8" w:color="auto"/>
              <w:bottom w:val="single" w:sz="8" w:color="auto"/>
              <w:right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Estimated U.S. population</w:t>
            </w:r>
          </w:p>
        </w:tc>
        <w:tc>
          <w:tcPr>
            <w:tcW w:w="3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Estimated European population</w:t>
            </w:r>
          </w:p>
        </w:tc>
      </w:tr>
      <w:tr>
        <w:trPr>
          <w:trHeight w:val="280"/>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Acquired hypothalamic obesity</w:t>
            </w:r>
          </w:p>
        </w:tc>
        <w:tc>
          <w:tcPr>
            <w:tcW w:w="3100" w:type="dxa"/>
            <w:vAlign w:val="bottom"/>
            <w:tcBorders>
              <w:bottom w:val="single" w:sz="8" w:color="auto"/>
              <w:right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~10,000</w:t>
            </w:r>
            <w:r>
              <w:rPr>
                <w:rFonts w:ascii="Times New Roman" w:cs="Times New Roman" w:eastAsia="Times New Roman" w:hAnsi="Times New Roman"/>
                <w:sz w:val="26"/>
                <w:szCs w:val="26"/>
                <w:color w:val="auto"/>
                <w:vertAlign w:val="superscript"/>
              </w:rPr>
              <w:t>d</w:t>
            </w:r>
          </w:p>
        </w:tc>
        <w:tc>
          <w:tcPr>
            <w:tcW w:w="3100" w:type="dxa"/>
            <w:vAlign w:val="bottom"/>
            <w:tcBorders>
              <w:bottom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~10,000</w:t>
            </w:r>
            <w:r>
              <w:rPr>
                <w:rFonts w:ascii="Times New Roman" w:cs="Times New Roman" w:eastAsia="Times New Roman" w:hAnsi="Times New Roman"/>
                <w:sz w:val="26"/>
                <w:szCs w:val="26"/>
                <w:color w:val="auto"/>
                <w:vertAlign w:val="superscript"/>
              </w:rPr>
              <w:t>e</w:t>
            </w:r>
          </w:p>
        </w:tc>
      </w:tr>
      <w:tr>
        <w:trPr>
          <w:trHeight w:val="280"/>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Congenital hypothalamic obesity</w:t>
            </w:r>
          </w:p>
        </w:tc>
        <w:tc>
          <w:tcPr>
            <w:tcW w:w="3100" w:type="dxa"/>
            <w:vAlign w:val="bottom"/>
            <w:tcBorders>
              <w:bottom w:val="single" w:sz="8" w:color="auto"/>
              <w:right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&gt;1,000</w:t>
            </w:r>
            <w:r>
              <w:rPr>
                <w:rFonts w:ascii="Times New Roman" w:cs="Times New Roman" w:eastAsia="Times New Roman" w:hAnsi="Times New Roman"/>
                <w:sz w:val="26"/>
                <w:szCs w:val="26"/>
                <w:color w:val="auto"/>
                <w:vertAlign w:val="superscript"/>
              </w:rPr>
              <w:t>f</w:t>
            </w:r>
          </w:p>
        </w:tc>
        <w:tc>
          <w:tcPr>
            <w:tcW w:w="3100" w:type="dxa"/>
            <w:vAlign w:val="bottom"/>
            <w:tcBorders>
              <w:bottom w:val="single" w:sz="8" w:color="auto"/>
            </w:tcBorders>
          </w:tcPr>
          <w:p>
            <w:pPr>
              <w:ind w:left="40"/>
              <w:spacing w:after="0" w:line="280" w:lineRule="exact"/>
              <w:rPr>
                <w:sz w:val="20"/>
                <w:szCs w:val="20"/>
                <w:color w:val="auto"/>
              </w:rPr>
            </w:pPr>
            <w:r>
              <w:rPr>
                <w:rFonts w:ascii="Times New Roman" w:cs="Times New Roman" w:eastAsia="Times New Roman" w:hAnsi="Times New Roman"/>
                <w:sz w:val="20"/>
                <w:szCs w:val="20"/>
                <w:color w:val="auto"/>
              </w:rPr>
              <w:t>&gt;1,000</w:t>
            </w:r>
            <w:r>
              <w:rPr>
                <w:rFonts w:ascii="Times New Roman" w:cs="Times New Roman" w:eastAsia="Times New Roman" w:hAnsi="Times New Roman"/>
                <w:sz w:val="26"/>
                <w:szCs w:val="26"/>
                <w:color w:val="auto"/>
                <w:vertAlign w:val="superscript"/>
              </w:rPr>
              <w:t>f</w:t>
            </w:r>
          </w:p>
        </w:tc>
      </w:tr>
      <w:tr>
        <w:trPr>
          <w:trHeight w:val="243"/>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to POMC insufficiency</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6,000</w:t>
            </w:r>
            <w:r>
              <w:rPr>
                <w:rFonts w:ascii="Times New Roman" w:cs="Times New Roman" w:eastAsia="Times New Roman" w:hAnsi="Times New Roman"/>
                <w:sz w:val="26"/>
                <w:szCs w:val="26"/>
                <w:color w:val="auto"/>
                <w:vertAlign w:val="superscript"/>
              </w:rPr>
              <w:t>g</w:t>
            </w:r>
          </w:p>
        </w:tc>
        <w:tc>
          <w:tcPr>
            <w:tcW w:w="3100" w:type="dxa"/>
            <w:vAlign w:val="bottom"/>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Similar prevalence as U.S. </w:t>
            </w:r>
            <w:r>
              <w:rPr>
                <w:rFonts w:ascii="Times New Roman" w:cs="Times New Roman" w:eastAsia="Times New Roman" w:hAnsi="Times New Roman"/>
                <w:sz w:val="26"/>
                <w:szCs w:val="26"/>
                <w:color w:val="auto"/>
                <w:vertAlign w:val="superscript"/>
              </w:rPr>
              <w:t>g</w:t>
            </w: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caused by heterozygous variants in</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77"/>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POMC or PCSK1 genes</w:t>
            </w:r>
          </w:p>
        </w:tc>
        <w:tc>
          <w:tcPr>
            <w:tcW w:w="310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r>
        <w:trPr>
          <w:trHeight w:val="243"/>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to LEPR insufficiency</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4,000 </w:t>
            </w:r>
            <w:r>
              <w:rPr>
                <w:rFonts w:ascii="Times New Roman" w:cs="Times New Roman" w:eastAsia="Times New Roman" w:hAnsi="Times New Roman"/>
                <w:sz w:val="26"/>
                <w:szCs w:val="26"/>
                <w:color w:val="auto"/>
                <w:vertAlign w:val="superscript"/>
              </w:rPr>
              <w:t>g</w:t>
            </w:r>
          </w:p>
        </w:tc>
        <w:tc>
          <w:tcPr>
            <w:tcW w:w="3100" w:type="dxa"/>
            <w:vAlign w:val="bottom"/>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Similar prevalence as U.S. </w:t>
            </w:r>
            <w:r>
              <w:rPr>
                <w:rFonts w:ascii="Times New Roman" w:cs="Times New Roman" w:eastAsia="Times New Roman" w:hAnsi="Times New Roman"/>
                <w:sz w:val="26"/>
                <w:szCs w:val="26"/>
                <w:color w:val="auto"/>
                <w:vertAlign w:val="superscript"/>
              </w:rPr>
              <w:t>g</w:t>
            </w: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caused by heterozygous variants in</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77"/>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LEPR gene</w:t>
            </w:r>
          </w:p>
        </w:tc>
        <w:tc>
          <w:tcPr>
            <w:tcW w:w="310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r>
        <w:trPr>
          <w:trHeight w:val="243"/>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to SRC1 deficiency</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~20,000 </w:t>
            </w:r>
            <w:r>
              <w:rPr>
                <w:rFonts w:ascii="Times New Roman" w:cs="Times New Roman" w:eastAsia="Times New Roman" w:hAnsi="Times New Roman"/>
                <w:sz w:val="26"/>
                <w:szCs w:val="26"/>
                <w:color w:val="auto"/>
                <w:vertAlign w:val="superscript"/>
              </w:rPr>
              <w:t>g</w:t>
            </w:r>
          </w:p>
        </w:tc>
        <w:tc>
          <w:tcPr>
            <w:tcW w:w="3100" w:type="dxa"/>
            <w:vAlign w:val="bottom"/>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Similar prevalence as U.S. </w:t>
            </w:r>
            <w:r>
              <w:rPr>
                <w:rFonts w:ascii="Times New Roman" w:cs="Times New Roman" w:eastAsia="Times New Roman" w:hAnsi="Times New Roman"/>
                <w:sz w:val="26"/>
                <w:szCs w:val="26"/>
                <w:color w:val="auto"/>
                <w:vertAlign w:val="superscript"/>
              </w:rPr>
              <w:t>g</w:t>
            </w: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caused by a variant in the NCOA1</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77"/>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gene (SRC1 deficiency obesity)</w:t>
            </w:r>
          </w:p>
        </w:tc>
        <w:tc>
          <w:tcPr>
            <w:tcW w:w="310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r>
        <w:trPr>
          <w:trHeight w:val="243"/>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to SH2B1 deficiency</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~23,000 </w:t>
            </w:r>
            <w:r>
              <w:rPr>
                <w:rFonts w:ascii="Times New Roman" w:cs="Times New Roman" w:eastAsia="Times New Roman" w:hAnsi="Times New Roman"/>
                <w:sz w:val="26"/>
                <w:szCs w:val="26"/>
                <w:color w:val="auto"/>
                <w:vertAlign w:val="superscript"/>
              </w:rPr>
              <w:t>g</w:t>
            </w:r>
          </w:p>
        </w:tc>
        <w:tc>
          <w:tcPr>
            <w:tcW w:w="3100" w:type="dxa"/>
            <w:vAlign w:val="bottom"/>
          </w:tcPr>
          <w:p>
            <w:pPr>
              <w:ind w:left="40"/>
              <w:spacing w:after="0" w:line="243" w:lineRule="exact"/>
              <w:rPr>
                <w:sz w:val="20"/>
                <w:szCs w:val="20"/>
                <w:color w:val="auto"/>
              </w:rPr>
            </w:pPr>
            <w:r>
              <w:rPr>
                <w:rFonts w:ascii="Times New Roman" w:cs="Times New Roman" w:eastAsia="Times New Roman" w:hAnsi="Times New Roman"/>
                <w:sz w:val="20"/>
                <w:szCs w:val="20"/>
                <w:color w:val="auto"/>
              </w:rPr>
              <w:t xml:space="preserve">Similar prevalence as U.S. </w:t>
            </w:r>
            <w:r>
              <w:rPr>
                <w:rFonts w:ascii="Times New Roman" w:cs="Times New Roman" w:eastAsia="Times New Roman" w:hAnsi="Times New Roman"/>
                <w:sz w:val="26"/>
                <w:szCs w:val="26"/>
                <w:color w:val="auto"/>
                <w:vertAlign w:val="superscript"/>
              </w:rPr>
              <w:t>g</w:t>
            </w: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caused by a variant in the SH2B1</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gene or 16p11.2 deletion</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40"/>
        </w:trPr>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encompassing the SH2B1 gene</w:t>
            </w:r>
          </w:p>
        </w:tc>
        <w:tc>
          <w:tcPr>
            <w:tcW w:w="310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r>
      <w:tr>
        <w:trPr>
          <w:trHeight w:val="277"/>
        </w:trPr>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(SH2B1 deficiency obesity)</w:t>
            </w:r>
          </w:p>
        </w:tc>
        <w:tc>
          <w:tcPr>
            <w:tcW w:w="310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174625</wp:posOffset>
                </wp:positionH>
                <wp:positionV relativeFrom="paragraph">
                  <wp:posOffset>149225</wp:posOffset>
                </wp:positionV>
                <wp:extent cx="0" cy="19367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6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11.75pt" to="13.75pt,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174625</wp:posOffset>
                </wp:positionH>
                <wp:positionV relativeFrom="paragraph">
                  <wp:posOffset>149225</wp:posOffset>
                </wp:positionV>
                <wp:extent cx="0" cy="19367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67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5pt,11.75pt" to="13.75pt,2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6099175</wp:posOffset>
                </wp:positionH>
                <wp:positionV relativeFrom="paragraph">
                  <wp:posOffset>149225</wp:posOffset>
                </wp:positionV>
                <wp:extent cx="0" cy="19367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675"/>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25pt,11.75pt" to="480.25pt,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6099175</wp:posOffset>
                </wp:positionH>
                <wp:positionV relativeFrom="paragraph">
                  <wp:posOffset>149225</wp:posOffset>
                </wp:positionV>
                <wp:extent cx="0" cy="19367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67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25pt,11.75pt" to="480.25pt,2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168275</wp:posOffset>
                </wp:positionH>
                <wp:positionV relativeFrom="paragraph">
                  <wp:posOffset>155575</wp:posOffset>
                </wp:positionV>
                <wp:extent cx="593725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5pt,12.25pt" to="480.75pt,12.25pt" o:allowincell="f" strokecolor="#000000" strokeweight="1pt"/>
            </w:pict>
          </mc:Fallback>
        </mc:AlternateConten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Setmelanotide currently being evaluated in Phase 2 trial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30480</wp:posOffset>
                </wp:positionV>
                <wp:extent cx="593725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5pt,2.4pt" to="480.75pt,2.4pt" o:allowincell="f" strokecolor="#000000" strokeweight="1pt"/>
            </w:pict>
          </mc:Fallback>
        </mc:AlternateContent>
      </w:r>
    </w:p>
    <w:p>
      <w:pPr>
        <w:sectPr>
          <w:pgSz w:w="12240" w:h="15840" w:orient="portrait"/>
          <w:cols w:equalWidth="0" w:num="1">
            <w:col w:w="9900"/>
          </w:cols>
          <w:pgMar w:left="1180" w:top="870" w:right="116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870" w:right="1160" w:bottom="0" w:gutter="0" w:footer="0" w:header="0"/>
          <w:type w:val="continuous"/>
        </w:sectPr>
      </w:pPr>
    </w:p>
    <w:bookmarkStart w:id="23" w:name="page24"/>
    <w:bookmarkEnd w:id="23"/>
    <w:tbl>
      <w:tblPr>
        <w:tblLayout w:type="fixed"/>
        <w:tblInd w:w="270" w:type="dxa"/>
        <w:tblCellMar>
          <w:top w:w="0" w:type="dxa"/>
          <w:left w:w="0" w:type="dxa"/>
          <w:bottom w:w="0" w:type="dxa"/>
          <w:right w:w="0" w:type="dxa"/>
        </w:tblCellMar>
      </w:tblPr>
      <w:tr>
        <w:trPr>
          <w:trHeight w:val="300"/>
        </w:trPr>
        <w:tc>
          <w:tcPr>
            <w:tcW w:w="31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Prader-Willi syndrome</w:t>
            </w:r>
          </w:p>
        </w:tc>
        <w:tc>
          <w:tcPr>
            <w:tcW w:w="31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~20,000</w:t>
            </w:r>
          </w:p>
        </w:tc>
        <w:tc>
          <w:tcPr>
            <w:tcW w:w="31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~400,000 world wide</w:t>
            </w:r>
          </w:p>
        </w:tc>
      </w:tr>
      <w:tr>
        <w:trPr>
          <w:trHeight w:val="243"/>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Obesity due a deficiency in the</w:t>
            </w:r>
          </w:p>
        </w:tc>
        <w:tc>
          <w:tcPr>
            <w:tcW w:w="310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~65,300</w:t>
            </w:r>
            <w:r>
              <w:rPr>
                <w:rFonts w:ascii="Times New Roman" w:cs="Times New Roman" w:eastAsia="Times New Roman" w:hAnsi="Times New Roman"/>
                <w:sz w:val="26"/>
                <w:szCs w:val="26"/>
                <w:color w:val="auto"/>
                <w:vertAlign w:val="superscript"/>
              </w:rPr>
              <w:t>g,h</w:t>
            </w:r>
          </w:p>
        </w:tc>
        <w:tc>
          <w:tcPr>
            <w:tcW w:w="314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0"/>
                <w:szCs w:val="20"/>
                <w:color w:val="auto"/>
              </w:rPr>
              <w:t>Similar prevalence as U.S.</w:t>
            </w:r>
            <w:r>
              <w:rPr>
                <w:rFonts w:ascii="Times New Roman" w:cs="Times New Roman" w:eastAsia="Times New Roman" w:hAnsi="Times New Roman"/>
                <w:sz w:val="26"/>
                <w:szCs w:val="26"/>
                <w:color w:val="auto"/>
                <w:vertAlign w:val="superscript"/>
              </w:rPr>
              <w:t>f</w:t>
            </w:r>
          </w:p>
        </w:tc>
      </w:tr>
      <w:tr>
        <w:trPr>
          <w:trHeight w:val="240"/>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MC4R pathway caused by variants</w:t>
            </w:r>
          </w:p>
        </w:tc>
        <w:tc>
          <w:tcPr>
            <w:tcW w:w="310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r>
      <w:tr>
        <w:trPr>
          <w:trHeight w:val="240"/>
        </w:trPr>
        <w:tc>
          <w:tcPr>
            <w:tcW w:w="3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the SEMA3 family, PHIP, TBX3</w:t>
            </w:r>
          </w:p>
        </w:tc>
        <w:tc>
          <w:tcPr>
            <w:tcW w:w="310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r>
      <w:tr>
        <w:trPr>
          <w:trHeight w:val="277"/>
        </w:trPr>
        <w:tc>
          <w:tcPr>
            <w:tcW w:w="3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 PLXNA family</w:t>
            </w:r>
          </w:p>
        </w:tc>
        <w:tc>
          <w:tcPr>
            <w:tcW w:w="31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bl>
    <w:p>
      <w:pPr>
        <w:spacing w:after="0" w:line="16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923925</wp:posOffset>
                </wp:positionH>
                <wp:positionV relativeFrom="page">
                  <wp:posOffset>565150</wp:posOffset>
                </wp:positionV>
                <wp:extent cx="0" cy="8509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0900"/>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75pt,44.5pt" to="72.75pt,111.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2886075</wp:posOffset>
                </wp:positionH>
                <wp:positionV relativeFrom="page">
                  <wp:posOffset>565150</wp:posOffset>
                </wp:positionV>
                <wp:extent cx="0" cy="85090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0900"/>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7.25pt,44.5pt" to="227.25pt,111.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4857750</wp:posOffset>
                </wp:positionH>
                <wp:positionV relativeFrom="page">
                  <wp:posOffset>565150</wp:posOffset>
                </wp:positionV>
                <wp:extent cx="0" cy="8509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0900"/>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2.5pt,44.5pt" to="382.5pt,111.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6848475</wp:posOffset>
                </wp:positionH>
                <wp:positionV relativeFrom="page">
                  <wp:posOffset>565150</wp:posOffset>
                </wp:positionV>
                <wp:extent cx="0" cy="8509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0900"/>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25pt,44.5pt" to="539.25pt,111.5pt" o:allowincell="f" strokecolor="#000000" strokeweight="0pt">
                <w10:wrap anchorx="page" anchory="page"/>
              </v:line>
            </w:pict>
          </mc:Fallback>
        </mc:AlternateContent>
      </w:r>
    </w:p>
    <w:p>
      <w:pPr>
        <w:jc w:val="both"/>
        <w:ind w:left="720" w:hanging="370"/>
        <w:spacing w:after="0" w:line="262" w:lineRule="auto"/>
        <w:tabs>
          <w:tab w:leader="none" w:pos="72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 acquired hypothalamic obesity in the United States, our internal Company estimates are based on reported incidence of hypothalamic obesity following craniopharyngioma and long-term survival rates, (Zacharia, et al., Neuro-Oncology 14(8):1070–1078, 2012. doi:10.1093/neuonc/nos142; and Muller, et al., Neuro-Oncology 17(7), 1029–1038, 2015 doi:10.1093/neuonc/nov044.)</w:t>
      </w:r>
    </w:p>
    <w:p>
      <w:pPr>
        <w:spacing w:after="0" w:line="195"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59" w:lineRule="auto"/>
        <w:tabs>
          <w:tab w:leader="none" w:pos="72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European prevalence estimate for acquired hypothalamic obesity is limited to the EU4 (Germany, France, Spain, Italy), UK and the Netherlands. The total 2020 population estimates for the six key countries (EU4, the Netherlands, and UK) of 339,295,304 was used to reach a final prevalence of 0.1-0.3 in 10,000 patients. In addition, we estimate the prevalence of acquired hypothalamic obesity in Japan to be approximately 5,000 to 8,000 based on our review of tumor registries and claims data.</w:t>
      </w:r>
    </w:p>
    <w:p>
      <w:pPr>
        <w:spacing w:after="0" w:line="199"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59" w:lineRule="auto"/>
        <w:tabs>
          <w:tab w:leader="none" w:pos="72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Epidemiology of congenital hypothalamic obesity is expected to be comparable between the United States and EU4 (Germany, France, Spain, Italy), United Kingdom and the Netherlands combined in the absence of specific regional data. Our internal Company estimate is driven mainly by septo-optic dysplasia (Garne, et al., European Journal of Medical Genetics 61(9):483–488, 2018. doi: 10.1016/j.ejmg.2018.05.010; and Cerbone, et al., EClinicalMedicine 19, 2020. doi: 10.1016/j.eclinm.2019.11.017.)</w:t>
      </w:r>
    </w:p>
    <w:p>
      <w:pPr>
        <w:spacing w:after="0" w:line="199" w:lineRule="exact"/>
        <w:rPr>
          <w:rFonts w:ascii="Times New Roman" w:cs="Times New Roman" w:eastAsia="Times New Roman" w:hAnsi="Times New Roman"/>
          <w:sz w:val="20"/>
          <w:szCs w:val="20"/>
          <w:b w:val="1"/>
          <w:bCs w:val="1"/>
          <w:i w:val="1"/>
          <w:iCs w:val="1"/>
          <w:color w:val="auto"/>
        </w:rPr>
      </w:pPr>
    </w:p>
    <w:p>
      <w:pPr>
        <w:jc w:val="both"/>
        <w:ind w:left="720" w:hanging="370"/>
        <w:spacing w:after="0" w:line="252" w:lineRule="auto"/>
        <w:tabs>
          <w:tab w:leader="none" w:pos="72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 patients with genetic variants of the MC4R pathway, the rarity and the genetic pathophysiology of our target indications means that there is no comprehensive patient registry or other method of establishing with precision the actual number of patients. As a result, we have had to rely on other available sources to derive clinical prevalence estimates for these monogenic indications. For the four rare MC4R pathway diseases we are studying on the Phase 3 EMANATE trial (POMC insufficiency, LEPR insufficiency, SRC1 deficiency and SH2B1 deficiency), we believe that the patient populations in continental Europe and UK are at least as large as those in the United States. While our sequencing data include patients from the United States and Europe, we do not have comparable sequencing data from European countries and these estimates are therefore based on applying relative population percentages to the Rhythm-derived estimates described above. Because the published epidemiology studies for these genetic deficiencies are based on relatively small population samples, and are not amenable to robust statistical analyses, it is possible that these projections may significantly under- or overestimate the addressable population. While our projected estimates of the aggregate total addressable population continue to expand with the addition of new genes, the addressable population faces the challenges of a rare disease population. As announced on December 6, 2023, during our ‘Update on MC4R Pathway Programs’ event for investors and analysts. U.S. prevalence estimates based on results from our URO genetic testing program with samples from more than 36,000 participants, classification of variants for pathogenic, likely pathogenic and 20% of VUS and applied to established estimate of approximately 5 million people in the United States with early-onset obesity; 1. van der Klaauw et al. Cell. 2019;176:729-742.e18. 2. Marenne et al. Cell Metab. 2020;31:1107-1119.e12. 3. Bamshad et al. Am J Hum Genet.1999;64:1550-1562. 4. Ackinci et al. J Clin Res Pediatr Endocrinol. 2019;11:341-349..i. Driscoll DJ, Miller JL, Cassidy SB. Prader-Willi Syndrome. In: Adam MP, Bick S, Mirzaa GM, et al, eds. GeneReviews®. 1998:1-41. Updated December 5, 2024. Accessed December 10, 2025. https://www.ncbi.nlm.nih.gov/books/NBK1330/</w:t>
      </w:r>
    </w:p>
    <w:p>
      <w:pPr>
        <w:spacing w:after="0" w:line="21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Separately, there is a higher per-capita prevalence rate for hypothalamic obesity in Japan. We estimate the prevalence of acquired hypothalamic obesity in Japan to be approximately 5,000 to 8,000 based on our review of the literature, tumor registries and claims data. (https://doi.org/10.1038/s41572-022-00351- z).</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Current Therapies</w:t>
      </w:r>
    </w:p>
    <w:p>
      <w:pPr>
        <w:spacing w:after="0" w:line="25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Although drugs approved for general obesity potentially can be used in patients with obesity and rare MC4R pathway diseases, all currently available obesity products have limited efficacy and treat symptoms without addressing the underlying biology of MC4R impairment. For example, drugs which delay gastric emptying may cause a patient to feel full and eat less, but are also often associated with nausea and vomiting as a consequence of the delayed emptying. In the case of individuals with rare MC4R pathway diseases, these therapies also do not address the impaired signaling in this central</w:t>
      </w:r>
    </w:p>
    <w:p>
      <w:pPr>
        <w:sectPr>
          <w:pgSz w:w="12240" w:h="15840" w:orient="portrait"/>
          <w:cols w:equalWidth="0" w:num="1">
            <w:col w:w="9900"/>
          </w:cols>
          <w:pgMar w:left="1180" w:top="87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870" w:right="1160" w:bottom="0" w:gutter="0" w:footer="0" w:header="0"/>
          <w:type w:val="continuous"/>
        </w:sectPr>
      </w:pPr>
    </w:p>
    <w:bookmarkStart w:id="24" w:name="page25"/>
    <w:bookmarkEnd w:id="2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energy regulating pathway. Similarly, metabolic and bariatric surgery which has been shown to be quite effective in the general population with obesity, may be unsuccessful in patients with rare MC4R pathway diseases for the same reason.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MC4R Pathway Program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IMCIVREE (setmelanotide)</w:t>
      </w:r>
    </w:p>
    <w:p>
      <w:pPr>
        <w:spacing w:after="0" w:line="2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IMCIVREE is approved by the FDA to reduce excess body weight and maintain weight reduction long term in adult and pediatric patients aged 2 years and older with syndromic or monogenic obesity due to BBS, or POMC, PCSK1, or LEPR deficiency as determined by an FDA-approved test demonstrating variants in POMC, PCSK1, or LEPR genes that are interpreted as pathogenic, likely pathogenic, or VUS. The EC and United Kingdom’s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IMCIVREE also was approved by Health Canada, where it is indicated in adults and pediatric patients 6 years of age and older with impairments in the MC4R pathway due to genetic diseases, for the treatment of obesity and control of hunger in BBS or biallelic POMC, PCSK1, or LEPR deficiency.</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IMCIVREE is the only therapeutic specifically approved for patients with these diseases. As an MC4R agonist, IMCIVREE is designed to address impaired MC4R pathway activity arising due to genetic impairments upstream of the MC4R. IMCIVREE contains setmelanotide acetate, an MC4R agonist. Setmelanotide is an 8 amino acid cyclic peptide analog of endogenous melanocortin peptide α-MSH. The chemical name for setmelanotide acetate is acetyl-L-arginyl-L-cysteinyl-D-alanyl-L-histidinyl-D-phenylalanyl-L-arginyl-L-tryptophanyl-L-cysteinamide cyclic (2→8)-disulfide acetate. Its molecular formula is C49H68N18O9S2 (anhydrous, free-base), and molecular mass is 1117.3 Daltons (anhydrous, free-base).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chemical structure of setmelanotide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198120</wp:posOffset>
            </wp:positionV>
            <wp:extent cx="6286500" cy="2447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extLst>
                    </a:blip>
                    <a:srcRect/>
                    <a:stretch>
                      <a:fillRect/>
                    </a:stretch>
                  </pic:blipFill>
                  <pic:spPr bwMode="auto">
                    <a:xfrm>
                      <a:off x="0" y="0"/>
                      <a:ext cx="6286500" cy="244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IMCIVREE injection is a sterile, clear to slightly opalescent, colorless to slightly yellow solution. Each 1 mL of IMCIVREE contains 10 mg of setmelanotide provided as setmelanotide acetate, which is a salt with 2 to 4 molar equivalents of acetate, and the following inactive ingredients: 100 mg N-(carbonyl-methoxypolyethylene glycol 2000)-1,2-distearoyl- glycero-3- phosphoethanolamine sodium salt, 8 mg carboxymethylcellulose sodium (average MWt 90,500), 11 mg mannitol, 5 mg phenol, 10 mg benzyl alcohol, 1 mg edetate disodium dihydrate, and Water for Injection. The pH of IMCIVREE is 5 to 6.</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Obesity due to POMC, PCSK1 or LEPR deficiency are ultra-rare diseases caused by variants in POMC, PCSK1 or LEPR genes that impair the MC4R pathway. People living with obesity due to POMC, PCSK1 or LEPR deficiency struggle with hyperphagia, an extreme, insatiable hunger, beginning at a young age and resulting in early-onset, severe obesity. Bardet-Biedl syndrome</w:t>
      </w:r>
    </w:p>
    <w:p>
      <w:pPr>
        <w:spacing w:after="0" w:line="20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Bardet-Biedl syndrome (BBS) is a life-threatening, ultra-rare orphan disease. BBS is a disease that causes hyperphagia and severe obesity beginning in early childhood, as well as vision loss, polydactyly, kidney abnormalities, and</w:t>
      </w:r>
    </w:p>
    <w:p>
      <w:pPr>
        <w:sectPr>
          <w:pgSz w:w="12240" w:h="15840" w:orient="portrait"/>
          <w:cols w:equalWidth="0" w:num="1">
            <w:col w:w="9900"/>
          </w:cols>
          <w:pgMar w:left="1180" w:top="838" w:right="1160" w:bottom="0" w:gutter="0" w:footer="0" w:header="0"/>
        </w:sect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838" w:right="1160" w:bottom="0" w:gutter="0" w:footer="0" w:header="0"/>
          <w:type w:val="continuous"/>
        </w:sectPr>
      </w:pPr>
    </w:p>
    <w:bookmarkStart w:id="25" w:name="page26"/>
    <w:bookmarkEnd w:id="25"/>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other signs and symptoms. For patients with BBS, hyperphagia and obesity can have significant health consequences. BBS is part of a class of disorders called ciliopathies, or disorders associated with the impairment of cilia function in cells. Cilia are hair-like cellular projections that play a fundamental role in the regulation of several biological processes, including satiety signaling. Cilia dysfunction in the hypothalamus, including in the MC4R pathway, is thought to contribute to hyperphagia and obesity in BBS. BBS is a genetically heterogeneous disease that has been associated with mutations in 29 genes, to date. All result in a similar syndrome of clinical manifestations. Recent scientific studies identify deficiencies affecting the MC4R pathway as a potential cause of the hyperphagia and obesity associated with BBS, and demonstrate that an MC4R agonist can directly impact these symptoms.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Pivotal Phase 3 Clinical Trial Evaluating Setmelanotide in BBS</w:t>
      </w:r>
    </w:p>
    <w:p>
      <w:pPr>
        <w:spacing w:after="0" w:line="25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Approvals and marketing authorizations for BBS in the United States, the EU, the United Kingdom, and Canada were based on data from our pivotal Phase 3 clinical trial of setmelanotide in patients with BBS. As we first reported in December 2020, the trial met its primary endpoint and all key secondary endpoints, with statistically significant and clinically meaningful reductions in weight and hunger at 52 weeks on therapy.</w:t>
      </w:r>
    </w:p>
    <w:p>
      <w:pPr>
        <w:spacing w:after="0" w:line="20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pivotal data that formed the basis for IMCIVREE’s approvals in BBS were published in the peer-reviewed journal The Lancet Diabetes and Endocrinology in November 2022. As previously disclosed, treatment with setmelanotide resulted in significant weight and hunger reductions after one year of treatment among patients with BBS. The primary endpoint was achieved by 32.3% (95% confidence interval (CI), 16.7%, 51.4%; p=0.0006) of patients ≥12 years old, all of whom were patients with BBS. Data highlights in patients with BBS (n=32) after 52 weeks of setmelanotide include:</w:t>
      </w:r>
    </w:p>
    <w:p>
      <w:pPr>
        <w:spacing w:after="0" w:line="204" w:lineRule="exact"/>
        <w:rPr>
          <w:sz w:val="20"/>
          <w:szCs w:val="20"/>
          <w:color w:val="auto"/>
        </w:rPr>
      </w:pPr>
    </w:p>
    <w:p>
      <w:pPr>
        <w:ind w:left="720" w:right="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Fifteen (15) patients ≥18 years achieved a mean (SD) percent reduction in BMI of -9.1% (6.8%; 95% CI, −13.4%, −4.8%);</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Fourteen (14) patients &lt;18 years achieved a mean (SD) change in BMI Z score of −0.8 (0.5; 95% CI, −1.0, −0.5), and 12 patients (85.7%) achieved ≥0.2-point reduction in BMI Z;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Fourteen (14) patients ≥12 years who reported hunger scores achieved reduction of -30.5% in maximal hunger score.</w:t>
      </w:r>
    </w:p>
    <w:p>
      <w:pPr>
        <w:spacing w:after="0" w:line="18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safety results observed in this study were consistent with that observed with setmelanotide in previous clinical trials in patients with other rare MC4R pathway diseases. Skin hyperpigmentation (n=23; 60.5%) was the most common adverse event (AE). Two patients experienced serious AEs, neither of which was considered related to setmelanotide treatment.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Pivotal Phase 3 Clinical Trials Evaluating Setmelanotide in Biallelic POMC and LEPR Deficiency Obesities</w:t>
      </w:r>
    </w:p>
    <w:p>
      <w:pPr>
        <w:spacing w:after="0" w:line="25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assessed the safety and efficacy of IMCIVREE in two pivotal trials that were identically designed: one-year, open-label studies, each with an eight-week, double-blind withdrawal period. The studies enrolled patients with homozygous or presumed compound heterozygous pathogenic, likely pathogenic variants, or VUS, for either the POMC, PCSK1 or LEPR gene. In both studies, adult patients had a body mass index (BMI) of ≥30 kg/m2. Weight in pediatric patients was ≥95th percentile using growth chart assessments.</w:t>
      </w:r>
    </w:p>
    <w:p>
      <w:pPr>
        <w:spacing w:after="0" w:line="204"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Efficacy analyses were conducted in 21 patients who had completed at least one year of treatment at the time of a pre-specified data cutoff. Of the 21 patients included in the efficacy analysis in both pivotal studies, 62% were adults and 38% were aged 16 years or younger. In Study 1, 50% of patients were female, 70% were White, and the median baseline BMI was 40.0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(range: 26.6-53.3). In Study 2, 73% of patients were female, 91% were White, and the median baseline BMI was 46.6 kg/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(range: 35.8-64.6).</w:t>
      </w:r>
    </w:p>
    <w:p>
      <w:pPr>
        <w:spacing w:after="0" w:line="12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the POMC/PCSK1 study, 80% of patients with obesity due to POMC or PCSK1 deficiency met the primary endpoint, achieving a ≥10% weight loss after one year of treatment with IMCIVREE. In the LEPR study, 46% of patients with obesity due to LEPR deficiency met the primary endpoint by achieving a ≥10% weight loss after 1 year of treatment with IMCIVREE.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3 Trial Results in Patients Between 2 Years Old and Younger than 6</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838" w:right="1160" w:bottom="0" w:gutter="0" w:footer="0" w:header="0"/>
          <w:type w:val="continuous"/>
        </w:sectPr>
      </w:pPr>
    </w:p>
    <w:bookmarkStart w:id="26" w:name="page27"/>
    <w:bookmarkEnd w:id="26"/>
    <w:p>
      <w:pPr>
        <w:jc w:val="both"/>
        <w:ind w:right="20" w:firstLine="776"/>
        <w:spacing w:after="0" w:line="255" w:lineRule="auto"/>
        <w:rPr>
          <w:sz w:val="20"/>
          <w:szCs w:val="20"/>
          <w:color w:val="auto"/>
        </w:rPr>
      </w:pPr>
      <w:r>
        <w:rPr>
          <w:rFonts w:ascii="Times New Roman" w:cs="Times New Roman" w:eastAsia="Times New Roman" w:hAnsi="Times New Roman"/>
          <w:sz w:val="20"/>
          <w:szCs w:val="20"/>
          <w:color w:val="auto"/>
        </w:rPr>
        <w:t>The hyperphagia and severe obesity of rare, genetically-caused MC4R pathway diseases can present early in life. Therefore, we believe access to treatment earlier in life will lead to better outcomes for children. In 2023, we completed our 52-week, Phase 3 pediatrics trial and demonstrated that setmelanotide met the primary endpoint and achieved clinically meaningful weight reduction in patients within this age range. This trial was a multi-center, one-year, open-label trial in pediatric patients with obesity due to biallelic POMC, PCSK1 or LEPR deficiency or a clinical diagnosis of BBS with genetic confirmation. The primary efficacy endpoint was a responder analysis, based on the proportion of patients who experience a decrease from baseline in BMI-Z score of ≥0.2.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data were published in the peer-reviewed journal The Lancet Diabetes &amp; Endocrinology in November 2024:</w:t>
      </w:r>
    </w:p>
    <w:p>
      <w:pPr>
        <w:spacing w:after="0" w:line="250"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83 percent of all patients (10 of 12) achieved ≥ 0.2 reduction in BMI-Z score from baseline to week 52;</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percent mean reduction from baseline in BMI at week 52 (N=12);</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3.04 mean reduction from baseline in BMI-Z score at week 52 (N=12);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profile was consistent with past trials evaluating setmelanotide.</w:t>
      </w:r>
    </w:p>
    <w:p>
      <w:pPr>
        <w:spacing w:after="0" w:line="25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Based on these data, IMCIVREE received authorization as the first-ever precision medicine in the EU for control of hunger and treatment of obesity in adults and children as young as 2 years old, living with BBS or POMC, PCSK1, or LEPR deficiency on July 31, 2024. The UK’s MHRA also expanded marketing authorization for IMCIVREE to include patients as young as 2 years with BBS or POMC, PCSK1 or LEPR deficiency on December 3, 2024. In addition, on December 20, 2024, the FDA also approved an expanded indication for IMCIVREE to include children as young as 2 years old.</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Development of Setmelanotide for Additional Indications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Hypothalamic Obesity</w:t>
      </w:r>
    </w:p>
    <w:p>
      <w:pPr>
        <w:spacing w:after="0" w:line="25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Acquired hypothalamic obesity is a rare disease characterized by accelerated and sustained weight gain caused by injury to the hypothalamic region which may impair MC4R pathway signaling leading to hyperphagia, decreased energy expenditure, and severe obesity. There is an urgent need for effective treatments, as current approaches - including lifestyle interventions and general obesity pharmacotherapy - have shown limited long-term effectiveness.</w:t>
      </w:r>
    </w:p>
    <w:p>
      <w:pPr>
        <w:spacing w:after="0" w:line="20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Acquired hypothalamic obesity occurs most frequently after hypothalamic damage resulting from craniopharyngioma or other intracranial tumor, traumatic brain injury, stroke, or surgical resection or radiation of brain tumors. Based on results from Phase 2 and Phase 3 trials evaluating setmelanotide to treat patients with acquired hypothalamic obesity and interactions with regulatory agencies in the United States, Europe and Japan, we anticipate receiving regulatory decisions regarding potential approval and marketing authorization for acquired hypothalamic obesity in 2026 and 2027.</w:t>
      </w:r>
    </w:p>
    <w:p>
      <w:pPr>
        <w:spacing w:after="0" w:line="20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Lesions of the hypothalamus can derive from various types of tumors (e.g., craniopharyngiomas, gliomas, pituitary adenomas, hamartomas) or may be caused by surgeries and/or radiotherapies for the treatment of these same tumor types. These hypothalamic lesions, whether caused by the tumor itself and/or the treatment of the tumor, can disrupt the MC4R pathway. Moreover, patients with acquired hypothalamic obesity display a high degree of hyperleptinemia and hyperinsulinemia. Alpha-melanocortin stimulating hormone (α-MSH) can be detectable in blood, and its levels can change depending on different energy states; however, in patients with craniopharyngioma or post-surgical treatment for it, α-MSH levels are significantly reduced. Reduced serum α-MSH levels may suggest melanocortin pathway deficiency, which might explain obesity in these patients.</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2025, the Phase 3 TRANSCEND trial evaluating setmelanotide for the treatment of acquired hypothalamic obesity met its primary endpoint with statistically significant and highly clinically meaningful results. This global, double-blinded, placebo-controlled, 52-week trial enrolled a primary cohort of 120 patients, an additional 11 supplemental patients and a further 12 patients in Japan and is believed to be the largest and longest study of its kind for this rare disease. Key results included:</w:t>
      </w:r>
    </w:p>
    <w:p>
      <w:pPr>
        <w:spacing w:after="0" w:line="204" w:lineRule="exact"/>
        <w:rPr>
          <w:sz w:val="20"/>
          <w:szCs w:val="20"/>
          <w:color w:val="auto"/>
        </w:rPr>
      </w:pPr>
    </w:p>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on setmelanotide achieved a mean BMI reduction of 16.5% from baseline, compared to a 3.3% increase for placebo, resulting in a placebo-adjusted difference of 19.8% (p&lt;0.0001);</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838" w:right="1160" w:bottom="0" w:gutter="0" w:footer="0" w:header="0"/>
          <w:type w:val="continuous"/>
        </w:sectPr>
      </w:pPr>
    </w:p>
    <w:bookmarkStart w:id="27" w:name="page28"/>
    <w:bookmarkEnd w:id="27"/>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adults (≥18 years), the placebo-adjusted BMI reduction was 19.2%; in patients younger than 18, it was 20.2%;</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 of patients on setmelanotide achieved a BMI reduction of 5% or greater at 52 weeks;</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Eighty-three percent of patients achieved a 5% or greater reduction in BMI (≥18 years) or a BMI Z-score reduction of 0.2 or greater (&lt;18 years);</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12 years and older experienced a placebo-adjusted mean change in weekly average daily maximal hunger score of -1.4 (p=0.003); and</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new safety signals were observed; Setmelanotide was generally well tolerated, with the most common adverse events (&gt;20% of participants) being nausea, vomiting, diarrhea, injection site reaction, skin hyperpigmentation, and headache.</w:t>
      </w:r>
    </w:p>
    <w:p>
      <w:pPr>
        <w:spacing w:after="0" w:line="195" w:lineRule="exact"/>
        <w:rPr>
          <w:sz w:val="20"/>
          <w:szCs w:val="20"/>
          <w:color w:val="auto"/>
        </w:rPr>
      </w:pPr>
    </w:p>
    <w:p>
      <w:pPr>
        <w:ind w:right="200" w:firstLine="720"/>
        <w:spacing w:after="0" w:line="237" w:lineRule="auto"/>
        <w:rPr>
          <w:sz w:val="20"/>
          <w:szCs w:val="20"/>
          <w:color w:val="auto"/>
        </w:rPr>
      </w:pPr>
      <w:r>
        <w:rPr>
          <w:rFonts w:ascii="Times New Roman" w:cs="Times New Roman" w:eastAsia="Times New Roman" w:hAnsi="Times New Roman"/>
          <w:sz w:val="20"/>
          <w:szCs w:val="20"/>
          <w:color w:val="auto"/>
        </w:rPr>
        <w:t>Our regulatory submissions seeking label expansion for IMCIVREE to treat patients in acquired hypothalamic obesity in the United States and Europe currently are under review. The FDA has assigned a Prescription Drug User Fee Act (PDUFA) goal date of March 20, 2026, an extension from the original assigned goal date of December 20, 2025. The FDA in October 2025 requested additional sensitivity analyses of clinical efficacy data from the Phase 3 pivotal trial in acquired hypothalamic obesity. No new data were requested. The additional information was deemed a ‘major amendment,’ which allows for additional time for the FDA to review. The major amendment did not include any information relating to the safety or manufacturing of setmelanotide. The EMA confirmed validation of our Type II variation submission to the Marketing Authorization Application (MAA) for setmelanotide for the same indication. The application review began on August 16, 2025, by the Committee for Medicinal Products for Human Use (CHMP), which will issue an opinion to the European Commission (EC) regarding potential approval.</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addition to the United States and Europe, we plan to seek marketing authorization in Japan for setmelanotide to treat patients with acquired hypothalamic obesity given the significant unmet need there. Our review of certain tumor registries and claims data in Japan point to a higher per-capita prevalence and incidence rate of this disease than in Europe and the United States. We estimate there are approximately 5,000 to 8,000 patients in Japan with acquired hypothalamic obesity. In January 2025, we announced that we completed enrollment in a supplemental cohort of 12 Japanese patients, which we added to our global Phase 3 trial in acquired hypothalamic obesity. We expect to read out topline results for these data from this Japanese cohort in March 2026. We plan to use efficacy and pharmacokinetic (PK) data from this cohort as part of our registration package seeking approval from Japan’s Pharmaceuticals and Medical Devices Agency (PMDA). We aligned on this approach based on previous discussions with PMDA. In March 2025, we received orphan drug designation from Japan’s Ministry of Health, Labor and Welfare (MHLW) for setmelanotide as a treatment for acquired hypothalamic obesity.</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pivotal Phase 3 trial followed positive efficacy results from our 18-patient, 16-week Phase 2 trial, as well as data demonstrating durable and deepening weight loss in patients who transitioned from the Phase 2 trial to our open-label, long-term extension trial. The primary endpoint was the proportion of patients who achieved a 5% or greater reduction in BMI after 16 weeks of treatment. Hunger was also assessed daily, as self-reported by individual patients. These data were published in the peer-reviewed journal The Lancet Diabetes &amp; Endocrinology in April 2024. In this trial, we observed a consistent reduction in body weight and hunger in all adherent patients. Results demonstrated:</w:t>
      </w:r>
    </w:p>
    <w:p>
      <w:pPr>
        <w:spacing w:after="0" w:line="208"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89% (16 of 18) of patients achieved the primary endpoint;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 (14 of 18) of patients achieved a 10% or greater reduction in BMI at 16 weeks;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 percent reduction in BMI was 15% from baseline;</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pediatric patients (n=13), the mean (standard deviation (SD)) BMI Z score at Week 16 was 2.7 (1.3), a reduction of 1.3 (1.0) points from baseline;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 (SD) most hunger score at baseline was 6.6 (1.6), compared with 3.7 (2.5) at Week 16, for a reduction of – 2.9 (2.3) points or 45% for patients ≥12 years of age (n=11).</w:t>
      </w:r>
    </w:p>
    <w:p>
      <w:pPr>
        <w:spacing w:after="0" w:line="18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publication also included preliminary data from our long-term extension of the Phase 2 study . These data show patients with hypothalamic obesity (n=12) achieved mean BMI reduction of approximately 26% at one year on setmelanotide treatment. Consistent with prior experience, setmelanotide was generally well tolerated. The most common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838" w:right="1160" w:bottom="0" w:gutter="0" w:footer="0" w:header="0"/>
          <w:type w:val="continuous"/>
        </w:sectPr>
      </w:pPr>
    </w:p>
    <w:bookmarkStart w:id="28" w:name="page29"/>
    <w:bookmarkEnd w:id="2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adverse events (AEs) in the primary trial included nausea (61.1%), vomiting (33.3%), skin hyperpigmentation (33.3%), diarrhea (22.2%), and COVID-19 (22.2%). Two patients discontinued due to AEs and a third patient was non-compliant. No new safety concerns were observed during the long-term extension trial.</w:t>
      </w:r>
    </w:p>
    <w:p>
      <w:pPr>
        <w:spacing w:after="0" w:line="195"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Based on the efficacy data from the Phase 2 trial, setmelanotide was granted pre-marketing early-access authorization (AP1) for use in patients with hypothalamic obesity in France in 2023, a program which has provided real-world evidence supporting the potential efficacy of setmelanotide in this patient population. This approval was issued by the French National Agency for Medicines and Health Products Safety (ANSM) and the French National Authority for Health (HAS) under the AP1 program, which allows early access to innovative therapies prior to European regulatory approval when no alternative treatments exist, and a positive benefit-risk profile is recognized. In May 2025, physicians from Sorbonne University in Paris presented data from patients in the early-access programs in France at the first-ever Joint Congress between the European Society for Paediatric Endocrinology and the European Society of Endocrinology (ESPE-ESE). These presentations detailed real-world data from 30 patients with acquired hypothalamic obesity (10 patients younger than 18; 20 patients 18 or older) on setmelanotide therapy for up to nine months at 14 different treatment centers in France.</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Of the 20 adult patients with acquired hypothalamic obesity treated with setmelanotide therapy in France:</w:t>
      </w:r>
    </w:p>
    <w:p>
      <w:pPr>
        <w:spacing w:after="0" w:line="250"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Across all patients, there was an overall -11.9% mean change in body mass index (BMI) from baseline at month 3;</w:t>
      </w:r>
    </w:p>
    <w:p>
      <w:pPr>
        <w:spacing w:after="0" w:line="26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(n=10) who reached month 6 on therapy achieved -19.2% mean change in BMI;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 (n=8) who reached month 9 on therapy achieved -23.0% mean change in BMI; and</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Adult patients reported meaningful decreases in hunger scores after 3 and 6 months of treatment with setmelanotide.</w:t>
      </w:r>
    </w:p>
    <w:p>
      <w:pPr>
        <w:spacing w:after="0" w:line="18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For pediatric patients with acquired hypothalamic obesity treated with setmelanotide, BMI z-score (a measure that represents standard deviations of a child’s BMI that corrects for age and sex) decreased from baseline at all timepoints analyzed. A clinically meaningful reduction in BMI z-score is defined as a ≥0.2-point reduction. Data from these pediatric patients include:</w:t>
      </w:r>
    </w:p>
    <w:p>
      <w:pPr>
        <w:spacing w:after="0" w:line="203" w:lineRule="exact"/>
        <w:rPr>
          <w:sz w:val="20"/>
          <w:szCs w:val="20"/>
          <w:color w:val="auto"/>
        </w:rPr>
      </w:pPr>
    </w:p>
    <w:p>
      <w:pPr>
        <w:ind w:left="72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(n=10) pediatric patients who reached month 3 on therapy achieved a mean BMI z-score decrease of 0.3 from baseline;</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 (n=7) pediatric patients who reached month 6 on therapy achieved a mean BMI z-score decrease of 0.4 decrease from baseline;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(n=2) pediatric patients who reached month 9 on therapy achieved a mean BMI z-score decrease of 0.4 from baseline.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Congenital hypothalamic obesity</w:t>
      </w:r>
    </w:p>
    <w:p>
      <w:pPr>
        <w:spacing w:after="0" w:line="25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Congenital hypothalamic obesity is a rare disease caused by certain brain abnormalities that may impair the function of the MC4R pathway, which regulates satiety or food intake and energy expenditure. It is a severe, refractory obesity that is underdiagnosed and not widely understood with high unmet need as there are no approved treatment options. It is often associated with pituitary and hypothalamic dysfunction. Unlike acquired hypothalamic obesity – which is known to be caused by certain brain tumors and their treatment – there is little recognition and/or understanding of congenital hypothalamic obesity and its different causes, as the connection between the severe obesity and MC4R pathway in the hypothalamus may not be evident.</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An impairment in the MC4R pathway can lead to reduced energy expenditure and hyperphagia and, consequently, severe obesity. Rare diseases that may cause congenital hypothalamic obesity include septo-optic dysplasia (or de Morsier syndrome), optic nerve hypoplasia, multiple pituitary hormone deficiency (also known as combined pituitary hormone deficiency) and pituitary stalk interruption syndrome. Each of these diseases is considered rare and between 12% and 40% of patients with these diseases may have congenital hypothalamic obesity. We estimate the prevalence of congenital hypothalamic obesity to be in excess of 1,000 patients in the United States and in excess of 1,000 patients in Europe.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838" w:right="1160" w:bottom="0" w:gutter="0" w:footer="0" w:header="0"/>
          <w:type w:val="continuous"/>
        </w:sectPr>
      </w:pPr>
    </w:p>
    <w:bookmarkStart w:id="29" w:name="page30"/>
    <w:bookmarkEnd w:id="29"/>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U.S. and European experts have highlighted an urgent, unmet medical need for therapeutic options for patients with congenital hypothalamic obesity, as none are approved for this heterogenous patient population. At French hospitals that are participating in the early-access program mentioned above, physicians have initiated setmelanotide therapy to treat several patients with congenital hypothalamic obesity. In May 2025 at the 32nd annual European Congress on Obesity (ECO), French physicians shared data from five patients with congenital hypothalamic obesity, including four patients who reached six months on setmelanotide therapy, as part of a broader presentation on hypothalamic obesity. Highlights included:</w:t>
      </w:r>
    </w:p>
    <w:p>
      <w:pPr>
        <w:spacing w:after="0" w:line="210" w:lineRule="exact"/>
        <w:rPr>
          <w:sz w:val="20"/>
          <w:szCs w:val="20"/>
          <w:color w:val="auto"/>
        </w:rPr>
      </w:pPr>
    </w:p>
    <w:p>
      <w:pPr>
        <w:ind w:left="720" w:right="2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(n=4) pediatric patients who reached month 3 on setmelanotide therapy achieved a mean BMI z-score decrease of -0.2 from baseline;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(n=3) pediatric patients who reached month 6 on setmelanotide therapy achieved a mean BMI z-score decrease of -0.4 from baseline;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adult patient with congenital hypothalamic obesity achieved a -14.8% BMI reduction baseline at month 6 of setmelanotide therapy.</w:t>
      </w:r>
    </w:p>
    <w:p>
      <w:pPr>
        <w:spacing w:after="0" w:line="18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It was based on early case reports from French hospitals participating in the early-access program that led us to add a 34-week substudy, which is designed to evaluate setmelanotide in approximately 39 patients with congenital hypothalamic obesity aged 4 years and older as a protocol amendment to our ongoing Phase 3 trial evaluating setmelanotide in patients with acquired hypothalamic obesity. We anticipate completing enrollment in this substudy in congenital hypothalamic obesity, which is independent from the pivotal Phase 3 trial cohort in acquired hypothalamic obesity, in the second half of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 of Setmelanotide as a Treatment for Prader-Willi Syndrome</w:t>
      </w:r>
    </w:p>
    <w:p>
      <w:pPr>
        <w:spacing w:after="0" w:line="25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December 2025, we disclosed positive preliminary results from our ongoing, exploratory Phase 2 trial of setmelanotide in patients with PWS. Based on these preliminary results, we are pursuing development of both setmelanotide and RM-718, one of our two next-generation MC4R agonists, for PWS, a rare genetic disease that results in a number of physical, mental and behavioral problems. Key features of PWS include an excess weight gain due to a combination of low resting energy expenditure and severe, constant hyperphagia with onset in early-mid childhood. There are currently no approved therapies that effectively reduce the extreme hyperphagia or address low resting energy expenditure experienced by patients with PWS, which, if not managed by stringent food restrictions and environmental controls, often results in life-threatening obesity. Approximately 20,000 people in the United States and approximately 400,000 people worldwide are estimated to be living with this disease.</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While the underlying etiology of hyperphagia and excess weight gain in PWS is multifactorial, there remains a logical biological justification for MC4R agonism in this patient population. The critical chromosomal region relevant for PWS contains genetic regions that may impact signaling within the MC4R pathway. Relevant mouse models recapitulate the hyperphagia phenotype seen in PWS (Polex-Wolf J et al 2018). Disruption of MAGEL2 expression, a gene within the PWS region, leads to defective leptin sensing in POMC neurons (Mercer et al. PLoS Genet. 2013;9:e1003207. 7. Pravdivyi et al. Hum Mol Genet. 2015;24:4276-4283). Interestingly, there was a potential efficacy signal in some patients with a MAGEL2 variant in our Phase 2 DAYBREAK trial (Ortiz et al 2024). Finally, patients with PWS may have a reduced response to leptin on POMC neurons and consequently reduced MC4R pathway activity (Miller 2020). Notably, deletions in this region have been shown to be associated with decreased expression of PCSK1, which encodes a key prohormone convertase enzyme in the MC4R pathway (https://pubmed.ncbi.nlm.nih.gov/27941249/). We believe setmelanotide, a potent MC4R agonist, has the potential to restore signaling and regulation of hunger, energy expenditure, and weight.</w:t>
      </w:r>
    </w:p>
    <w:p>
      <w:pPr>
        <w:spacing w:after="0" w:line="21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2016, we completed a Phase 2 trial that evaluated setmelanotide in patients (N=40) with PWS 16-65 years of age. The study had co-primary endpoints of weight and hyperphagia after 4 weeks of placebo or one of three arms on setmelanotide therapy (0.5mg, 1.5mg or 2.5mg). No statistically significant treatment differences were observed for the co-primary endpoints. The AEs reported in this study were consistent with those reported in other setmelanotide trials. The most common AEs reported thought to be related to setmelanotide were injection site reactions. We came to believe that this 2016 trial was too short, enrolled too few patients and used sub-optimal dosing levels of setmelanotide to be conclusive. Therefore, in early 2025, we initiated a new open-label, exploratory trial. We enrolled 18 patients with PWS aged 6-65 years old with a BMI ≥30 kg/m2 for patients ≥18 years of age or BMI ≥95th percentile for age and sex for patients younger than 18.</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838" w:right="1160" w:bottom="0" w:gutter="0" w:footer="0" w:header="0"/>
          <w:type w:val="continuous"/>
        </w:sectPr>
      </w:pPr>
    </w:p>
    <w:bookmarkStart w:id="30" w:name="page31"/>
    <w:bookmarkEnd w:id="30"/>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On December 11, 2025, we disclosed preliminary results that showed setmelanotide therapy demonstrated potential therapeutic benefit with BMI and hyperphagia reductions in patients with PWS at Month 3 (n=8) and Month 6 (n=5); Highlights from these preliminary results, as of a cut-off date of Nov. 14, include:</w:t>
      </w:r>
    </w:p>
    <w:p>
      <w:pPr>
        <w:spacing w:after="0" w:line="195"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 (6) of 8 patients who reached Month 3 of setmelanotide therapy achieved BMI reductions from baseline;</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of 5 patients who reached Month 6 of setmelanotide therapy achieved reductions in BMI, with two seeing deeper reductions versus Month 3 and one unchanged;</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 (6) of 7 evaluable patients who reached Month 3 of setmelanotide therapy achieved meaningful reduction in Hyperphagia Questionnaire for Clinical Trials1 (HQ-CT) scores; one patient’s baseline and Month 3 HQ-CT score was 0, therefore not evaluable; and</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and tolerability results have been consistent with setmelanotide’s well-established clinical profile.</w:t>
      </w:r>
    </w:p>
    <w:p>
      <w:pPr>
        <w:spacing w:after="0" w:line="25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52-week trial remains ongoing. Seventeen (17) of the 18 patients enrolled remain on active setmelanotide therapy. We anticipate announcing six-month results from 18 patients from the ongoing Phase 2 trial in the first half of 2026 and potentially advancing setmelanotide to a registrational trial for PWS. In addition, we have initiated a Part D arm in the Phase 1 trial of MC4R agonist RM-718 that will enroll up to 20 patients with PWS. We began screening patients with PWS for enrollment in December 2025, and we anticipate completing enrollment in the second half of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to Address Additional Genetically-caused MC4R Pathway Diseases</w:t>
      </w:r>
    </w:p>
    <w:p>
      <w:pPr>
        <w:spacing w:after="0" w:line="25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also are advancing a broad clinical development program evaluating setmelanotide, and we are leveraging the largest known DNA database focused on obesity—with approximately 120,000 sequencing samples as of December 2025 —to improve the understanding, diagnosis and care of people living with hyperphagia and severe obesity due to certain variants in genes associated with the MC4R pathway. There remains a significant unmet need with no effective therapeutic options for patients with these rare MC4R pathway diseases, and we believe setmelanotide has the potential to address the hyperphagia and severe obesity associated with these rare genetic diseases.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3 EMANATE Trial</w:t>
      </w:r>
    </w:p>
    <w:p>
      <w:pPr>
        <w:spacing w:after="0" w:line="25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ongoing pivotal Phase 3 EMANATE clinical trial is a randomized, double-blind, placebo-controlled trial, designed to evaluate setmelanotide therapy over a 52-week period in four independent substudies in patients with obesity due to: a heterozygous variant of the POMC/PCSK1 genes or LEPR gene and certain variants of the SRC1 gene or the SH2B1 gene. We anticipate reading out topline data from this trial in March 2026.</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POMC, PCSK1 and LEPR are core genes of the MC4R pathway. Heterozygous variants in POMC, PCSK1 and LEPR have been associated with clinical obesity that may be due to MC4R pathway dysfunction. Obesity due to rare variants in the SRC1 gene is an autosomal dominant disorder that is characterized by early-onset severe obesity and hyperphagia, as SRC1 variants found in individuals with severe obesity significantly impaired leptin-induced POMC expression (Yang et al 2019, Nat Comm. 10, Article 1718). Specifically, SRC1 is a transcriptional coactivator that has links to both the leptin receptor and to POMC. When the leptin receptor is activated, SRC1 is activated through a cascade of events that then drives the expression of POMC. Individuals who have heterozygous loss-of-function variants in their SRC1 genes can have insufficient leptin receptor activation of the MC4R pathway as a result of decreased POMC expression. This decreases the amount of available MSH to activate the MC4R, consequently resulting in hyperphagia and obesity in these individuals. Obesity due to variants in the SH2B1 gene is a rare genetic disease that is characterized by early-onset severe obesity, hyperphagia, hyperinsulinemia, and reduced final height. SH2B1 variants can arise through either DNA variants in the SH2B1 gene or through chromosomal deletions (chromosome 16) that encompass the SH2B1 gene. In both cases, dysfunction/loss of only one copy of the SH2B1 gene is sufficient to give rise to obesity and hyperphagia. The SH2B1 protein has been shown to have direct links to the MC4R-pathway. Specifically, SH2B1 is an adapter protein that amplifies the signal coming through the leptin receptor. In individuals who carry heterozygote loss of function mutations in SH2B1 or a chromosomal deletion that removes the SH2B1 from the chromosome, individuals may have insufficient leptin receptor activity activation of their MC4R pathway. This gives rise to a well-documented form of severe early-onset obesity and hyperphagia.</w:t>
      </w:r>
    </w:p>
    <w:p>
      <w:pPr>
        <w:spacing w:after="0" w:line="21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Based on enrollment and our understanding of the variant classification associated with each of these four genes, we consider the two most encouraging substudies to be POMC and/or PCSK1 (n=79) and SH2B1 (n=121).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838" w:right="1160" w:bottom="0" w:gutter="0" w:footer="0" w:header="0"/>
          <w:type w:val="continuous"/>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20"/>
          <w:szCs w:val="20"/>
          <w:color w:val="auto"/>
        </w:rPr>
        <w:t>epidemiology estimates for these two genetic indications suggest that approximately 29,000 U.S. patients with one of these genetic deficiencies have the potential to respond to setmelanotide. The epidemiology for the additional two genetic indications enrolled in this trial, SRC1 (n=73) and LEPR (n=23), suggest as many as 24,000 U.S. patients with one of these genetic deficiencies may have the potential to respond to setmelanotide. However, the vast majority of genetic variants of the SRC1 gene are classified as VUS and mostly benign; similarly, pathogenic or likely pathogenic variants of the LEPR gene are ultra-rare. The trial design with four independent substudies allows for independent data readouts and potential registration for each genetic cohort on its own. As the SRC1 and LEPR substudies are under-enrolled and therefore underpowered, it is likely that we would need to complete additional studies in order to seek regulatory approval for these genetic indications. We believe the SH2B1 and POMC/PCSK1 substudies are sufficiently enrolled and powered to seek registration, pending success. The primary endpoint for each substudy is the difference in mean percent change in BMI from baseline to 52 weeks in setmelanotide arm compared to placebo arm. We anticipate reporting topline data in the first quarter of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Proof of Concept Achieved in Exploratory Phase 2 Basket Study</w:t>
      </w:r>
    </w:p>
    <w:p>
      <w:pPr>
        <w:spacing w:after="0" w:line="25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January 2021, we announced proof-of-concept data from our exploratory Phase 2 Basket Study in multiple patient cohorts of patients with severe obesity due to a variant in one of the two alleles in the POMC, PCSK1, or LEPR genes (PPL HET obesity), as well as the SRC1 and SH2B1 genes. We subsequently furnished updated data in multiple presentations at medical meetings throughout 2021. The exploratory Phase 2 Basket Study was an open label study designed to evaluate setmelanotide in patients with obesity defined as BMI ≥ 30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for patients 16 years of age or older or BMI≥ 95th percentile for age and gender for patients between 6 and 16 years old. Patients were stratified by cohort according to their genetic variant. The primary endpoint of the study was the percent of patients in each subgroup showing at least a 5% loss of body weight over three months (such patients are referred to as clinical responders for this study).</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PPL HET Obesity (POMC, LEPR, PCSK1) highlights included:</w:t>
      </w:r>
    </w:p>
    <w:p>
      <w:pPr>
        <w:spacing w:after="0" w:line="250" w:lineRule="exact"/>
        <w:rPr>
          <w:sz w:val="20"/>
          <w:szCs w:val="20"/>
          <w:color w:val="auto"/>
        </w:rPr>
      </w:pPr>
    </w:p>
    <w:p>
      <w:pPr>
        <w:ind w:left="720" w:right="20" w:hanging="37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12 of 35 patients (34.3%) achieved the primary endpoint. This full analysis includes six patients who withdrew early;</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 reduction from baseline in body weight over three months across all 35 patients was -3.7%, which includes both clinical responders and non-responders;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Among the 12 patients who achieved the primary endpoint (responder group), the mean reduction from baseline in body weight over three months was -10.1%.</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our analyses, we are applying variant classification guidelines from the American College of Medical Genetics, or ACMG (as described in Richards, et al., 2015), to patient cohort stratification. Specific variants of the POMC, LEPR, PCSK1, SRC1 or SH2B1 gene may be classified based on published data as being pathogenic, likely pathogenic, likely benign or benign, or classified as a variant of unknown significance or VUS. As genetics of obesity remains an emerging field, the vast majority of variants in genes associated with the MC4R pathway are classified as VUS. Our hypothesis was that patients with genetic variants that indicate a higher degree of pathogenicity would be more likely to have impaired pathway signaling and therefore more likely to respond to setmelanotide.</w:t>
      </w:r>
    </w:p>
    <w:p>
      <w:pPr>
        <w:spacing w:after="0" w:line="210" w:lineRule="exact"/>
        <w:rPr>
          <w:sz w:val="20"/>
          <w:szCs w:val="20"/>
          <w:color w:val="auto"/>
        </w:rPr>
      </w:pPr>
    </w:p>
    <w:p>
      <w:pPr>
        <w:ind w:left="720" w:right="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with PPL HET obesity were stratified into three pre-specified cohorts by classification of their genetic variants according to ACMG guidelines;</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of eight patients (50.0%) with a pathogenic or likely pathogenic variant achieved greater than 5% weight loss over three months;</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of eight patients (50.0%) with the N221D variant of the PCSK1 gene achieved greater than 5% weight loss over three months; and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of 19 patients (21.1%) with a variant of unknown significance (VUS) achieved greater than 5% weight loss over three months.</w:t>
      </w:r>
    </w:p>
    <w:p>
      <w:pPr>
        <w:spacing w:after="0" w:line="181"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In September 2021, we presented updated interim data from the SRC1 and SH2B1 cohorts at the at the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Annual European Society for Paediatric Endocrinology (ESPE) Meeting. The data presented were based on an interim analysis of patients who completed 12 weeks of therapy. These presentations included analyses that showed setmelanotide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838" w:right="1160" w:bottom="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20"/>
          <w:szCs w:val="20"/>
          <w:color w:val="auto"/>
        </w:rPr>
        <w:t>achieved clinically meaningful weight loss or BMI Z reduction in 30% (9 of 30) of study participants with obesity due to variants of the SRC1 gene and clinically meaningful weight loss or BMI Z reduction in 43% (15 of 35) of study participants with obesity due to variants of the SH2B1 gene, including 16p11.2 chromosomal deletions.</w:t>
      </w:r>
    </w:p>
    <w:p>
      <w:pPr>
        <w:spacing w:after="0" w:line="195"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Specifically, in the SRC1 cohort, a total of 30 patients with obesity and deficiency in the SRC1 gene were enrolled in the full analysis set of this study. These patients had a mean BMI of 45.4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or BMI Z of 3.0 at baseline. Highlights of these data, as of a cut-off date of March 16, 2021, include:</w:t>
      </w:r>
    </w:p>
    <w:p>
      <w:pPr>
        <w:spacing w:after="0" w:line="220" w:lineRule="exact"/>
        <w:rPr>
          <w:sz w:val="20"/>
          <w:szCs w:val="20"/>
          <w:color w:val="auto"/>
        </w:rPr>
      </w:pPr>
    </w:p>
    <w:p>
      <w:pPr>
        <w:jc w:val="both"/>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Nine of 30 (or 30%) of patients achieved a clinically meaningful response to setmelanotide at three months, as defined by weight loss of 5% or greater from baseline, or for patients under 18 years old, a reduction of at least</w:t>
      </w:r>
    </w:p>
    <w:p>
      <w:pPr>
        <w:spacing w:after="0" w:line="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0.15 in BMI Z score:</w:t>
      </w:r>
    </w:p>
    <w:p>
      <w:pPr>
        <w:spacing w:after="0" w:line="22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adult patients 18 years or older, six of 20 (or 30%) achieved 5% or greater weight loss at three months;</w:t>
      </w:r>
    </w:p>
    <w:p>
      <w:pPr>
        <w:spacing w:after="0" w:line="25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younger than 18 years, three of 10 (or 30%) achieved a BMI Z reduction of 0.15% or more at three months.</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Across all enrolled patients, the mean overall weight loss from baseline to three months among patients 18 years and older (a sample of 20) was -4.0% (a standard deviation of 3.3%), and the mean overall BMI Z score reduction from baseline to three months among patients younger than 18 years (n=10) was -0.21 (a standard deviation of 0.23).</w:t>
      </w:r>
    </w:p>
    <w:p>
      <w:pPr>
        <w:spacing w:after="0" w:line="203"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In addition, these interim data showed a clear separation between patients who responded to setmelanotide treatment at three months and those who did not:</w:t>
      </w:r>
    </w:p>
    <w:p>
      <w:pPr>
        <w:spacing w:after="0" w:line="181" w:lineRule="exact"/>
        <w:rPr>
          <w:sz w:val="20"/>
          <w:szCs w:val="20"/>
          <w:color w:val="auto"/>
        </w:rPr>
      </w:pPr>
    </w:p>
    <w:p>
      <w:pPr>
        <w:jc w:val="both"/>
        <w:ind w:left="7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body weight reduction for adult patients who responded (n= 6) was 7.9% (90% confidence interval (CI), −9.7 to −6.0), as compared to 2.3% (90% CI, −3.2 to −1.4) for adult patients who did not respond (a sample of 14);</w:t>
      </w:r>
    </w:p>
    <w:p>
      <w:pPr>
        <w:spacing w:after="0" w:line="19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BMI Z reduction for patients younger than 18 years who responded (n= 3) was 0.48 (90% CI, −0.95 to −0.01), as compared to 0.09 (90% CI, −0.11 to −0.07) for those who did not respond (n= 7).</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In the SH2B1 cohort, a total of 35 patients with obesity and 16p11.2 deletions that include the SH2B1 gene or deficiency in the SH2B1 gene were enrolled in the full analysis set of this study. These patients had a mean BMI of 47.2 kg/m2 or BMI Z of 3.6 at baseline. Highlights of these interim data, as of a cut-off date of March 16, 2021, include:</w:t>
      </w:r>
    </w:p>
    <w:p>
      <w:pPr>
        <w:spacing w:after="0" w:line="195" w:lineRule="exact"/>
        <w:rPr>
          <w:sz w:val="20"/>
          <w:szCs w:val="20"/>
          <w:color w:val="auto"/>
        </w:rPr>
      </w:pPr>
    </w:p>
    <w:p>
      <w:pPr>
        <w:jc w:val="both"/>
        <w:ind w:left="720" w:right="20" w:hanging="370"/>
        <w:spacing w:after="0" w:line="26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Fifteen of 35 (or 42.9%) of patients achieved a clinically meaningful response to setmelanotide at three months, as defined by weight loss of 5% or greater from baseline, or for patients under 18 years old, a reduction of at least</w:t>
      </w:r>
    </w:p>
    <w:p>
      <w:pPr>
        <w:spacing w:after="0" w:line="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0.15 in BMI Z score:</w:t>
      </w:r>
    </w:p>
    <w:p>
      <w:pPr>
        <w:spacing w:after="0" w:line="229"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18 or older, eight of 22 (or 36.4%) achieved 5% or greater weight loss at three months;</w:t>
      </w:r>
    </w:p>
    <w:p>
      <w:pPr>
        <w:spacing w:after="0" w:line="25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younger than 18 years, seven of 13 (or 53.8%) achieved a BMI Z reduction of 0.15% or more at three months.</w:t>
      </w:r>
    </w:p>
    <w:p>
      <w:pPr>
        <w:spacing w:after="0" w:line="18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Across all enrolled patients, the mean overall weight loss from baseline to three months among patients 18 years and older (n= 22) was -3.1% (a standard deviation of 3.9%), and the mean overall BMI Z score reduction from baseline to three months among patients younger than 18 years (n= 13) was -0.15 (a standard deviation of 0.13). In addition, the interim data showed a clear separation between patients who responded to setmelanotide treatment at three months and those who did not:</w:t>
      </w:r>
    </w:p>
    <w:p>
      <w:pPr>
        <w:spacing w:after="0" w:line="204" w:lineRule="exact"/>
        <w:rPr>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body weight reduction for adult patients who responded (n= 8) was 7.2% (90% CI, −8.6 to −5.8), as compared to 0.8% (90% CI, −1.9 to 0.3) for adult patients who did not respond (n= 14);</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BMI Z reduction for patients younger than 18 years who responded (n= 7) was 0.25 (90% CI, −0.29 to −0.21), as compared to 0.03 (90% CI, −0.08 to 0.02) patients younger than 18 years who did not respond (n= 7).</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180" w:top="838" w:right="1160" w:bottom="0" w:gutter="0" w:footer="0" w:header="0"/>
          <w:type w:val="continuous"/>
        </w:sectPr>
      </w:pPr>
    </w:p>
    <w:bookmarkStart w:id="33" w:name="page34"/>
    <w:bookmarkEnd w:id="33"/>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Consistent with prior clinical experience, setmelanotide was generally well tolerated in each of these rare genetic diseases of obesity as of the cutoff date. The most common treatment-emergent adverse events, or TEAEs, included mild injection site reactions, hyperpigmentation, and nausea and vomiting, which occurred early in the treatment course. There were no SAEs related to treatment with setmelanotide.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Phase 2 DAYBREAK trial</w:t>
      </w:r>
    </w:p>
    <w:p>
      <w:pPr>
        <w:spacing w:after="0" w:line="25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2024, we completed our Phase 2 DAYBREAK trial, a signal- finding study with a two-stage design, that successfully identified six cohorts of interest for further study. We believe the DAYBREAK trial was the most comprehensive Phase 2 trial ever initiated in rare MC4R pathway diseases. This trial was designed to evaluate setmelanotide in patients with hyperphagia and severe obesity caused by variants in one of 31 pre-identified genes known to have strong relevance to the MC4R pathway.</w:t>
      </w:r>
    </w:p>
    <w:p>
      <w:pPr>
        <w:spacing w:after="0" w:line="20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Stage 1 of the trial ruled out several genes for further exploration based on patient prevalence or lack of response. We designed Stage 1 to evaluate setmelanotide in patients who carry a confirmed variant in one or more genes with strong or very strong relevance to the MC4R pathway. This first stage of the study consisted of a 16-week open-label treatment period; patients 18 years or older who achieved a body mass index (BMI) at least 3% less than the Baseline BMI at the end of Stage 1 and patients &lt;18 years old who achieved a BMI at least 3% less than the Baseline BMI or a decrease in BMI Z-score of at least 0.05 at the end of Stage 1 were eligible for enrollment in the second stage of the study.</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 total of 49 patients who completed Stage 1 with a response to setmelanotide (as detailed below) were randomized into Stage 2 of the trial. Stage 2 was a 24-week, double-blind, placebo-controlled withdrawal study. These patients were stratified into genetically defined cohorts and randomized 2:1 to receive setmelanotide or placebo. After analyzing the results from Stage 2, we deemed the following genes or gene families to merit further study with MC4R agonism: SEMA3 family, PHIP, and TBX3 or PLXNA family.</w:t>
      </w:r>
    </w:p>
    <w:p>
      <w:pPr>
        <w:spacing w:after="0" w:line="204" w:lineRule="exact"/>
        <w:rPr>
          <w:sz w:val="20"/>
          <w:szCs w:val="20"/>
          <w:color w:val="auto"/>
        </w:rPr>
      </w:pPr>
    </w:p>
    <w:p>
      <w:pPr>
        <w:jc w:val="both"/>
        <w:ind w:right="20" w:firstLine="720"/>
        <w:spacing w:after="0" w:line="226" w:lineRule="auto"/>
        <w:rPr>
          <w:sz w:val="20"/>
          <w:szCs w:val="20"/>
          <w:color w:val="auto"/>
        </w:rPr>
      </w:pPr>
      <w:r>
        <w:rPr>
          <w:rFonts w:ascii="Times New Roman" w:cs="Times New Roman" w:eastAsia="Times New Roman" w:hAnsi="Times New Roman"/>
          <w:sz w:val="20"/>
          <w:szCs w:val="20"/>
          <w:color w:val="auto"/>
        </w:rPr>
        <w:t>On November 4, 2024, we presented topline data from the DAYBREAK trial at ObesityWeek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2024 in San Antonio, Texas. Results from Stage 2 showed:</w:t>
      </w:r>
    </w:p>
    <w:p>
      <w:pPr>
        <w:spacing w:after="0" w:line="222" w:lineRule="exact"/>
        <w:rPr>
          <w:sz w:val="20"/>
          <w:szCs w:val="20"/>
          <w:color w:val="auto"/>
        </w:rPr>
      </w:pPr>
    </w:p>
    <w:p>
      <w:pPr>
        <w:jc w:val="both"/>
        <w:ind w:left="720" w:right="20" w:hanging="37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significantly higher proportion of patients in the setmelanotide arm achieved or maintained 5% BMI reduction from baseline through the end of Stage 2 compared with the placebo arm (84.4% vs. 29.4%, p=0.001); a -12.4% mean percent BMI reduction was observed for all patients (n=29) on continuous setmelanotide therapy of 40 weeks;</w:t>
      </w:r>
    </w:p>
    <w:p>
      <w:pPr>
        <w:spacing w:after="0" w:line="20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BMI between baseline and the end of stage 2 was variable between gene cohorts, with the most consistent pattern of response seen in patients with PHIP variants.</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encouraging responses were observed from the SIM1, MAGEL2, PLXNA(1-4), and SEMA3(A-G) genes;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Setmelanotide was well tolerated with no new safety concerns.</w:t>
      </w:r>
    </w:p>
    <w:p>
      <w:pPr>
        <w:spacing w:after="0" w:line="25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During our “Update on MC4R Pathway Program” event on December 6, 2023, we announced data from the Stage 1 open-label part of DAYBREAK, which demonstrated potential efficacy in patients in multiple genetically-defined cohorts. We presented data from the full analysis set for DAYBREAK, which included 164 patients. A total of 112 patients completed the 16-week Stage 1 of the Phase 2 trial, with 52 patients who discontinued. The rates of response from Stage 1 of the trial were:</w:t>
      </w:r>
    </w:p>
    <w:p>
      <w:pPr>
        <w:spacing w:after="0" w:line="204"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of patients (12 of 40) with variants in the SEMA3 gene cohort;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35.6% of patients (16 of 45) with variants in the PLXNAs gene cohort;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56.3% of patients (9 of 16) with variants in the PHIP gene cohort;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 of patients (2 of 5) with variants in the TBX3 gene cohort;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of patients (3 of 10) with variants in the MAGEL2 gene cohort;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838" w:right="1160" w:bottom="0" w:gutter="0" w:footer="0" w:header="0"/>
          <w:type w:val="continuous"/>
        </w:sectPr>
      </w:pPr>
    </w:p>
    <w:bookmarkStart w:id="34" w:name="page35"/>
    <w:bookmarkEnd w:id="34"/>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of patients (5 of 20) with variants in the SIM1 gene cohort.</w:t>
      </w:r>
    </w:p>
    <w:p>
      <w:pPr>
        <w:spacing w:after="0" w:line="250"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For those who completed Stage 1, the rates of response of patients who achieved a BMI reduction of greater than 5% from a post-hoc analysis were:</w:t>
      </w:r>
    </w:p>
    <w:p>
      <w:pPr>
        <w:spacing w:after="0" w:line="181"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44.4% of patients (12 of 27) with variants in the PLXNs gene cohort;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61.5% of patients (16 of 26) with variants in the SEMA3 gene cohort;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69.2% of patients (9 of 13) with variants in the PHIP gene cohort.</w:t>
      </w:r>
    </w:p>
    <w:p>
      <w:pPr>
        <w:spacing w:after="0" w:line="25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believe these data and analyses from DAYBREAK provide valuable insight into the MCR4 pathway, and we will continue our work to better understand which gene variants have loss of function and maybe disease causing as opposed to those variants which are benign. We believe this work will allow us to identify more accurately patients who may respond to MC4R agonism. We may continue clinical development in these genetic indications with bivamelagon and/ or RM-718.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Weekly Formulation of Setmelanotide</w:t>
      </w:r>
    </w:p>
    <w:p>
      <w:pPr>
        <w:spacing w:after="0" w:line="25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collaboration with Camurus AB, or Camurus, we have developed a once-weekly, long-acting formulation of setmelanotide using FluidCrystal® technology. When injected subcutaneously, aqueous body fluid may be absorbed by the excipient lipid phase, which may then form a gel-like depot consisting of liquid crystals formed in situ leading to slow diffusion of setmelanotide from the depot. While we believe that this formulation may be more convenient and less burdensome than setmelanotide, which is a once-daily administration, for patients and their families, we have paused development in favor of advancing RM-718. In the event RM-718 shows positive efficacy and safety results, we will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In Q1 2025 we submitted a request to modify the PIP to remove elements related to the weekly formulation with agreement received in Q2 2025.</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completed one Phase 3 trial evaluating the weekly formulation of setmelanotide in patients with rare MC4R pathway diseases. This weekly switch trial was a randomized, double-blind switch trial in patients with obesity due to biallelic or heterozygous POMC, PCSK1 or LEPR deficiency or a clinical diagnosis of BBS with genetic confirmation, who were previously enrolled in our long-term, open-label extension trial. Patients were randomized 1:1 to receive once-weekly setmelanotide and once-daily placebo, or once-daily setmelanotide and once-weekly placebo for 13 weeks. Following the 13-week randomized treatment period, patients crossed over to an open-label, 13-week study in which all patients received once-weekly setmelanotide. The study was intended to provide detailed pharmacokinetic characterization of the weekly formulation.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Tolerability Results</w:t>
      </w:r>
    </w:p>
    <w:p>
      <w:pPr>
        <w:spacing w:after="0" w:line="25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Historically, clinical data with other MC4R therapies suggested that MC4R-mediated side effects may include changes in blood pressure and heart rate, increased erections in males, changes in libido and sexual function in females, and nausea and vomiting. It is noteworthy that the pattern of effects differed among each of the other MC4R therapies, underscoring the complex physiology of MC4R. With setmelanotide, there has been little, if any, evidence of blood pressure or heart rate changes, preliminarily supporting an important differentiation of setmelanotide from previous MC4R therapies. Monitoring for blood pressure and heart rate changes, as well as other potential adverse events, or AEs, is included in all setmelanotide clinical trials.</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Because of these first generation MC4R therapy failures, the setmelanotide program employed an intensive preclinical screening program to assess clinical candidates for blood pressure and heart rate effects, along with efficacy. The cornerstone of this preclinical screening program was a significant investment in obese primate studies which validated setmelanotide as a promising compound for clinical development. Research supporting a unique mechanism of action of setmelanotide, compared to earlier MC4R agonists and the endogenous ligand MSH, was published in May 2018 in Nature Medicine.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838" w:right="1160" w:bottom="0" w:gutter="0" w:footer="0" w:header="0"/>
          <w:type w:val="continuous"/>
        </w:sectPr>
      </w:pPr>
    </w:p>
    <w:bookmarkStart w:id="35" w:name="page36"/>
    <w:bookmarkEnd w:id="35"/>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Setmelanotide was generally well-tolerated in our Phase 1, Phase 2 and Phase 3 clinical trials to date. Overall, except as outlined below, the number and patterns of AEs were generally low, and the intensity of the AEs was generally mild, and only infrequently led to clinical trial discontinuation.</w:t>
      </w:r>
    </w:p>
    <w:p>
      <w:pPr>
        <w:spacing w:after="0" w:line="19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Over the course of our clinical development program, a total of 1,073 patients who participated in our trials have received the daily or weekly formulation of setmelanotide, including 31 patients who had been on setmelanotide therapy for more than five years, as of November 24, 2025 (excluding commercial therapy):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1569720</wp:posOffset>
                </wp:positionH>
                <wp:positionV relativeFrom="paragraph">
                  <wp:posOffset>175260</wp:posOffset>
                </wp:positionV>
                <wp:extent cx="0" cy="18415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6pt,13.8pt" to="123.6pt,15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3217545</wp:posOffset>
                </wp:positionH>
                <wp:positionV relativeFrom="paragraph">
                  <wp:posOffset>175260</wp:posOffset>
                </wp:positionV>
                <wp:extent cx="0" cy="18415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35pt,13.8pt" to="253.35pt,158.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4703445</wp:posOffset>
                </wp:positionH>
                <wp:positionV relativeFrom="paragraph">
                  <wp:posOffset>175260</wp:posOffset>
                </wp:positionV>
                <wp:extent cx="0" cy="18415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35pt,13.8pt" to="370.35pt,158.8pt" o:allowincell="f" strokecolor="#000000" strokeweight="0pt"/>
            </w:pict>
          </mc:Fallback>
        </mc:AlternateContent>
      </w:r>
    </w:p>
    <w:p>
      <w:pPr>
        <w:spacing w:after="0" w:line="237" w:lineRule="exact"/>
        <w:rPr>
          <w:sz w:val="20"/>
          <w:szCs w:val="20"/>
          <w:color w:val="auto"/>
        </w:rPr>
      </w:pPr>
    </w:p>
    <w:tbl>
      <w:tblPr>
        <w:tblLayout w:type="fixed"/>
        <w:tblInd w:w="2470" w:type="dxa"/>
        <w:tblCellMar>
          <w:top w:w="0" w:type="dxa"/>
          <w:left w:w="0" w:type="dxa"/>
          <w:bottom w:w="0" w:type="dxa"/>
          <w:right w:w="0" w:type="dxa"/>
        </w:tblCellMar>
      </w:tblPr>
      <w:tr>
        <w:trPr>
          <w:trHeight w:val="263"/>
        </w:trPr>
        <w:tc>
          <w:tcPr>
            <w:tcW w:w="2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Duration of Setmelanotide</w:t>
            </w:r>
          </w:p>
        </w:tc>
        <w:tc>
          <w:tcPr>
            <w:tcW w:w="23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Therapy</w:t>
            </w:r>
          </w:p>
        </w:tc>
        <w:tc>
          <w:tcPr>
            <w:tcW w:w="234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20"/>
                <w:szCs w:val="20"/>
                <w:color w:val="auto"/>
              </w:rPr>
              <w:t>Number of patients</w:t>
            </w:r>
          </w:p>
        </w:tc>
        <w:tc>
          <w:tcPr>
            <w:tcW w:w="0" w:type="dxa"/>
            <w:vAlign w:val="bottom"/>
          </w:tcPr>
          <w:p>
            <w:pPr>
              <w:spacing w:after="0"/>
              <w:rPr>
                <w:sz w:val="1"/>
                <w:szCs w:val="1"/>
                <w:color w:val="auto"/>
              </w:rPr>
            </w:pPr>
          </w:p>
        </w:tc>
      </w:tr>
      <w:tr>
        <w:trPr>
          <w:trHeight w:val="256"/>
        </w:trPr>
        <w:tc>
          <w:tcPr>
            <w:tcW w:w="262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&lt;1 year</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709</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&gt;1 year</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364</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&gt;2 years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218</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&gt;3 years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126</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&gt;4 years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&gt;5 years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w:t>
            </w:r>
          </w:p>
        </w:tc>
        <w:tc>
          <w:tcPr>
            <w:tcW w:w="0" w:type="dxa"/>
            <w:vAlign w:val="bottom"/>
          </w:tcPr>
          <w:p>
            <w:pPr>
              <w:spacing w:after="0"/>
              <w:rPr>
                <w:sz w:val="1"/>
                <w:szCs w:val="1"/>
                <w:color w:val="auto"/>
              </w:rPr>
            </w:pPr>
          </w:p>
        </w:tc>
      </w:tr>
      <w:tr>
        <w:trPr>
          <w:trHeight w:val="28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Total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1,073</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the majority of our trials, we observed a small increase in frequency of penile erections in male patients, as well as signs of sexual arousal in a small number of female patients. These symptoms were infrequent, generally mild, not painful, and short-lived. Most often these symptoms were reported in the first week of treatment. There was a small incidence of nausea and vomiting, as well as injection site reactions, both of which usually were reported as mild, early in treatment, and short-lived. A small number of patients had dose reductions and/or discontinued treatment due to nausea and vomiting.</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also noted darkening of skin and skin lesions, such as moles and freckles, in approximately half of the patients who received setmelanotide. This was likely caused by activation of the closely related MC1 receptor, the receptor that mediates skin darkening in response to sun exposure. This was observed generally after one to two weeks of treatment, most often plateaued by two to four weeks of treatment, and like sun-related tanning, generally returned to baseline after cessation of exposure.</w:t>
      </w:r>
    </w:p>
    <w:p>
      <w:pPr>
        <w:spacing w:after="0" w:line="2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Overall, the most common AEs reported among setmelanotide treated patients in our clinical trials have been skin hyperpigmentation, injection site reactions, nausea, headache, vomiting, diarrhea and decreased appetite.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Life Cycle Management and Pipeline Expansion</w:t>
      </w:r>
    </w:p>
    <w:p>
      <w:pPr>
        <w:spacing w:after="0" w:line="25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addition to setmelanotide, we have two earlier-stage investigational MC4R agonists in clinical development, RM-718, formulated for weekly administration, and bivamelagon (formerly LB54640), an oral small molecule. These investigational assets were designed to be selective for the MC4R and MC1R functionally sparing (in order to not cause hyperpigmentation). In 2025, we made significant progress in each program, with bivamelagon achieving proof-of concept in a Phase 2 trial in hypothalamic obesity and RM-718 now being evaluated in a Phase 1/2 trial for both hypothalamic obesity and PWS. In addition, we are advancing potential candidates for CHI, a rare genetic disease.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Bivamelagon, an oral MC4R agonist</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January 4, 2024, we announced that we entered into a global licensing agreement with LG Chem, Ltd., or LGC, a leading global company headquartered in</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South Korea</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that specializes in life sciences as one of its core businesses, for bivamelagon, an investigational oral small molecule MC4R agonist now in a Phase 2 clinical trial. The development of an effective oral therapy for treating MC4R pathway diseases has been a major goal for the industry, and we believe the data generated to date suggests bivamelagon has the potential to address MC4R pathway diseases without hyperpigmentation or cardiovascular side effects. We believe our deep developmental experience and global commercial presence uniquely position us to develop this molecule with the goal of offering a portfolio of treatment options to patients struggling with hyperphagia and severe obesity enabling the treatment that is right for them.</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880"/>
          </w:cols>
          <w:pgMar w:left="1180" w:top="838" w:right="1180" w:bottom="0" w:gutter="0" w:footer="0" w:header="0"/>
          <w:type w:val="continuous"/>
        </w:sectPr>
      </w:pPr>
    </w:p>
    <w:bookmarkStart w:id="36" w:name="page37"/>
    <w:bookmarkEnd w:id="36"/>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a Phase 1 trial in healthy overweight adults, bivamelagon demonstrated dose-dependent weight reduction. Bivamelagon also demonstrated favorable safety results in the trial, with no changes in blood pressure or heart rate observed and no hyperpigmentation observed. In addition, bivamelagon has received orphan drug designation from FDA for the treatment of LEPR deficiency.</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July 2025, we announced that bivamelagon achieved statistically significant, clinically meaningful BMI reductions in patients with hypothalamic obesity in a placebo-controlled, Phase 2 trial. These results were consistent with BMI reductions achieved with setmelanotide therapy in similar patient populations in past trials. In the 14-week, double-blind, four-arm, placebo-controlled portion of the trial, bivamelagon achieved:</w:t>
      </w:r>
    </w:p>
    <w:p>
      <w:pPr>
        <w:spacing w:after="0" w:line="203"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-9.3% BMI reduction from baseline in the 600mg cohort (n=8) (p-value=0.0004);</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-7.7% BMI reduction from baseline in the 400mg cohort (n=7) (p-value=0.0002);</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 BMI reduction from baseline in the 200mg cohort (n=6) (p-value = 0.0180);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BMI for patients in the placebo cohort (n=7) increased by 2.2% over 14 weeks.</w:t>
      </w:r>
    </w:p>
    <w:p>
      <w:pPr>
        <w:spacing w:after="0" w:line="25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a post-hoc analysis comparing the randomized Phase 2 results to results from prior setmelanotide trials, bivamelagon demonstrated BMI reductions consistent with BMI reductions achieved with setmelanotide therapy as observed in similar patient populations at comparable dosing durations. In this post-hoc comparison of the subset of setmelanotide patients who demonstrated study compliance and were not on concomitant glucagon-like peptide-1 (GLP-1) therapy (no patients who enrolled in the Phase 2 bivamelagon trial were on concomitant GLP-1 therapy), setmelanotide and bivamelagon achieved:</w:t>
      </w:r>
    </w:p>
    <w:p>
      <w:pPr>
        <w:spacing w:after="0" w:line="208" w:lineRule="exact"/>
        <w:rPr>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 and -10.5% mean BMI reductions achieved in a pooled patient population (n=59; n=64) from Phase 2 and Phase 3 trials of setmelanotide therapy at 12 weeks and 16 weeks, respectively; as compared to:</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-8.8% and -10.1% mean BMI reductions achieved in patients (400mg n=6; 600mg n=7) at 14 weeks of bivamelagon therapy.</w:t>
      </w:r>
    </w:p>
    <w:p>
      <w:pPr>
        <w:spacing w:after="0" w:line="18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patients reported meaningful reductions in their ‘most’ hunger scores at 14 weeks on therapy compared to placebo, consistent with past setmelanotide trials and MC4R agonism. Patients in the 600mg (n=8) and 400mg (n=6) cohorts achieved a mean reduction greater than 2.8 points in their ‘most’ hunger scores measured on a 10-point scale at 14 weeks of bivamelagon therapy. Six patients in the 200mg arm achieved a mean reduction of 2.1 points in their ‘most’ hunger score, while patients on placebo therapy reported a mean increase of 0.8 points in their mean ‘worst’ hunger score.</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Bivamelagon demonstrated safety and tolerability results consistent with MC4R agonism and mechanism of action during the placebo-controlled portion of the trial. During the placebo-controlled portion of the trial, one patient discontinued therapy due to a serious adverse event. The most common reported adverse events were episodes of diarrhea and nausea, the vast majority of which were mild or grade 1. There were reports of mild, localized hyperpigmentation from four patients, including one patient on placebo. A total of 27 patients completed the 14-week, placebo-controlled portion of the trial, and 26 of them transitioned into the open-label extension of the trial and remained in that portion of the trial, as of July 7, 2025.</w:t>
      </w:r>
    </w:p>
    <w:p>
      <w:pPr>
        <w:spacing w:after="0" w:line="21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With these results in hand, we plan to seek input from U.S. and EU regulatory authorities on a Phase 3 trial design to advance bivamelagon in acquired hypothalamic obesity. In addition, we are refining the formulation of bivamelagon potentially to improve tolerability ahead of initiating a Phase 3 trial. We anticipate initiating this Phase 3 trial to evaluate bivamelagon for the treatment of hypothalamic obesity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RM-718, a next generation MC4R peptide agonist</w:t>
      </w:r>
    </w:p>
    <w:p>
      <w:pPr>
        <w:spacing w:after="0" w:line="25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Our MC4R peptide agonist for weekly administration, the new chemical entity, RM-718, has demonstrated the potential to reduce body weight and hunger, with favorable safety results observed in preclinical studies. RM-718 is designed to be more MC4R selective and MC1R functionally sparing with the potential to not cause hyperpigmentation. In a series of pre-clinical studies, RM-718 reduced overall body weight, body weight gain and food consumption in animal models. We initiated a Phase 1 in-human trial in the first quarter of 2024, including a multiple-ascending dose study in patients with hypothalamic obesity.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838" w:right="1160" w:bottom="0" w:gutter="0" w:footer="0" w:header="0"/>
          <w:type w:val="continuous"/>
        </w:sectPr>
      </w:pPr>
    </w:p>
    <w:bookmarkStart w:id="37" w:name="page38"/>
    <w:bookmarkEnd w:id="37"/>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RM-718 is an investigational, synthetic, cyclic heptamer (7-amino acid-containing) peptide, and is designed as a selective and potent MC4R agonist that spares other melanocortin receptors. The RM-718 formulation is a sustained release depot designed for once weekly (QW), subcutaneous (SC) injection, consisting of RM-718 and excipients. The major components are phospholipids (PL) that are a natural part of the cell membrane and, once injected into tissue and coming into contact with aqueous body fluids and tissues, can precipitate and trap a co-administered drug to form a drug-PL co-precipitate (nanometer-sized phospholipid particles) that functions as a depot. Over time, this depot slowly diffuses into the surrounding tissue and/or is degraded by local phospholipase (slowly hydrolyzing phospholipids) resulting in a slow and controlled release of RM-718 over time.</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Phase 1/2 clinical trial of RM-718 remains ongoing. This 1 trial is a four-part study to evaluate safety, tolerability and PK. The study consists of Part A: single ascending doses (SAD) of RM-718 in healthy participants 18 to 55 years old with obesity; Part B: multiple ascending doses (MAD) of RM-718 in healthy participants 18 to 55 years old with obesity; and Part C: MAD of RM-718 in patients 12 to 65 years old with hypothalamic obesity. Cohorts in Parts A and B are double-blind, placebo-controlled, and randomized 2:1. Study participants will receive one weekly dose of either RM-718 or placebo in Part A, four weekly doses of either RM-718 or placebo in Part B.</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Parts C and D of this Phase 1/2 trial, we are evaluating RM-718 in patients with hypothalamic obesity and PWS, respectively. In Part C, we plan to enroll up to 30 patients with acquired hypothalamic obesity for 16 weeks, and patients may continue on therapy for up to 52 weeks. We anticipate completing enrollment in Part C of this trial in the first quarter of 2026. For Part D, we plan to enroll up to 20 patients with PWS. We began screening patients with PWS for enrollment in December 2025, and we anticipate completing enrollment in the second half of 2026.</w:t>
      </w:r>
    </w:p>
    <w:p>
      <w:pPr>
        <w:spacing w:after="0" w:line="20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Nonclinical studies of RM-718 demonstrated significant and stable reduction of body weight (-12.9%) and body weight gain, reduced food, and water consumption (~ -25%) and improvement in insulin sensitivity without any pharmacological effects on the cardiovascular and respiratory systems. Studies in rodents (diet induced obese rats and mice including obese Zucker rats and Sprague Dawley rats) also demonstrated that RM-718 suppressed food intake and weight gain.</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Nonclinical toxicology studies of RM-718 administered for 28 days were conducted in rats and cynomolgus monkeys with doses up to 30 mg/kg. RM-718 was well tolerated in rats and monkeys, with no evidence of systemic toxicity. RM-718-related clinical observations of hyperpigmentation of skin on the muzzle in monkeys were rare (observed in only one monkey at the 30 mg/kg dose). Microscopic analysis showed minimal to moderate increased pigment of the epidermis of the skin of the muzzle at ≥10 mg/kg/doses, and we believe this result is probably species-specific and the result of MC1R stimulation. We believe completed chronic toxicology studies in non-human primates (NHP) and rats (39 and 26 weeks, respectively) support long-term dosing in patients.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safety pharmacology studies evaluating potential adverse effects on the cardiovascular and respiratory systems in cynomolgus monkeys, RM-718 produced no treatment-related changes in effects on heart rate, blood pressure, electrocardiographic changes, or respiratory parameters up to the 30 mg/kg weekly dose. Moreover, the MC4R peptide agonist LY2112688 (formulated by Eli Lilly and Company), continuous SC infusion for 3 days of LY2112688 at 0.5 and 1 mg/kg/day, resulted in a slight increase in blood pressure at the 1 mg/kg/day dose level, relative to the reference item (saline), with effects being more pronounced during the night cycle, with no definitive effect on heart rate. These changes were not noted following continuous administration of RM-718 at doses of 1 and 5 mg/kg/day for 3 days, with heart rate and blood pressure remaining comparable to the reference item (saline) up to 96 hours post start of infusion. A slight, non-dose dependent decrease in body temperature was seen in all test article-treated groups over the course of the study, all within normal variation for monkeys and it was not considered adverse.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Congenital Hyperinsulinism Program</w:t>
      </w:r>
    </w:p>
    <w:p>
      <w:pPr>
        <w:spacing w:after="0" w:line="25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February 2023, we completed the acquisition of Xinvento B.V., or Xinvento, a Dutch private limited liability company based in the Netherlands, through our wholly-owned subsidiary Rhythm Pharmaceuticals Netherlands B.V., a Dutch private limited liability company. Xinvento was founded in 2021 to identify and develop novel investigational therapeutic candidates designed to improve the care of patients and families living with CHI.</w:t>
      </w:r>
    </w:p>
    <w:p>
      <w:pPr>
        <w:spacing w:after="0" w:line="203"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19"/>
          <w:szCs w:val="19"/>
          <w:color w:val="auto"/>
        </w:rPr>
        <w:t>CHI is a rare disease that we believe is well aligned with our corporate strategy and broadens our focus into an adjacent endocrine indication with a high unmet need. CHI is the most frequent cause of severe, random and persistent hypoglycemia in newborns and children. Hypoglycemia results from an over-secretion of insulin, which causes blood sugar levels to fall dangerously low. Without proper and immediate treatment, patients with CHI may suffer seizures, coma, or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838" w:right="1160" w:bottom="0" w:gutter="0" w:footer="0" w:header="0"/>
          <w:type w:val="continuous"/>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20"/>
          <w:szCs w:val="20"/>
          <w:color w:val="auto"/>
        </w:rPr>
        <w:t>even death and, longer term, children may experience developmental delays, epilepsy, cerebral palsy, and other neurological damage. Available treatments are suboptimal in terms of safety, tolerability and effectiveness. Patient and family surveys conducted by Congenital Hyperinsulinism International, a global patient advocacy organization, demonstrate that hypoglycemic (low blood sugar) levels are occurring one or more times per day in 48% of patients, and up to once a week in an additional 20% of patients, in each case, despite being on standard of care. In the United States, the estimated incidence rate for CHI is 1:29,000 to 1:31,000, according to the literature. With the acquisition, Rhythm acquired a suite of assets designed to treat patients with this disease. In our CHI Program, we are focused on identifying and nominating a development candidate to advance into IND-enabling studies. We anticipate nominating a development candidate in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Genetic Sequencing and Patient Finding</w:t>
      </w:r>
    </w:p>
    <w:p>
      <w:pPr>
        <w:spacing w:after="0" w:line="25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continue to expand our sequencing efforts in individuals living with early-onset, severe obesity to support research, patient finding and community building efforts to better understand rare MC4R pathway diseases. Our obesity DNA database contains sequencing data from approximately 120,000 individuals, as of December 31, 2025. Our sequencing data has come from four distinct sources in recent years: the Genetic Obesity ID | Genotyping Study, a global network of collaborations with obesity researchers with individual sample collections, institutional biobanks and Uncovering Rare Obesity (URO) or Rare Obesity Advanced Diagnosis (ROAD) programs.</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More than 90% of our DNA sequencing database is derived from the U.S. population. Therefore, our estimates of patient populations in Canada and Europe are more preliminary, but we believe the prevalence of these genetic diseases in Canada and Europe are similar to those in United States. By bringing additional awareness to these rare genetic diseases of obesity, our sequencing efforts have the potential to help foster patient communities and drive medical action in these populations.</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URO, our sponsored genetic testing program designed to increase access to genetic testing and help determine if individuals have an underlying genetic cause of their severe obesity, is the primary driver of how we collect sequencing samples and identify patients in the North America region. As obesity has reached epidemic levels in the United States, we are focused on identifying people with early-onset obesity that may be caused by certain rare genetic variants.</w:t>
      </w:r>
    </w:p>
    <w:p>
      <w:pPr>
        <w:spacing w:after="0" w:line="20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This program complements several initiatives designed to advance the understanding of genetic causes of severe obesity, and URO broadens these efforts and brings access to genetic testing into the community setting. Currently available physician-ordered genetic testing panels are often cost prohibitive, while many consumer genetic tests are incomplete when it comes to genetic disorders of obesity. This makes it difficult to confirm an underlying genetic cause of severe obesity. We believe the program marks an important step in the understanding of these disorders that might help patients and their families find new diagnosis and treatment strategies in the years ahead.</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U.S. partner, Prevention Genetics, a subsidiary of Exact Sciences Corp., a Clinical Laboratory Improvement Amendments-College of American Pathologists of CLIA/CAP-certified independent laboratory, conducts the genetic testing for URO. This program covers the cost of the test and excludes office visit, copay, sample collection, and any other related costs to a participant. In addition, as part of the program, licensed genetic counselors from PWN Health, a leading provider of professional guidance for diagnostic and genetic testing, are available to advise participating individuals.</w:t>
      </w:r>
    </w:p>
    <w:p>
      <w:pPr>
        <w:spacing w:after="0" w:line="20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ROAD program outside the United States mirrors the URO program as it is designed to increase awareness of rare MC4R pathway diseases caused by genetic variants and support patient identification in the International region. We collect samples from individuals with severe obesity from seven countries, including Spain, Italy, Ireland, Israel, Turkey and Germany. Our partner CGC Genetics Unilabs conducts genetic testing for ROAD. This program covers the cost of the test, the kit and shipment.</w:t>
      </w:r>
    </w:p>
    <w:p>
      <w:pPr>
        <w:spacing w:after="0" w:line="2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As of the end of 2025, we have collected samples from approximately 120,000 individuals with severe obesity, primarily through our URO and ROAD programs, which now are our primary source of sequencing samples.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Efforts for IMCIVREE</w:t>
      </w:r>
    </w:p>
    <w:p>
      <w:pPr>
        <w:spacing w:after="0" w:line="25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are focused on developing our global commercial infrastructure to make IMCIVREE available in as many markets as possible.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838" w:right="1160" w:bottom="0" w:gutter="0" w:footer="0" w:header="0"/>
          <w:type w:val="continuous"/>
        </w:sectPr>
      </w:pPr>
    </w:p>
    <w:bookmarkStart w:id="39" w:name="page40"/>
    <w:bookmarkEnd w:id="39"/>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IMCIVREE, an MC4R agonist for which we hold worldwide rights, is the first-ever precision medicine developed for patients with certain rare MC4R-pathway diseases approved or authorized in the United States, the EU, the United Kingdom, Canada and other countries and regions. IMCIVREE is approved by the FDA to reduce excess body weight and maintain weight reduction long term in adult and pediatric patients aged 2 years and older with syndromic or monogenic obesity due to BBS or POMC, PCSK1, or LEPR deficiency, as determined by an FDA-approved test demonstrating variants in POMC, PCSK1, or LEPR genes that are interpreted as pathogenic, likely pathogenic, or VUS. The EC and the MHRA have authorized IMCIVREE for the treatment of obesity and the control of hunger associated with genetically confirmed BBS or loss-of-function biallelic POMC, including PCSK1, deficiency or biallelic LEPR deficiency in adults and children 2 years of age and above.</w:t>
      </w:r>
    </w:p>
    <w:p>
      <w:pPr>
        <w:spacing w:after="0" w:line="20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have achieved market access or named patient sales for IMCIVREE for BBS or POMC and LEPR deficiencies, or both, in more than 25 countries outside the United States, and we continue to collaborate with authorities to achieve access in additional markets. To date, we have had named patient sales in Austria, Greece, Russia, Switzerland and Turkey, among other countries.</w:t>
      </w:r>
    </w:p>
    <w:p>
      <w:pPr>
        <w:spacing w:after="0" w:line="20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Pending regulatory approvals, we anticipate launching IMCIVREE for acquired hypothalamic obesity in the United States in 2026, based on our FDA-assigned Prescription Drug User Fee Act (PDUFA) goal date of March 20, 2026. Regulatory review for our Type II variation submission is also ongoing in Europe. We anticipate disclosing topline data from a 12-patient Japanese cohort of our Phase 3 trial evaluating setmelanotide for acquired hypothalamic obesity in March 2026, and pending positive data, completing a new drug application submission in Japan. Regulatory decisions in Europe and Japan are anticipated later in 2026 or 2027.</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While we are focused on commercial access for IMCIVREE, we are working with the broader community of patients and families, physicians, scientists and more to engage with them on the impact of hyperphagia and severe obesity caused by rare MC4R pathway diseases. Individually, populations with each of these MC4R pathway diseases are rare, and affected patients face many of the same challenges as any classically rare disease patient populations. There is little or no awareness about rare MC4R pathway diseases, and the patients suffering from them are often lost in the health care system, with limited educational resources and no effective treatments for their condition. All our efforts and services described above are designed to address the challenges of rare diseases and lay the groundwork for potential future launches, with a focus on scalability.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See “Item 1A. “Risk Factors—Risks Related to the Commercialization of IMCIVREE and, if Approved, our Products Candidates—Our industry and the obesity market in particular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Currently, IMCIVREE is the only approved treatment for weight management in patients with obesity due to BBS or POMC, PCSK1 or LEPR deficiencies, and there are no other approved treatments for addressing hyperphagia related behaviors of patients with rare MC4R pathway diseases. Metabolic and bariatric surgery may be less effective at achieving long-term weight loss in patients with MC4R pathway diseases given that hyperphagia increases risk of weight regain. Also, existing therapies indicated for general obesity and those in clinical development for the same, such as incretin therapies that target the receptors for the hormones glucagon-like peptide-1 (GLP-1) and glucose-stimulated insulinotropic polypeptide (GIP), do not specifically target or restore function impaired by genetic deficiencies and trauma to the hypothalamus that disrupt MC4R pathway signaling, which we believe is a root cause of hyperphagia and obesity in patients with these diseases. Studies such as the SURMOUNT 1 study, which served as the basis of the FDA approval of tirzepitide for obesity, specifically excluded patients with: “obesity induced by other endocrinologic disorders or monogenetic or syndromic forms of obesity.” At present, we are aware of multiple ongoing research and development programs for general obesity with various new mechanisms of action including some MC4R agonists. Several companies report having early-stage programs that are exploring MC4R agonism, with the majority being in the pre-clinical or discovery phase. New competitors may emerge which could limit our business opportunity in the future.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838" w:right="11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Licensing Agreements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Ipsen Pharma S.A.S.</w:t>
      </w:r>
    </w:p>
    <w:p>
      <w:pPr>
        <w:spacing w:after="0" w:line="25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Pursuant to our March 21, 2013 license agreement with Ipsen Pharma S.A.S., or Ipsen, we have an exclusive, sublicensable, worldwide license to certain patents and other intellectual property rights to research, develop, and commercialize compounds that were discovered or researched by Ipsen in the course of conducting its MC4R program or that otherwise were covered by the licensed patents. Rights under the license included the right to research, develop and commercialize setmelanotide. Pursuant to the license, we have a non-exclusive, sublicensable, worldwide license to certain patents and other intellectual property rights that were licensed by Ipsen from a third-party or that Ipsen may develop in the future to research, develop, and commercialize any of the compounds exclusively licensed by Ipsen pursuant to the license.</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Under the terms of the Ipsen license agreement, Ipsen is eligible to receive payments of up to $40.0 million upon the achievement of certain milestones in connection with the development, regulatory approval and commercialization of applicable licensed products, and royalties on future sales of the licensed products. Substantially, all of the aggregate payments under the Ipsen license agreement are for milestones that may be achieved no earlier than first commercial sale of the applicable licensed product, and as of December 31, 2025, we have paid $4.0 million in clinical and regulatory milestones and $9.0 million in commercial milestones. Royalties in the mid-single digits on future sales of the applicable licensed products will be due under the Ipsen license agreement on a licensed product-by-licensed product and country-by-country basis until the later of the date when sales of a licensed product in a particular country are no longer covered by patent rights licensed pursuant to the Ipsen license agreement and the tenth anniversary of the date of the first commercial sale of the applicable licensed product in the applicable country. The term of the Ipsen license agreement continues until the expiration of the applicable royalty term on a country-by-country and product-by-product basis. Upon expiration of the term of the agreement, the licensed rights granted to us under the agreement, to the extent they remain in effect at the time of expiration, will thereafter become irrevocable, perpetual and fully paid-up licenses that survive the expiration of the term. We have a right to terminate the license agreement at any time during the term for any reason on 180 days’ written notice to Ipsen. Ipsen has a right to terminate the agreement prior to expiration of its term for our material breach of the agreement, our failure to initiate or complete development of a licensed product or our bringing an action seeking to have an Ipsen license patent right declared invalid. Upon any early termination of the license agreement not due to Ipsen’s material breach, all licensed rights granted under the license agreement will terminate.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Camurus</w:t>
      </w:r>
    </w:p>
    <w:p>
      <w:pPr>
        <w:spacing w:after="0" w:line="254"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January 2016, we entered into a license agreement for the use of Camurus’ drug delivery technology, FluidCrystal®, to formulate setmelanotide in collaboration with Camurus. Under the terms of the agreement, Camurus granted us a worldwide license to the FluidCrystal® technology to formulate setmelanotide and to develop, manufacture, and commercialize this new formulation for once-weekly dosing, administered as a subcutaneous injection. The license granted to us is specific to the FluidCrystal® technology incorporating setmelanotide. Under the terms of the license agreement, we are responsible for manufacturing, development, and commercialization of the setmelanotide FluidCrystal® formulation worldwide. Camurus received a non-refundable and non-creditable upfront payment of $0.5 million in January 2016, and is eligible to receive progressive payments of approximately $65.0 million, of which the majority are sales milestones. As of December 31, 2025, we have made $2.3 million of milestone payments to Camurus. In addition, Camurus is eligible to receive tiered, mid to mid-high, single-digit royalties on future sales of the product.</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term of the agreement continues until the expiration of the applicable royalty term on a country-by-country and product-by-product basis. Upon expiration of the term of the agreement, the licensed rights granted to us under the agreement, to the extent they remain in effect at the time of expiration, will thereafter become irrevocable, perpetual and fully paid-up licenses that survive the expiration of the term. We have a right to terminate the license agreement at any time during the term for any reason upon 90 days’ written notice to Camurus. Camurus has a right to terminate the agreement prior to expiration of its term for our material breach of the agreement, if we voluntarily or involuntarily file for bankruptcy, or for our bringing an action seeking to have a Camurus license patent right declared invalid. Upon any early termination of the license agreement not due to Camurus’ material breach, all licensed rights granted under the license agreement will terminate.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LG Chem</w:t>
      </w:r>
    </w:p>
    <w:p>
      <w:pPr>
        <w:spacing w:after="0" w:line="25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In January 2024, we entered into a license agreement and share issuance agreement with LG Chem, Ltd, or LGC. Under the terms of the license agreement, we obtained worldwide rights to exploit LGC’s proprietary compound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831" w:right="1160" w:bottom="0" w:gutter="0" w:footer="0" w:header="0"/>
          <w:type w:val="continuous"/>
        </w:sectPr>
      </w:pPr>
    </w:p>
    <w:bookmarkStart w:id="41" w:name="page42"/>
    <w:bookmarkEnd w:id="41"/>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bivamelagon and have assumed sponsorship of two ongoing LGC Phase 2 studies designed to evaluate safety, tolerability, pharmacokinetics and weight loss efficacy of bivamelagon. The SIGNAL trial is a randomized, placebo-controlled, double-blind study designed to enroll and evaluate approximately 28 patients with acquired hypothalamic obesity. Participants will receive one of three doses of bivamelagon by oral administration once daily for up to 52 weeks, and the primary endpoint of the study is the change from baseline in body mass index after 14 weeks of treatment. The open-label, single-arm, 16-week ROUTE trial is designed to enroll five patients with POMC or LEPR deficiency obesity.</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connection with our entry into the license agreement with LGC, we paid LGC $40.0 million in cash and issued shares of our common stock with an aggregate value of $20.0 million. The shares were issued at a per share price equal to the ten-day volume weighted-average closing price for our common stock, calculated as of the trading day immediately prior to January 4, 2024. On July 1, 2025, we made the final payment for fixed consideration of an additional $40.0 million, which under the terms of the license agreement was due and payable 18 months after the effective date of the license agreement.</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and subject to, among other conditions, the completion of Phase 2 development of bivamelagon, we have agreed to pay LGC royalties of between low-to-mid single digit percent of net revenues from products covered by our patent portfolio directed toward the MC4R agonists, including setmelanotide, RM-718, and bivamelagon (collectively, our “MC4R portfolio”), including bivamelagon, commencing in 2029 and also dependent upon achievement of various regulatory and indication approvals, and subject to customary deductions and anti-stacking provisions. Royalties may further increase to a low, double-digit percent royalty, though such royalty would only be applicable on net sales of bivamelagon in a region if bivamelagon is covered by a composition of matter or method of use patent controlled by LGC in such region and our MC4R portfolio is not covered by any composition of matter or method of use patents controlled by us in such region. Such increased rate would only apply on net sales of bivamelagon for the limited remainder of the royalty term in the relevant region.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Proprietary Rights</w:t>
      </w:r>
    </w:p>
    <w:p>
      <w:pPr>
        <w:spacing w:after="0" w:line="2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MC4R portfolio of licensed and exclusively owned patent families, which includes setmelanotide, RM-718, and bivamelagon, consists of 45 patent families currently being prosecuted or maintained, which include applications and patents directed to compositions of matter, formulations, and methods of making, and methods of treatment. These patent families have been filed in over 40 jurisdictions, including all major markets such as the United States, Europe, Australia, Brazil, Canada, China, India, Israel, Japan, Korea, Mexico, New Zealand, Russia, and Singapore. In the key patent families directed to selected peptide-based MC4R receptor agonists, including the composition of matter for setmelanotide, we have 20 issued United States patents and over 240 issued non-United States patents in various jurisdictions. Patents issuing in these patent families will have a standard 20-year term and expire between 2026 and 2046, in each instance provided that all appropriate maintenance fees are paid and not including any patent term adjustment, patent term extension, or supplementary protection certificates that may be available on a country-by-country basis. For example, in a key patent family providing composition of matter coverage for setmelanotide, we have received 5 years of patent term extension in the United States, extending patent protection in that patent family through 2032.</w:t>
      </w:r>
    </w:p>
    <w:p>
      <w:pPr>
        <w:spacing w:after="0" w:line="21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addition to the patents and patent applications discussed above, we co-own one patent family with the University of Strasbourg and the French National Institute of Health and Medical Research, which is directed to specific uses of MC4R agonists. We also own three patent families directed to small molecule compounds for use in our CHI program, with patent claims that will expire when issued between 2043 and 2045, without factoring in any available patent term extension.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Protection Strategy</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currently seek, and intend to continue seeking, patent protection whenever commercially reasonable for any patentable aspects of setmelanotide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 Our license from Ipsen for the melanocortin program requires Ipsen, subject to certain exceptions and upon consultation with us, to prosecute and maintain its patent rights as they relate to the licensed compounds and methods. If Ipsen decides to cease prosecution or maintenance of any of the licensed patent rights, we have the option to take over prosecution and maintenance of those patents and Ipsen will assign to us all of its rights in such patents. For those patent rights that we own exclusively, we control all prosecution and maintenance activities.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838" w:right="1160" w:bottom="0" w:gutter="0" w:footer="0" w:header="0"/>
          <w:type w:val="continuous"/>
        </w:sectPr>
      </w:pPr>
    </w:p>
    <w:bookmarkStart w:id="42" w:name="page43"/>
    <w:bookmarkEnd w:id="42"/>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The patent positions of biopharmaceutical companies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the product candidate we in-license will be protectable or remain protected by enforceable patents. We cannot predict whether the patent applications we are currently pursuing will issue as patents in any particular jurisdiction, and furthermore, we cannot determine whether the claims of any issued patents will provide sufficient proprietary protection to protect us from competitors, or will be challenged, circumvented or invalidated by third parties. 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This potential issue is exacerbated by the fact that, prior to March 16, 2013, in the United States, the first to make the claimed invention may be entitled to the patent. On March 16, 2013, the United States transitioned to a “first to file” system in which the first inventor to file a patent application may be entitled to the patent. For applications filed prior to the institution of the “first to file” system, we may have to participate in interference proceedings declared by the United States Patent and Trademark Office, or PTO, or a foreign patent office to determine priority of invention. Moreover, we may have to participate in other proceedings declared by the United States PTO or a foreign patent office, such as post-grant proceedings and oppositions, that challenge the validity of a granted patent. Such proceedings could result in substantial cost, even if the eventual outcome is favorable to us.</w:t>
      </w:r>
    </w:p>
    <w:p>
      <w:pPr>
        <w:spacing w:after="0" w:line="215"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Although we currently have issued patents directed to a number of different attributes of our products, and pending applications on others, there can be no assurance that any issued patents would be held valid by a court of competent jurisdiction. An adverse outcome could subject us to significant liabilities to third parties, require disputed rights to be licensed from third parties or require us to cease using specific compounds or technology. To the extent prudent, we intend to bring litigation against third parties that we believe are infringing our patents.</w:t>
      </w:r>
    </w:p>
    <w:p>
      <w:pPr>
        <w:spacing w:after="0" w:line="20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United States PTO in granting a patent, or may be shortened if a patent is terminally disclaimed over another patent with an earlier expiration date.</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mentioned above, in the United States, the patent term of a patent that covers an FDA-approved drug may also be eligible for patent term extension, which permits patent term restoration as compensation for the patent term lost during the FDA regulatory review process. IMCIVREE has received FDA approval and we have been awarded patent term extension on that product. In the future, if and when our other pharmaceutical products receive FDA approval, we expect to apply for patent term extensions on patents covering those products. We intend to seek patent term adjustments and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adjustments or extensions.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To protect our rights to any of our issued patents and proprietary information, we may need to litigate against infringing third parties, or avail ourselves of the courts, or participate in hearings to determine the scope and validity of those patents or other proprietary rights. These types of proceedings are often costly and could be very time-consuming to us, and we cannot be certain that the deciding authorities will rule in our favor. An unfavorable decision could result in the invalidation or a limitation in the scope of our patents or forfeiture of the rights associated with our patents or pending patent applications. Any such decision could result in our key technologies not being protectable, allowing third parties to use our technology without being required to pay us licensing fees or may compel us to license needed technologies from third parties to avoid infringing third-party patent and proprietary rights. Such a decision could even result in the invalidation or a limitation in the scope of our patents or could cause us to lose our rights under existing issued patents or not to have rights granted under our pending patent applications.</w:t>
      </w:r>
    </w:p>
    <w:p>
      <w:pPr>
        <w:spacing w:after="0" w:line="21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also rely on trade secret protection for our confidential and proprietary information. Although we take steps to protect our proprietary information and trade secrets, including through contractual means with our employees and consultants, no assurances can be given that others will not independently develop substantially equivalent proprietary information and techniques or otherwise gain access to our trade secrets or disclose such technology, or that we can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838" w:right="1160" w:bottom="0" w:gutter="0" w:footer="0" w:header="0"/>
          <w:type w:val="continuous"/>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20"/>
          <w:szCs w:val="20"/>
          <w:color w:val="auto"/>
        </w:rPr>
        <w:t>disclosed to third parties except in specific circumstances. In the case of employees, the confidentiality agreements further provide that all inventions conceived by the individual will be our exclusive property. There can be no assurance, however, that these agreements will provide meaningful protection or adequate remedies for our trade secrets in the event of unauthorized use or disclosure of such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currently contract with various third parties for the manufacture of setmelanotide and intend to continue to do so in the future. We have entered into process development and manufacturing service agreements with our CMOs, including, PolyPeptide Group, Braine L’Alleud, or Polypeptide, Neuland Laboratories, and Astrea Monts S.A.S (formerly Recipharm), or Astrea, for certain process development and manufacturing services for regulatory starting materials and/or drug substance, or API, and drug product in connection with the manufacture of setmelanotide. We have also entered into commercial supply agreements, including with Polypeptide and Astrea for manufacturing of drug substance, or API, and drug product for IMCIVREE. Under our agreements, we pay these third parties for services and/or manufacturing in accordance with the terms of mutually agreed upon work orders, which we may enter into from time to time. We may need to engage additional third-party suppliers to manufacture our clinical and commercial drug supplies in the future. In connection with our commercialization of IMCIVREE or any future product candidate, we have engaged and could engage other third parties to assist in manufacturing and/or supply chain related activities. While there are a limited number of companies that can produce raw materials and API in the quantities and with the quality and purity that we require for our product, based on our diligence to date, we believe our current network of manufacturing partners are able to fulfill these requirements, and are capable of continuing to expand capacity as needed. Additionally, we have evaluated, and will continue to evaluate potential relationships with additional suppliers to increase overall capacity as well as further reduce risks associated with reliance on a limited number of suppliers for manufacturing.</w:t>
      </w:r>
    </w:p>
    <w:p>
      <w:pPr>
        <w:spacing w:after="0" w:line="2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Our contract manufacturing agreements give us visibility into the expected future cost of producing setmelanotide at commercial scale. Based upon a range of prices of currently-marketed therapies indicated for orphan diseases, we believe that our cost of goods for setmelanotide will continue to be highly competitive.</w:t>
      </w:r>
    </w:p>
    <w:p>
      <w:pPr>
        <w:spacing w:after="0" w:line="19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currently have no plans to build our own clinical or commercial scale manufacturing capabilities. To meet our projected needs for clinical supplies to support our activities through regulatory approval and commercial manufacturing, the CMOs with whom we currently work may need to increase scale of production or we expect that we may need to secure additional capacity or seek alternate suppliers. We believe that our current suppliers and CMOs are able to scale production to meet our clinical and commercial demands. Because we rely on these CMOs, we have personnel with pharmaceutical development and manufacturing experience who are responsible for maintaining our CMO relationships.</w:t>
      </w:r>
    </w:p>
    <w:p>
      <w:pPr>
        <w:spacing w:after="0" w:line="20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IMCIVREE is distributed in the United States through a specialty pharmacy and in the EU/UK through third-party service providers that deliver the medication to patients. We plan to continue building out our network for commercial distribution in jurisdictions in which IMCIVREE is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or NDA, process or by comparable foreign regulatory authorities through similar applications before it may be legally marketed in the United States and in foreign jurisdictions.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 Process</w:t>
      </w:r>
    </w:p>
    <w:p>
      <w:pPr>
        <w:spacing w:after="0" w:line="25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(FDCA) and its implementing regulations. The process of obtaining regulatory approvals and the subsequent compliance with appropriate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838" w:right="11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federal, state, local and foreign statutes and regulations require the expenditure of substantial time and financial resources.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by the FDA before a drug may be marketed in the United States generally involves the following:</w:t>
      </w:r>
    </w:p>
    <w:p>
      <w:pPr>
        <w:spacing w:after="0" w:line="230" w:lineRule="exact"/>
        <w:rPr>
          <w:sz w:val="20"/>
          <w:szCs w:val="20"/>
          <w:color w:val="auto"/>
        </w:rPr>
      </w:pPr>
    </w:p>
    <w:p>
      <w:pPr>
        <w:ind w:left="720" w:right="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certain of which must be conducted in accordance with FDA’s Good Laboratory Practice requirements and other applicable regulations;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at each clinical site before each trial may be initiated;</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practices (GCPs), to establish the safety and efficacy of the proposed drug for its intended use;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and submission to the FDA of an NDA after completion of all pivotal trials;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an NDA to file the application for review</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250"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p>
      <w:pPr>
        <w:spacing w:after="0" w:line="20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to permit commercial marketing of the product for particular indications for use in the United States.</w:t>
      </w:r>
    </w:p>
    <w:p>
      <w:pPr>
        <w:spacing w:after="0" w:line="181"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Prior to beginning the first clinical trial with a product candidate in the United States, a sponsor must submit an IND to the FDA. An IND is a request for allowance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allowance to begin a clinical trial.</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GCPs, which among other things,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1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838" w:right="1160" w:bottom="0" w:gutter="0" w:footer="0" w:header="0"/>
          <w:type w:val="continuous"/>
        </w:sectPr>
      </w:pPr>
    </w:p>
    <w:bookmarkStart w:id="45" w:name="page46"/>
    <w:bookmarkEnd w:id="45"/>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250" w:lineRule="exact"/>
        <w:rPr>
          <w:sz w:val="20"/>
          <w:szCs w:val="20"/>
          <w:color w:val="auto"/>
        </w:rPr>
      </w:pPr>
    </w:p>
    <w:p>
      <w:pPr>
        <w:jc w:val="both"/>
        <w:ind w:left="720" w:right="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03"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03"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Review and Approval Process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19"/>
          <w:szCs w:val="19"/>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838" w:right="1160" w:bottom="0" w:gutter="0" w:footer="0" w:header="0"/>
          <w:type w:val="continuous"/>
        </w:sectPr>
      </w:pPr>
    </w:p>
    <w:bookmarkStart w:id="46" w:name="page47"/>
    <w:bookmarkEnd w:id="46"/>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ensure consistent production of the product within required specifications. Additionally, before approving an NDA, the FDA will typically inspect one or more clinical sites to assure compliance with GCPs.</w:t>
      </w:r>
    </w:p>
    <w:p>
      <w:pPr>
        <w:spacing w:after="0" w:line="204"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21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2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25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application may be eligible for priority review. An NDA for a Fast Track product candidate may also be eligible for rolling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838" w:right="1160" w:bottom="0" w:gutter="0" w:footer="0" w:header="0"/>
          <w:type w:val="continuous"/>
        </w:sectPr>
      </w:pPr>
    </w:p>
    <w:bookmarkStart w:id="47" w:name="page48"/>
    <w:bookmarkEnd w:id="47"/>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25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210"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19"/>
          <w:szCs w:val="19"/>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approved indication or use for seven years, except in limited circumstances, such as a showing of clinical superiority to the product with orphan drug exclusivity within the relevant indication or use or if the FDA finds that the holder of the orphan drug exclusivity has not shown that it can assure the availability of sufficient quantities of the orphan drug to meet the needs relating to the approved indication or use of patients with the disease or condition for which the drug was designated.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838" w:right="1160" w:bottom="0" w:gutter="0" w:footer="0" w:header="0"/>
          <w:type w:val="continuous"/>
        </w:sectPr>
      </w:pPr>
    </w:p>
    <w:bookmarkStart w:id="48" w:name="page49"/>
    <w:bookmarkEnd w:id="4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Orphan drug exclusivity does not prevent the FDA from approving a different drug for the same indication or use, or the same drug for any indication or use within a different disease or condition. Among the other benefits of orphan drug designation are tax credits for certain research and a waiver of the NDA application user fee.</w:t>
      </w:r>
    </w:p>
    <w:p>
      <w:pPr>
        <w:spacing w:after="0" w:line="195"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relating to the approved indication or use of patients with the rare disease or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5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8" w:lineRule="exact"/>
        <w:rPr>
          <w:sz w:val="20"/>
          <w:szCs w:val="20"/>
          <w:color w:val="auto"/>
        </w:rPr>
      </w:pPr>
    </w:p>
    <w:p>
      <w:pPr>
        <w:ind w:left="720" w:right="20" w:hanging="37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holds on clinical studies;</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5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838" w:right="1160" w:bottom="0" w:gutter="0" w:footer="0" w:header="0"/>
          <w:type w:val="continuous"/>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Exclusivity</w:t>
      </w:r>
    </w:p>
    <w:p>
      <w:pPr>
        <w:spacing w:after="0" w:line="25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including, for example, new indications or dosages ,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9"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Pediatric exclusivity is another type of marketing exclusivity available in the United States. Pediatric exclusivity provides for an additional six months of marketing exclusivity attached to existing periods of regulatory exclusivity if a sponsor conducts clinical trials in children in response to a written request from the FDA. The issuance of a written request from the FDA does not require the sponsor to undertake the described clinical trials. In addition, orphan drug exclusivity, as described above, may offer a seven-year period of marketing exclusivity, except in certain circumstances.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and Regulation of Companion Diagnostics</w:t>
      </w:r>
    </w:p>
    <w:p>
      <w:pPr>
        <w:spacing w:after="0" w:line="25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If safe and effective use of a therapeutic product depends on an in vitro diagnostic medical device, then the FDA generally will require approval or clearance of that diagnostic, known as an in vitro companion diagnostic device, at the same time that the FDA approves the therapeutic product. In August 2014, the FDA issued final guidance clarifying the requirements that will apply to approval of therapeutic products and in vitro companion diagnostic devices. According to the guidance, for novel drugs, an in vitro companion diagnostic device and its corresponding therapeutic should be approved or cleared contemporaneously by the FDA for the use indicated in the therapeutic product’s labeling.</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If the FDA determines that an in vitro companion diagnostic device is essential to the safe and effective use of a novel therapeutic product or indication, the FDA generally will not approve the therapeutic product or new therapeutic product indication if the in vitro companion diagnostic device is not approved or cleared for that indication. Approval or clearance of the in vitro companion diagnostic device will ensure that the device has been adequately evaluated and has adequate performance characteristics in the intended population.</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Under the FDCA, in vitro diagnostics, including in vitro companion diagnostic devices, are generally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838" w:right="1160" w:bottom="0" w:gutter="0" w:footer="0" w:header="0"/>
          <w:type w:val="continuous"/>
        </w:sectPr>
      </w:pPr>
    </w:p>
    <w:bookmarkStart w:id="50" w:name="page51"/>
    <w:bookmarkEnd w:id="50"/>
    <w:p>
      <w:pPr>
        <w:jc w:val="both"/>
        <w:spacing w:after="0" w:line="281" w:lineRule="auto"/>
        <w:rPr>
          <w:sz w:val="20"/>
          <w:szCs w:val="20"/>
          <w:color w:val="auto"/>
        </w:rPr>
      </w:pPr>
      <w:r>
        <w:rPr>
          <w:rFonts w:ascii="Times New Roman" w:cs="Times New Roman" w:eastAsia="Times New Roman" w:hAnsi="Times New Roman"/>
          <w:sz w:val="20"/>
          <w:szCs w:val="20"/>
          <w:color w:val="auto"/>
        </w:rPr>
        <w:t>distribution, export and import, and post-market surveillance. Unless an exemption applies, diagnostic tests require marketing clearance or approval from the FDA prior to commercial distribution.</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After an in vitro device is authorized by the FDA and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Management System Regulation (QMSR), which among other things, sets forth the methods and documentation of the design, testing, production, processes, controls, quality assurance, labeling, packaging and shipping of medical devices. Manufacturing sites for devices also remain subject to periodic unscheduled inspections by the FDA.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Combination Products in the United States</w:t>
      </w:r>
    </w:p>
    <w:p>
      <w:pPr>
        <w:spacing w:after="0" w:line="25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In reviewing the NDA for such a product, however, FDA reviewers would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QMSR applicable to medical devices.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to regulations in the United States, we will be subject to a variety of foreign regulations governing clinical trials and commercial sales and distribution of setmelanotide to the extent we choose to sell any setmelanotide outside of the United States. Whether or not we obtain FDA approval for a product, we must obtain approval of a product by equivalent competent authorities in foreign jurisdictions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pharmacovigilance, promotion, advertising or distribution would apply to any product that is approved outside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and Procedures Governing Marketing Authorization of Medicinal Products in the European Union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Non-clinical studies and clinical trials</w:t>
      </w:r>
    </w:p>
    <w:p>
      <w:pPr>
        <w:spacing w:after="0" w:line="25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Similarly to the United States, the various phases of non-clinical and clinical research in the EU are subject to significant regulatory controls.</w:t>
      </w:r>
    </w:p>
    <w:p>
      <w:pPr>
        <w:spacing w:after="0" w:line="18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Non-clinical studies are performed to demonstrate the health or environmental safety of new biological substances. Non-clinical (pharmaco-toxicological) studies must be conducted in compliance with the principles of good laboratory practice as set forth in EU Directive 2004/10/EC (unless otherwise justified for certain particular medicinal products, e.g., radio-pharmaceutical precursors for radio-labeling purposes) . In particular, non-clinical studies, both in vitro and in vivo, must be planned, performed, monitored, recorded, reported and archived in accordance with the good laboratory practices, which define a set of rules and criteria for a quality system for the organizational process and the conditions for non-clinical studies. These global laboratory practices reflect the Organization for Economic Co-operation and Development requirements.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838" w:right="1160" w:bottom="0" w:gutter="0" w:footer="0" w:header="0"/>
          <w:type w:val="continuous"/>
        </w:sectPr>
      </w:pPr>
    </w:p>
    <w:bookmarkStart w:id="51" w:name="page52"/>
    <w:bookmarkEnd w:id="51"/>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20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21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CTR transition period ended on January 31, 2025, and all clinical trials (and related applications) are now fully subject to the provisions of the CTR.</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Medicines used in clinical trials must be manufactured in accordance with Good Manufacturing Practice (GMP).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national and EU-wide regulatory requirements may also apply.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Authorizations</w:t>
      </w:r>
    </w:p>
    <w:p>
      <w:pPr>
        <w:spacing w:after="0" w:line="25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the EU, medicinal product candidates can only be commercialized after obtaining a marketing authorization, (MA). To obtain regulatory approval of a product candidate in the EU, we must submit an MA application, (MAA). The process for doing this depends, among other things, on the nature of the medicinal product.</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are two types of MAs:</w:t>
      </w:r>
    </w:p>
    <w:p>
      <w:pPr>
        <w:spacing w:after="0" w:line="250" w:lineRule="exact"/>
        <w:rPr>
          <w:sz w:val="20"/>
          <w:szCs w:val="20"/>
          <w:color w:val="auto"/>
        </w:rPr>
      </w:pPr>
    </w:p>
    <w:p>
      <w:pPr>
        <w:jc w:val="both"/>
        <w:ind w:left="720" w:right="20" w:hanging="370"/>
        <w:spacing w:after="0" w:line="269"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“Centralized MAs” are issued by the European Commission (EC) through the centralized procedure, based on the opinion of the Committee for Medicinal Products for Human Use (CHMP) of the European Medicines Agency (EMA) and are valid throughout the EU. The centralized procedure is mandatory for certain types of products, such as (i) medicinal products derived from biotechnological processes, (ii) designated orphan medicinal products,</w:t>
      </w:r>
    </w:p>
    <w:p>
      <w:pPr>
        <w:jc w:val="both"/>
        <w:ind w:left="720" w:hanging="10"/>
        <w:spacing w:after="0" w:line="252" w:lineRule="auto"/>
        <w:tabs>
          <w:tab w:leader="none" w:pos="113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therapy medicinal products (ATMPs) such as gene therapy, somatic cell-therapy or tissue-engineered medicines, and (iv) medicinal products containing a new active substance indicated for the treatment certain diseases, such as HIV/AIDS, cancer, neurodegenerative diseases, diabetes, auto-immune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210" w:lineRule="exact"/>
        <w:rPr>
          <w:rFonts w:ascii="Times New Roman" w:cs="Times New Roman" w:eastAsia="Times New Roman" w:hAnsi="Times New Roman"/>
          <w:sz w:val="20"/>
          <w:szCs w:val="20"/>
          <w:color w:val="auto"/>
        </w:rPr>
      </w:pPr>
    </w:p>
    <w:p>
      <w:pPr>
        <w:jc w:val="both"/>
        <w:ind w:left="720" w:right="20" w:hanging="370"/>
        <w:spacing w:after="0" w:line="272"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838" w:right="1160" w:bottom="0" w:gutter="0" w:footer="0" w:header="0"/>
          <w:type w:val="continuous"/>
        </w:sectPr>
      </w:pPr>
    </w:p>
    <w:bookmarkStart w:id="52" w:name="page53"/>
    <w:bookmarkEnd w:id="52"/>
    <w:p>
      <w:pPr>
        <w:ind w:left="720" w:right="20"/>
        <w:spacing w:after="0" w:line="281" w:lineRule="auto"/>
        <w:rPr>
          <w:sz w:val="20"/>
          <w:szCs w:val="20"/>
          <w:color w:val="auto"/>
        </w:rPr>
      </w:pPr>
      <w:r>
        <w:rPr>
          <w:rFonts w:ascii="Times New Roman" w:cs="Times New Roman" w:eastAsia="Times New Roman" w:hAnsi="Times New Roman"/>
          <w:sz w:val="20"/>
          <w:szCs w:val="20"/>
          <w:color w:val="auto"/>
        </w:rPr>
        <w:t>is submitted to the competent authorities of each of the member states in which the MA is sought, one of which is selected by the applicant as the reference member state.</w:t>
      </w:r>
    </w:p>
    <w:p>
      <w:pPr>
        <w:spacing w:after="0" w:line="18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 MA has an initial validity for five years in principle. The MA may be renewed after five years on the basis of a re-evaluation of the risk-benefit balance by the EMA or by the competent authority of the EU member state. To this end, the MA holder must provide the EMA or the competent authority with a consolidated version of the file in respect of quality, safety and efficacy, including all variations introduced since the MA was granted, at least six months before the MA ceases to be valid. The European Commission or the competent authorities of the EU member states may decide, on justified grounds relating to pharmacovigilance, to proceed with one further five year period of MA. Once subsequently definitively renewed, the MA shall be valid for an unlimited period. Any authorization which is not followed by the actual placing of the medicinal product on the EU market or on the market of the authorizing EU member state(s) within three years after authorization ceases to be valid (the so-called “sunset clause”).</w:t>
      </w:r>
    </w:p>
    <w:p>
      <w:pPr>
        <w:spacing w:after="0" w:line="209"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Under the centralized procedure, the maximum timeframe for the evaluation of an MAA by the CHMP is 210 days, excluding clock stops, when additional information or written or oral explanation is to be provided by the applicant in response to questions of the CHMP.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In March 2016, the EMA launched an initiative, the Priority Medicines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15"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for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and marketing exclusivity</w:t>
      </w:r>
    </w:p>
    <w:p>
      <w:pPr>
        <w:spacing w:after="0" w:line="25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EU also provides opportunities for market exclusivity. Upon receiving MA, reference product candidates generally receive eight years of data exclusivity and an additional two years of market exclusivity. If granted, the data exclusivity period prevents applicants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market exclusivity period, an application for a generic or biosimilar MA can be submitted and a related MA may be granted, and the innovator’s data may be referenced, but no generic or biosimilar can be placed on the EU market until 10 years have elapsed from the initial MA of the reference product in the EU. The overall ten-year period can be extended to a maximum of eleven years if, during the first eight years of those ten years, the MA holder obtains an authorization for one or more new therapeutic indications which, during the scientific evaluation prior to their authorization, are held to bring 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838" w:right="1160" w:bottom="0" w:gutter="0" w:footer="0" w:header="0"/>
          <w:type w:val="continuous"/>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Medicinal Products</w:t>
      </w:r>
    </w:p>
    <w:p>
      <w:pPr>
        <w:spacing w:after="0" w:line="254"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The criteria for designating an “orphan medicinal product” in the EU are similar in principle to those in the United States. Regulation (EC) No. 141/2000, as implemented by Regulation (EC) No. 847/2000 provides that a medicinal product can be designated as an orphan if its sponsor can establish that: (1) the product is intended for the diagnosis, prevention or treatment of a life threatening or chronically debilitating condition; (2) either (a) such condition affects not more than five in ten thousand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in the EU or, if such method exists, the medicinal product will be of significant benefit to those affected by that condition.</w:t>
      </w:r>
    </w:p>
    <w:p>
      <w:pPr>
        <w:spacing w:after="0" w:line="19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the EU, an application for designation as an orphan product can be made any time prior to the filing of the application for MA. Orphan designation entitles a party to incentives such fee reductions or fee waivers, protocol assistance, and access to the centralized procedure. Once authorized, orphan medicinal products are entitled to a ten-years period of market exclusivity for the approved therapeutic indication, which means that the competent authorities cannot accept another MAA, or grant a MA, or accept an application to extend a MA for a similar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20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orphan exclusivity period may, however,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Granting of an authorization for another similar orphan medicinal product where another product has market exclusivity can happen at any time if: (i) the second applicant can establish that its product, although similar to the authorized product, is safer, more effective or otherwise clinically superior, (ii) inability of the applicant to supply sufficient quantities of the orphan medicinal product or (iii) where the applicant consents to a second orphan medicinal product application. A company may voluntarily remove a product from the orphan register.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Development</w:t>
      </w:r>
    </w:p>
    <w:p>
      <w:pPr>
        <w:spacing w:after="0" w:line="254"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EU, MAAs for new medicinal products have to include the results of trials conducted in the pediatric population, in compliance with a PIP agreed with the EMA’s Pediatric Committee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5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838" w:right="1160" w:bottom="0" w:gutter="0" w:footer="0" w:header="0"/>
          <w:type w:val="continuous"/>
        </w:sectPr>
      </w:pPr>
    </w:p>
    <w:bookmarkStart w:id="54" w:name="page55"/>
    <w:bookmarkEnd w:id="54"/>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20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21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aforementioned EU rules are generally applicable in the European Economic Area (EEA) which consists of the 27 EU member states plus Norway, Liechtenstein and Iceland.</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Combination Products in the European Union</w:t>
      </w:r>
    </w:p>
    <w:p>
      <w:pPr>
        <w:spacing w:after="0" w:line="25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EU Medical Devices Regulation (including the general safety and performance requirements provided in Annex I).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213"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19"/>
          <w:szCs w:val="19"/>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9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requirements regarding quality documentation for medicinal products when used with a medical device, including single integral products, co-packaged and referenced products, are outlined in the EMA guideline of July 22, 2021, which became effective on January 1, 2022.</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aforementioned EU rules are generally applicable in the EEA.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838" w:right="11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Companion Diagnostics in the European Union</w:t>
      </w:r>
    </w:p>
    <w:p>
      <w:pPr>
        <w:spacing w:after="0" w:line="25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the EU, in vitro diagnostic medical devices were regulated by Directive 98/79/EC (IVDD) which regulated the placing on the market, the CE marking, the essential requirements, the conformity assessment procedures, the registration obligations for manufactures and devices as well as the vigilance procedure. In vitro diagnostic medical devices had to comply with the requirements provided for in the IVDD, and with further requirements implemented at national level (as the case may be).</w:t>
      </w:r>
    </w:p>
    <w:p>
      <w:pPr>
        <w:spacing w:after="0" w:line="20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regulation of companion diagnostics is subject to further requirements since the in vitro diagnostic medical devices Regulation No 2017/746 (IVDR) became applicable on May 26, 2022. Following subsequent legislative changes, European institutions adopted a “progressive” roll-out of the IVDR to prevent disruption in the supply of in vitro diagnostic medical devices. The IVDR fully applies since May 26, 2022 but there is a tiered system extending the grace period for many devices (depending on their risk classification) before they have to be fully compliant with the IVDR.</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a national competent authority or the EMA.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aforementioned EU rules are generally applicable in the EEA.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Framework in the United Kingdom</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Following the end of the Brexit transition period on January 1, 2021 and the implementation of the Windsor Framework on January 1, 2025, the UK is not generally subject to EU laws in respect of medicines. EU laws which have been transposed into UK law through secondary legislation continue to be applicable as “retained EU law”, however new EU legislation such as the EU CTR is not applicable in the UK.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As of January 1, 2021, the Medicines and Healthcare products Regulatory Agency (MHRA) is the UK’s standalone medicines and medical devices regulator. As a result of the Northern Ireland Protocol, different rules applied in Northern Ireland than in England, Wales, and Scotland, together, Great Britain (GB); broadly, Northern Ireland continued to follow the EU regulatory regime for a period of time after Brexit. However, on January 1, 2025 an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UK regulatory framework in relation to clinical trials is governed by the Medicines for Human Use (Clinical Trials) Regulations 2004, as amended, which is derived from the EU Clinical Trials Directive, as implemented into UK national law through secondary legislation.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MHRA has introduced changes to national licensing procedures, including procedures to prioritize access to new medicines that will benefit patients, including a 150-day assessment and a rolling review procedure. In order to use the centralized procedure to obtain an MA that will be valid throughout the EEA, companies must be established in the EEA. Therefore after Brexit, companies established in the UK can no longer use the centralized procedure and instead must follow one of the UK national authorization procedures or one of the remaining post-Brexit international cooperation procedures to obtain an MA to commercialize products in the UK. An international recognition framework has been in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1180" w:top="834" w:right="1160" w:bottom="0" w:gutter="0" w:footer="0" w:header="0"/>
          <w:type w:val="continuous"/>
        </w:sectPr>
      </w:pPr>
    </w:p>
    <w:bookmarkStart w:id="56" w:name="page57"/>
    <w:bookmarkEnd w:id="5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place since January 1, 2024, whereby the MHRA will have regard to decisions on the approval of MAs made by the EMA and certain other regulators when determining an application for a new UK MA.</w:t>
      </w:r>
    </w:p>
    <w:p>
      <w:pPr>
        <w:spacing w:after="0" w:line="18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Furthermore, the regulations on medical devices and in vitro diagnostic medical devices in Great Britain continue to be based largely on the three EU Directives (Directive 93/42/EEC (EU Medical Devices Directive), Directive 90/385/ EEC, and (EU) IVDD) which preceded the EU Medical Devices Regulation, as implemented into national law by the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Medical Devices Regulations 2002</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(SI 2002 No 618, as amended) (UK Medical Devices Regulations). However, under the terms of the Ireland/Northern Ireland Protocol, the EU Medical Devices Regulation and the (EU) IVDR apply to Northern Ireland.</w:t>
      </w:r>
    </w:p>
    <w:p>
      <w:pPr>
        <w:spacing w:after="0" w:line="206" w:lineRule="exact"/>
        <w:rPr>
          <w:sz w:val="20"/>
          <w:szCs w:val="20"/>
          <w:color w:val="auto"/>
        </w:rPr>
      </w:pPr>
    </w:p>
    <w:p>
      <w:pPr>
        <w:jc w:val="both"/>
        <w:ind w:right="20" w:firstLine="720"/>
        <w:spacing w:after="0" w:line="251" w:lineRule="auto"/>
        <w:rPr>
          <w:sz w:val="20"/>
          <w:szCs w:val="20"/>
          <w:color w:val="auto"/>
        </w:rPr>
      </w:pPr>
      <w:r>
        <w:rPr>
          <w:rFonts w:ascii="Times New Roman" w:cs="Times New Roman" w:eastAsia="Times New Roman" w:hAnsi="Times New Roman"/>
          <w:sz w:val="20"/>
          <w:szCs w:val="20"/>
          <w:color w:val="auto"/>
        </w:rPr>
        <w:t>On June 16, 2025, an amendment to the UK Medical Devices Regulations came into force intended to clarify and strengthen the post-market surveillance requirements for medical devices and in vitro diagnostic medical devices in Great Britain. In addition, the MHRA launched a consultation from November 14, 2024 to January 5, 2025 on proposals to update the pre-market requirements for such devices in Great Britain. On July 22, 2025, the MHRA published a response to the consultation confirming that it will incorporate feedback to this consultation into new UK legislation on pre-market requirements for such devices in Great Britain. A draft of the new legislation is expected this year. Under the UK Medical Devices Regulations, in order to be lawfully placed on the Great Britain market, Class I (non-sterile, non-measuring or non-re-useable) medical devices and general in vitro diagnostic medical devices need to be self-certified, in accordance with United Kingdom Conformity Assessment (UKCA), and other medical devices and in vitro diagnostic medical devices need to be “UKCA” certified by a UK approved body. However, certain medical devices in compliance with the EU Medical Devices Directive can continue to be placed on the Great Britain market until the sooner of certificate expiration or June 30, 2028, while certain medical devices in compliance with the EU Medical Devices Regulation can continue to be placed on the Great Britain market until June 30, 2030. In addition, certain in vitro diagnostic medical devices in compliance with the (EU) IVDD can continue to be placed on the Great Britain market until the sooner of certificate expiration or June 30, 2030; while certain in vitro diagnostic medical devices in compliance with the (EU) IVDR can continue to be placed on the Great Britain market until June 30, 2030. The MHRA has confirmed that it intends to launch a consultation regarding the indefinite recognition of such devices in Great Britain. Medical devices and in vitro diagnostic medical devices also need to bear a physical UKCA mark in order to be lawfully placed on the Great Britain market. However, the MHRA has confirmed in its response to the consultation on pre-market requirements for such devices that it intends to remove the requirement for such devices and their labeling (i.e. packaging and instructions for use) in Great Britain to bear a physical UKCA mark. Instead of requiring a medical device and an in vitro diagnostic medical device and their labeling to bear a UKCA mark, manufacturers would be required to assign a unique design identification (UDI) to such devices and their labeling and register the UDI in a publicly accessible database before such devices are placed on the Great Britain market. If this change is implemented, we may no longer be required to affix the physical UKCA mark to our medical devices and our in vitro diagnostic medical devices, but we may need to assign and affix a UDI, and register the UDI in a publicly accessible database.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Pharmaceutical Coverage and Reimbursement</w:t>
      </w:r>
    </w:p>
    <w:p>
      <w:pPr>
        <w:spacing w:after="0" w:line="2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who are prescribed treatments for their conditions and providers performing the prescribed services generally rely on Government and third-party payors to reimburse all or part of the associated healthcare costs. Patients are unlikely to use IMCIVREE unless coverage is provided and reimbursement is adequate to cover a significant portion of the cost of our products. Significant uncertainty exists as to the coverage and reimbursement status of products approved by the FDA and other government authorities. Sales will depend, in part, on the extent to which third-party payors, including government health programs in the United States such as Medicare and Medicaid, commercial health insurers and managed care organizations, provide coverage, and establish adequate reimbursement for, IMCIVREE and other product candidates we may develop and obtain approval for in the future.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180" w:top="838" w:right="1160" w:bottom="0" w:gutter="0" w:footer="0" w:header="0"/>
          <w:type w:val="continuous"/>
        </w:sectPr>
      </w:pPr>
    </w:p>
    <w:bookmarkStart w:id="57" w:name="page58"/>
    <w:bookmarkEnd w:id="57"/>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products on an approved list, also known as a formulary, which might not include all of the approved products for a particular indication.</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setmelanotide may not be considered medically necessary or cost effective. A decision by a third-party payor not to cover IMCIVREE or any of our product candidates, if approved, could reduce physician utilization of our products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containment of healthcare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Outside the United States, ensuring adequate coverage and payment for setmelanotide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setmelanotide or products to other available therapies. The conduct of such a clinical trial could be expensive and result in delays in our commercialization efforts. We are also enrolled in the Medicaid Drug Rebate Program and other governmental pricing programs, and have price reporting and payment obligations under these programs.</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EU, pricing and reimbursement schemes vary widely from one member state to another. Some member states may require the completion of additional studies that compare the cost-effectiveness of a particular medicinal product candidate to currently available therapies or so called Health Technology Assessments (HTA),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The downward pressure on healthcare costs in general, and particularly in relation to prescription only medicinal products, has become more intense. As a result, increasingly high barriers are being erected to the entry of new products.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HTA of medicinal products is, however, becoming an increasingly common part of the pricing and reimbursement procedures in some EU member states, including France, Germany, Ireland, Italy, Spain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varies between EU member states. In addition, pursuant to Directive 2011/24/EU on the application of patients’ rights in cross-border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180" w:top="838" w:right="1160" w:bottom="0" w:gutter="0" w:footer="0" w:header="0"/>
          <w:type w:val="continuous"/>
        </w:sectPr>
      </w:pPr>
    </w:p>
    <w:bookmarkStart w:id="58" w:name="page59"/>
    <w:bookmarkEnd w:id="5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account in the conduct of HTAs between EU member states and in pricing and reimbursement decisions and may negatively affect price in at least some EU member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Laws and Regulations</w:t>
      </w:r>
    </w:p>
    <w:p>
      <w:pPr>
        <w:spacing w:after="0" w:line="25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are subject to healthcare regulation and enforcement by the federal government and the states where we conduct business. These laws include, without limitation, state and federal anti-kickback, fraud and abuse, false claims, and physician and other healthcare provider payment transparency laws and regulations. Foreign governments also have comparable regulations.</w:t>
      </w:r>
    </w:p>
    <w:p>
      <w:pPr>
        <w:spacing w:after="0" w:line="20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these statutes or specific intent to violate them to have committed a violation. The majority of states also have anti-kickback laws which establish similar prohibitions and in some cases may apply to items or services reimbursed by any third-party payor, including commercial insurers.</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In addition, the government may assert 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in connection with the promotion of products for unapproved uses and other sales and marketing practices. The government has obtained multi-billion dollar settlements under the False Claims Act in addition to individual criminal convictions under applicable criminal statutes. We expect that the government will continue to devote substantial resources to investigating healthcare providers’ and manufacturers’ compliance with applicable fraud and abuse laws.</w:t>
      </w:r>
    </w:p>
    <w:p>
      <w:pPr>
        <w:spacing w:after="0" w:line="21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created new federal criminal statutes that prohibit, among other things, knowingly and willfully executing a scheme to defraud any healthcare benefit program and making false statements relating to healthcare matters. Similar to the federal Anti-Kickback Statute, a person or entity does not need to have actual knowledge of these statutes or specific intent to violate them to have committed a violation.</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federal civil monetary penalties laws,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there has been increased federal and state regulation of payments made to physicians and other healthcare providers. The Physician Payments Sunshine Act imposes new reporting requirements on drug manufacturers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Drug manufacturers must report such payments to the government by the 90th day of each calendar year.</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State and foreign laws and regulations restrict business practices in the pharmaceutical industry and complicate our compliance efforts. For example, some states require companies to comply with the pharmaceutical industry’s voluntary compliance guidelines and the federal government’s compliance guidance or otherwise restrict payments to healthcare providers and other potential referral sources. Some states require manufacturers to file reports relating to pricing and marketing information. Some state and local governments require the public registration of pharmaceutical sales representatives. Certain states also mandate implementation of commercial compliance programs, impose restrictions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180" w:top="838" w:right="1160" w:bottom="0" w:gutter="0" w:footer="0" w:header="0"/>
          <w:type w:val="continuous"/>
        </w:sectPr>
      </w:pPr>
    </w:p>
    <w:bookmarkStart w:id="59" w:name="page60"/>
    <w:bookmarkEnd w:id="59"/>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 drug manufacturer marketing practices and/or require the tracking and reporting of gifts, compensation and other remuneration to physicians.</w:t>
      </w:r>
    </w:p>
    <w:p>
      <w:pPr>
        <w:spacing w:after="0" w:line="18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Violation of any of such laws or any other governmental regulations that may apply to drug manufacturers may result in penalties, including, without limitation, civil and criminal penalties, damages, fines, the curtailment or restructuring of our operations, exclusion from participation in federal and state healthcare programs and imprisonment.</w:t>
      </w:r>
    </w:p>
    <w:p>
      <w:pPr>
        <w:spacing w:after="0" w:line="19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the EU, interactions between pharmaceutical companies and physicians are also governed by strict laws, regulations, industry self-regulation codes of conduct and physicians’ codes of professional conduct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national laws (including anti-bribery laws) of the EU member states. In the UK, the UK Bribery Act 2010 applies to any company incorporated in or “carrying on business”, irrespective of where in the world the alleged bribery activity occurs. This Act could have implications for our interactions with physicians in and outside the UK. Violation of these laws could result in substantial fines and imprisonment.</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Payments made to physicians in certain EU member states must be publicly disclosed. Moreover, agreements with physicians must often be the subject of prior notification and/or approval by the physician’s employer, their competent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Failure to comply with the EU legislation and national laws on medicinal products including on the promotion of medicinal products, interactions with physicians, misleading and comparative advertising and unfair commercial practices, statutory health insurance, bribery and anti-corruption or with other applicable regulatory requirements can result in enforcement action by the EU member state authorities, which may include any of the following: fines, imprisonment, orders forfeiting products or prohibiting or suspending their supply to the market, or requiring the manufacturer to issue public warnings, or to conduct a product recall.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w:t>
      </w:r>
    </w:p>
    <w:p>
      <w:pPr>
        <w:spacing w:after="0" w:line="25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By way of example, the United States and state governments continue to propose and pass legislation designed to reduce the cost of healthcare. The Affordable Care Act, or the ACA, was enacted in 2010 and, among other things, included changes to the coverage and payment for products under government health care programs. Among the provisions of the ACA of importance to IMCIVREE and our potential drug candidates are:</w:t>
      </w:r>
    </w:p>
    <w:p>
      <w:pPr>
        <w:spacing w:after="0" w:line="203" w:lineRule="exact"/>
        <w:rPr>
          <w:sz w:val="20"/>
          <w:szCs w:val="20"/>
          <w:color w:val="auto"/>
        </w:rPr>
      </w:pPr>
    </w:p>
    <w:p>
      <w:pPr>
        <w:jc w:val="both"/>
        <w:ind w:left="720" w:right="20" w:hanging="370"/>
        <w:spacing w:after="0" w:line="26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180" w:top="838" w:right="1160" w:bottom="0" w:gutter="0" w:footer="0" w:header="0"/>
          <w:type w:val="continuous"/>
        </w:sectPr>
      </w:pPr>
    </w:p>
    <w:bookmarkStart w:id="60" w:name="page61"/>
    <w:bookmarkEnd w:id="60"/>
    <w:p>
      <w:pPr>
        <w:jc w:val="both"/>
        <w:ind w:left="720" w:right="20" w:hanging="37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manufacturers’ rebate liability under the Medicaid Drug Rebate Program by increasing the minimum rebate for both branded and generic drugs, revising the definition of “average manufacturer price,” or AMP, and extending manufacturer rebate liability from fee-for-service Medicaid utilization to include utilization of Medicaid managed care organizations as well;</w:t>
      </w:r>
    </w:p>
    <w:p>
      <w:pPr>
        <w:spacing w:after="0" w:line="203"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20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Patient-Centered Outcomes Research Institute to oversee, identify priorities in, and conduct comparative clinical effectiveness research, along with funding for such research; and</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the Center for Medicare and Medicaid Innovation within CMS to test innovative payment and service delivery models to lower Medicare and Medicaid spending, potentially including prescription drug spending.</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20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other legislative and regulatory changes have been proposed and adopted in the United States since the ACA was enacted. These changes included an aggregate reduction in Medicare payments to providers, which went into effect on April 1, 2013 and will remain in effect through 2032,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spacing w:after="0" w:line="213"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Inflation Reduction Act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the pharmaceutical industry cannot yet be fully determined, it is likely to be significant.</w:t>
      </w:r>
    </w:p>
    <w:p>
      <w:pPr>
        <w:spacing w:after="0" w:line="21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IMCIVREE or any other product candidate that we commercialize.</w:t>
      </w:r>
    </w:p>
    <w:p>
      <w:pPr>
        <w:spacing w:after="0" w:line="203"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19"/>
          <w:szCs w:val="19"/>
          <w:color w:val="auto"/>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180" w:top="838" w:right="1160" w:bottom="0" w:gutter="0" w:footer="0" w:header="0"/>
          <w:type w:val="continuous"/>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0"/>
          <w:szCs w:val="20"/>
          <w:color w:val="auto"/>
        </w:rPr>
        <w:t>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disclosure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new laws and the regulations and policies implementing them, as well as other healthcare-related measures that may be adopted in the future, could materially reduce our ability to develop and commercialize IMCIVREE and our product candidates, if approved.</w:t>
      </w:r>
    </w:p>
    <w:p>
      <w:pPr>
        <w:spacing w:after="0" w:line="21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EU, on December 15,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expanding the reach of Rhythm across many fronts - the number of addressable patients, indications, geographies, pipeline assets and employees – and we fully recognize that having the talent, experience and expertise is crucial to do so. With a disciplined, sustainable, and resilient approach, we are working to execute on a global strategy built on translational research and clinical development expertise, global regulatory capabilities, and proven commercial and market access successes. As of February 1, 2026, we had 414 employees – including 126 employees in 11 countries outside of North America, and we believe our employees are committed to learning from and collaborating with each other, each contributing to our mission. In 2025, the number of employees increased by 43 percent and we are proud to have achieved a rolling turnover rate that declined to 8 percent. We believe we are recruiting and onboarding high quality talent in a competitive biotech environment, and our employees are choosing to stay and grow at Rhythm. We have been named to The Boston Globe’s Top Places to Work in Massachusetts list for three consecutive years, in 2023, 2024 and 2025.</w:t>
      </w:r>
    </w:p>
    <w:p>
      <w:pPr>
        <w:spacing w:after="0" w:line="21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believe that our future success largely depends upon our continued ability to attract, hire and retain highly skilled employees. We emphasize several measures and objectives in managing our human capital assets, including, among others, employee engagement and belonging, development and training, talent acquisition and retention, employee wellness, inclusion, and competitive compensation and pay equity. We frequently assess the external market with the aim to provide our employees with competitive salaries, bonuses, opportunities for equity ownership, development opportunities that enable continued learning and growth and a robust employment package that promotes well-being across various aspects of their lives, including health care, retirement planning and paid time off. In addition, we regularly collect employee feedback in an effort to ensure open communication, measure employee engagement and identify opportunities for improvement. We maintain efforts to ensure our employees are enabled to take advantage of flexible working arrangements.</w:t>
      </w:r>
    </w:p>
    <w:p>
      <w:pPr>
        <w:spacing w:after="0" w:line="2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believe that developing an inclusive culture is critical to continuing to attract and retain the top talent necessary to deliver on our growth strategy. As such, we are investing in a work environment where our employees feel inspired and included; it is our policy to pursue the best talent and to not make employment (including hiring, promotion,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00"/>
          </w:cols>
          <w:pgMar w:left="1180" w:top="838" w:right="1160" w:bottom="0" w:gutter="0" w:footer="0" w:header="0"/>
          <w:type w:val="continuous"/>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20"/>
          <w:szCs w:val="20"/>
          <w:color w:val="auto"/>
        </w:rPr>
        <w:t>or compensation) or other contracting decisions on the basis of any legally protected characteristics. We continue to focus on ensuring our employees understand and embrace our commitment to our patient community and our focus on changing the paradigm for treatment of rare genetic diseases of obesity. We value our employees’ courage to ask bold questions and their commitment to learning and collaboration, as each person brings a unique contribution to furthering our mission. Grounded in these guiding principles, we believe we have developed a collaborative environment where our colleagues feel respected, valued, and inspired to contribute to their fullest potential.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5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are a Delaware corporation organized in February 2013. We were originally incorporated under the name Rhythm Metabolic, Inc., and as of October 2015, under the name Rhythm Pharmaceuticals, Inc. Our principal executive offices are located at 222 Berkeley Street, 12th Floor, Boston, MA 02116, and our telephone number is (857) 264-4280. Our website is www.rhythmtx.com. Information that is contained on, or that can be accessed through, our website is not incorporated by reference into this Annual Report, and you should not consider information on our website to be part of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make available free of charge on the investor relations portion of our website our Annual Reports on Form 10-K, Quarterly Reports on Form 10-Q, Current Reports on Form 8-K, Proxy Statements for our annual meetings of stockholders, and amendments to those reports, as soon as reasonably practicable after we file such material with, or furnish it to, the Securities and Exchange Commission, or SEC. These filings are available for download free of charge on the investor relations portion of our website located at https://ir.rhythmtx.com. The SEC also maintains a website that contains reports, proxy statements and other information about issuers, like us, that file electronically with the SEC. The address of that website is https://www.sec.gov.</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Annual Report on Form 10-K for the period ended December 31, 2025 (the “Annual Report”), including our audited consolidated financial statements and the related notes thereto, and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a global, commercial-stage biopharmaceutical company with a limited operating history on which to base your investment decision. Our operations to date have been primarily focused on developing and commercializing IMCIVREE (setmelanotide) to treat patients living with hyperphagia and severe obesity caused by rare MC4R pathway diseases. We are currently in the early stages of commercializing IMCIVREE in its approved indications in the United States, Canada, and EU and the United Kingdom and advancing setmelanotide through clinical development for additional indications in the United States for potential additional approvals in other countries. Biopharmaceutical product development is a highly speculative undertaking and involves a substantial degree of risk.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$422.5 million of revenue from product sales.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838" w:right="1160" w:bottom="0" w:gutter="0" w:footer="0" w:header="0"/>
          <w:type w:val="continuous"/>
        </w:sectPr>
      </w:pPr>
    </w:p>
    <w:bookmarkStart w:id="63" w:name="page64"/>
    <w:bookmarkEnd w:id="63"/>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worldwide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Regulatory approvals may not be received when anticipated or not at all and ultimately we may fail to realize the anticipated benefits of our CHI program or those benefits may take longer to realize than expected.</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spacing w:after="0" w:line="20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Our net losses were $196.5 million and $260.6 million for the years ended December 31, 2025 and 2024, respectively. As of December 31, 2025, we had an accumulated deficit of $1.4 billion.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(recently completed a Phase 2 clinical trial),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w:t>
      </w:r>
    </w:p>
    <w:p>
      <w:pPr>
        <w:spacing w:after="0" w:line="21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since we have achieved market access or named patient sales of IMCIVREE for BBS or POMC and LEPR deficiencies, or both, in more than 25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As of December 31, 2025, we have generated approximately $422.5 million of revenue from product sales. Our ability to generate revenue depends on a number of factors, including, but not limited to, our ability to:</w:t>
      </w:r>
    </w:p>
    <w:p>
      <w:pPr>
        <w:spacing w:after="0" w:line="195" w:lineRule="exact"/>
        <w:rPr>
          <w:sz w:val="20"/>
          <w:szCs w:val="20"/>
          <w:color w:val="auto"/>
        </w:rPr>
      </w:pPr>
    </w:p>
    <w:p>
      <w:pPr>
        <w:ind w:left="1080" w:right="20" w:hanging="37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commercialize setmelanotide by building a commercial organization and/or entering into collaborations with third parties;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IMCIVREE is available to patients;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achieve market acceptance of setmelanotide in the medical community and with third-party payors;</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initiate and successfully complete later-stage clinical trials for setmelanotide, RM-718, bivamelagon, or other product candidates that meet their clinical endpoints;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838" w:right="1160" w:bottom="0" w:gutter="0" w:footer="0" w:header="0"/>
          <w:type w:val="continuous"/>
        </w:sectPr>
      </w:pPr>
    </w:p>
    <w:bookmarkStart w:id="64" w:name="page65"/>
    <w:bookmarkEnd w:id="64"/>
    <w:p>
      <w:pPr>
        <w:jc w:val="both"/>
        <w:ind w:left="1080" w:hanging="37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initiate and successfully complete all studies required to obtain U.S. and foreign marketing approvals for setmelanotide as a treatment to address patients with deficiencies affecting the MC4R pathway; and</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manufacture or contract with others to manufacture setmelanotide, or RM-718 and bivamelagon if approved.</w:t>
      </w:r>
    </w:p>
    <w:p>
      <w:pPr>
        <w:spacing w:after="0" w:line="1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expect we may need to raise additional funding, which may not be available on acceptable terms, or at all. Failure to obtain this necessary capital when needed may force us to delay, limit or terminate our product development efforts or other operations.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spacing w:after="0" w:line="21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Since our inception, we have raised funds through the issuance of common and preferred equity, the sale of assets and a Revenue Interest Agreement, or RIFA. As of December 31, 2025, our cash and cash equivalents and short-term investments were approximately $388.9 million.</w:t>
      </w:r>
    </w:p>
    <w:p>
      <w:pPr>
        <w:spacing w:after="0" w:line="195"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we may not be able to access uninsured funds in a timely manner or at all. Any inability to access or delay in accessing these funds could adversely affect our business and financial position.</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838" w:right="1160" w:bottom="0" w:gutter="0" w:footer="0" w:header="0"/>
          <w:type w:val="continuous"/>
        </w:sectPr>
      </w:pPr>
    </w:p>
    <w:bookmarkStart w:id="65" w:name="page66"/>
    <w:bookmarkEnd w:id="6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relinquish rights to setmelanotide or technologies or otherwise agree to terms unfavorable to us, any of which may have a material adverse effect on our business, operating results and prospects.</w:t>
      </w:r>
    </w:p>
    <w:p>
      <w:pPr>
        <w:spacing w:after="0" w:line="18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RIFA Investment Amount, net of debt issuance costs, following the achievement of a specified amount of cumulative net sales of IMCIVREE between July 1, 2022 and September 30, 2023.</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As consideration for the Investment Amount and pursuant to the RIFA, we agreed to pay the RIFA Investors a tiered royalty on our annual net revenues (the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December 31, 2025 we have made $40.3 million of payments.</w:t>
      </w:r>
    </w:p>
    <w:p>
      <w:pPr>
        <w:spacing w:after="0" w:line="21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RIFA Investors’ rights to receive the Revenue Interests will terminate on the date on which the RIFA Investors have received payments equal to a certain percentage of the funded portion of the Investment Amount including 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spacing w:after="0" w:line="21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Our obligations under the RIFA could have significant negative consequences for our security holders and our business, results of operations and financial condition by, among other things:</w:t>
      </w:r>
    </w:p>
    <w:p>
      <w:pPr>
        <w:spacing w:after="0" w:line="181" w:lineRule="exact"/>
        <w:rPr>
          <w:sz w:val="20"/>
          <w:szCs w:val="20"/>
          <w:color w:val="auto"/>
        </w:rPr>
      </w:pPr>
    </w:p>
    <w:p>
      <w:pPr>
        <w:ind w:left="1080" w:hanging="37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adverse economic and industry conditions;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obtain additional financing or enter into IMCIVREE collaboration or other business agreements;</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dedication of a portion of our cash flow from operations to service our indebtedness, which will reduce the amount of cash available for other purposes;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to plan for, or react to, changes in our business;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us at a possible competitive disadvantage with competitors that are less leveraged than us or have better access to capital;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838" w:right="1160" w:bottom="0" w:gutter="0" w:footer="0" w:header="0"/>
          <w:type w:val="continuous"/>
        </w:sectPr>
      </w:pPr>
    </w:p>
    <w:bookmarkStart w:id="66" w:name="page67"/>
    <w:bookmarkEnd w:id="66"/>
    <w:p>
      <w:pPr>
        <w:jc w:val="both"/>
        <w:ind w:left="1080" w:right="20" w:hanging="370"/>
        <w:spacing w:after="0" w:line="266"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spacing w:after="0" w:line="195"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To the extent we incur additional debt (including without limitation additional amounts under the RIFA), the risks described above could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Setmelanotide, Bivamelagon, RM-718 and our CHI Program</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BBS and hypothalamic obesity, and believe we have demonstrated proof of concept in Phase 2 clinical trials in impairments due to a variant in one of the two alleles in the POMC, PCSK1, or LEPR genes (HET obesity), as well as the SRC1 and SH2B1 genes, all genetic diseases of extreme and unrelenting appetite and obesity. We hypothesize that patients with other upstream genetic variants in genes upstream of the MC4R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or magnitude of response sufficient to demonstrate statistical significance in such populations.</w:t>
      </w:r>
    </w:p>
    <w:p>
      <w:pPr>
        <w:spacing w:after="0" w:line="21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are actively working to advance additional genetic variants related to patient populations carrying such genetic variants in other MC4R pathway related genes in the MC4R pathway through our clinical development programs. Our continued development efforts are focused on obesity related to several single gene, or monogenic, MC4R pathway impairments: BBS; obesity due to a genetic variant in one of the two alleles of the POMC, PCSK1 or LEPR gene, or HETs; obesity due to steroid receptor coactivator 1, or SRC1, variants; obesity due to SH2B adapter protein 1, or SH2B1; hypothalamic obesity; Prader-Willi syndrome (PWS) and MC4R deficiency obesity. For example, our pivotal Phase 3 EMANATE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is entirely independent of the others and, if successful, is designed to support separate regulatory submissions to the FDA and EMA in each studied population. However, the FDA and EMA may not view positive results in one sub-study, even if such results are statistically significant and clinically meaningful, as being sufficient for approval for any given indication.</w:t>
      </w:r>
    </w:p>
    <w:p>
      <w:pPr>
        <w:spacing w:after="0" w:line="21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spacing w:after="0" w:line="20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838" w:right="1160" w:bottom="0" w:gutter="0" w:footer="0" w:header="0"/>
          <w:type w:val="continuous"/>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20"/>
          <w:szCs w:val="20"/>
          <w:color w:val="auto"/>
        </w:rPr>
        <w:t>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preclinical and clinical trials that we announce or publish from time to time may change as more data become available and are subject to audit and verification procedures that could result in material changes in the final data.</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From time to time, we may also disclose real-world data from early access programs in particular patient cohorts, which are not controlled trials and may not be predictive of future results.</w:t>
      </w:r>
    </w:p>
    <w:p>
      <w:pPr>
        <w:spacing w:after="0" w:line="18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w:t>
      </w:r>
    </w:p>
    <w:p>
      <w:pPr>
        <w:spacing w:after="0" w:line="20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spacing w:after="0" w:line="19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January 2024, we entered into a license agreement and share issuance agreement with LGC. Pursuant to the terms of the license agreement, we obtained exclusive worldwide rights to develop LGC’s proprietary compound bivamelagon. We agreed to pay LGC royalties of between low- to mid-single digit percent of net revenues from our MC4R portfolio, including bivamelagon, commencing in 2029 and dependent upon achievement of various regulatory and indication approvals, and subject to customary deductions and anti-stacking. Royalties may further increase to a low double-digit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180" w:top="838" w:right="1160" w:bottom="0" w:gutter="0" w:footer="0" w:header="0"/>
          <w:type w:val="continuous"/>
        </w:sectPr>
      </w:pPr>
    </w:p>
    <w:bookmarkStart w:id="68" w:name="page69"/>
    <w:bookmarkEnd w:id="6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lose our rights to develop and commercialize bivamelagon, and, under some circumstances, we could be subject to certain ongoing payments, penalties and fees, all of which in turn would have a material adverse effect on our business.</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spacing w:after="0" w:line="19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2025, our database had approximately 120,000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p>
      <w:pPr>
        <w:spacing w:after="0" w:line="192" w:lineRule="exact"/>
        <w:rPr>
          <w:sz w:val="20"/>
          <w:szCs w:val="20"/>
          <w:color w:val="auto"/>
        </w:rPr>
      </w:pPr>
    </w:p>
    <w:p>
      <w:pPr>
        <w:jc w:val="both"/>
        <w:ind w:left="1520" w:hanging="360"/>
        <w:spacing w:after="0" w:line="259" w:lineRule="auto"/>
        <w:tabs>
          <w:tab w:leader="none" w:pos="15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POMC Deficiency Obesity. </w:t>
      </w:r>
      <w:r>
        <w:rPr>
          <w:rFonts w:ascii="Times New Roman" w:cs="Times New Roman" w:eastAsia="Times New Roman" w:hAnsi="Times New Roman"/>
          <w:sz w:val="20"/>
          <w:szCs w:val="20"/>
          <w:color w:val="auto"/>
        </w:rPr>
        <w:t>POMC Deficiency Obesity is defined by the presence of biallelic variants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POMC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PCSK1</w:t>
      </w:r>
      <w:r>
        <w:rPr>
          <w:rFonts w:ascii="Times New Roman" w:cs="Times New Roman" w:eastAsia="Times New Roman" w:hAnsi="Times New Roman"/>
          <w:sz w:val="20"/>
          <w:szCs w:val="20"/>
          <w:color w:val="auto"/>
        </w:rPr>
        <w:t xml:space="preserve"> 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spacing w:after="0" w:line="202" w:lineRule="exact"/>
        <w:rPr>
          <w:rFonts w:ascii="Times New Roman" w:cs="Times New Roman" w:eastAsia="Times New Roman" w:hAnsi="Times New Roman"/>
          <w:sz w:val="20"/>
          <w:szCs w:val="20"/>
          <w:color w:val="auto"/>
        </w:rPr>
      </w:pPr>
    </w:p>
    <w:p>
      <w:pPr>
        <w:jc w:val="both"/>
        <w:ind w:left="1880" w:right="20" w:hanging="360"/>
        <w:spacing w:after="0" w:line="256" w:lineRule="auto"/>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spacing w:after="0" w:line="208"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based on discussions with experts in rare diseases, that the number of diagnosed cases could increase several-fold with increased awareness of this deficiency and the availability of new treatments;</w:t>
      </w:r>
    </w:p>
    <w:p>
      <w:pPr>
        <w:spacing w:after="0" w:line="195" w:lineRule="exact"/>
        <w:rPr>
          <w:rFonts w:ascii="Times New Roman" w:cs="Times New Roman" w:eastAsia="Times New Roman" w:hAnsi="Times New Roman"/>
          <w:sz w:val="20"/>
          <w:szCs w:val="20"/>
          <w:color w:val="auto"/>
        </w:rPr>
      </w:pPr>
    </w:p>
    <w:p>
      <w:pPr>
        <w:jc w:val="both"/>
        <w:ind w:left="1880" w:right="20" w:hanging="360"/>
        <w:spacing w:after="0" w:line="260" w:lineRule="auto"/>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Census Bureau figures for adults and children, and Centers for Disease Control and Prevention, or CDC, prevalence numbers for adults with severe obesity (body mass index, or BMI, greater than 40 kg/m2) and for children with severe early-onset obesity (99th percentile at ages two to 17 years old); and</w:t>
      </w:r>
    </w:p>
    <w:p>
      <w:pPr>
        <w:spacing w:after="0" w:line="203" w:lineRule="exact"/>
        <w:rPr>
          <w:rFonts w:ascii="Times New Roman" w:cs="Times New Roman" w:eastAsia="Times New Roman" w:hAnsi="Times New Roman"/>
          <w:sz w:val="20"/>
          <w:szCs w:val="20"/>
          <w:color w:val="auto"/>
        </w:rPr>
      </w:pPr>
    </w:p>
    <w:p>
      <w:pPr>
        <w:jc w:val="both"/>
        <w:ind w:left="1880" w:hanging="360"/>
        <w:spacing w:after="0" w:line="260" w:lineRule="auto"/>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internal sequencing yield for POMC deficiency obesity patients (including both POMC and PCSK1 gene diseases), defined as patients having biallelic variants in the POMC or PCSK1 genes that are interpreted as pathogenic, likely pathogenic, or of uncertain significance, of approximately 0.05%.</w:t>
      </w:r>
    </w:p>
    <w:p>
      <w:pPr>
        <w:spacing w:after="0" w:line="199" w:lineRule="exact"/>
        <w:rPr>
          <w:rFonts w:ascii="Times New Roman" w:cs="Times New Roman" w:eastAsia="Times New Roman" w:hAnsi="Times New Roman"/>
          <w:sz w:val="20"/>
          <w:szCs w:val="20"/>
          <w:color w:val="auto"/>
        </w:rPr>
      </w:pPr>
    </w:p>
    <w:p>
      <w:pPr>
        <w:jc w:val="both"/>
        <w:ind w:left="1520" w:right="20" w:hanging="360"/>
        <w:spacing w:after="0" w:line="259" w:lineRule="auto"/>
        <w:tabs>
          <w:tab w:leader="none" w:pos="15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LEPR Deficiency Obesity</w:t>
      </w:r>
      <w:r>
        <w:rPr>
          <w:rFonts w:ascii="Times New Roman" w:cs="Times New Roman" w:eastAsia="Times New Roman" w:hAnsi="Times New Roman"/>
          <w:sz w:val="20"/>
          <w:szCs w:val="20"/>
          <w:color w:val="auto"/>
        </w:rPr>
        <w:t>. LEPR Deficiency Obesity is defined by the presence of biallelic variants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LEPR</w:t>
      </w:r>
      <w:r>
        <w:rPr>
          <w:rFonts w:ascii="Times New Roman" w:cs="Times New Roman" w:eastAsia="Times New Roman" w:hAnsi="Times New Roman"/>
          <w:sz w:val="20"/>
          <w:szCs w:val="20"/>
          <w:color w:val="auto"/>
        </w:rPr>
        <w:t xml:space="preserve"> 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spacing w:after="0" w:line="202"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epidemiology studies on LEPR deficiency obesity in small cohorts of patients comprising children with severe obesity and adults with severe obesity who have a history of early onset obesity;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838" w:right="1160" w:bottom="0" w:gutter="0" w:footer="0" w:header="0"/>
          <w:type w:val="continuous"/>
        </w:sectPr>
      </w:pPr>
    </w:p>
    <w:bookmarkStart w:id="69" w:name="page70"/>
    <w:bookmarkEnd w:id="69"/>
    <w:p>
      <w:pPr>
        <w:jc w:val="both"/>
        <w:ind w:left="1880" w:right="20" w:hanging="360"/>
        <w:spacing w:after="0" w:line="266"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Census Bureau figures for adults and children and CDC prevalence numbers for adults with severe obesity (BMI, greater than 40 kg/m2) and for children with severe early-onset obesity (99th percentile at ages two to 17 years old);</w:t>
      </w:r>
    </w:p>
    <w:p>
      <w:pPr>
        <w:spacing w:after="0" w:line="195"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wider availability of genetic testing expected for LEPR deficiency obesity and increased awareness of new treatments, our belief that up to 40% of patients with these diseases may eventually be diagnosed; and</w:t>
      </w:r>
    </w:p>
    <w:p>
      <w:pPr>
        <w:spacing w:after="0" w:line="195"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internal sequencing yield for LEPR deficiency obesity patients, defined as patients having biallelic variants in the LEPR gene that are interpreted as pathogenic, likely pathogenic, or of uncertain significance, of approximately 0.09%.</w:t>
      </w:r>
    </w:p>
    <w:p>
      <w:pPr>
        <w:spacing w:after="0" w:line="19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Bardet-Biedl Syndrome</w:t>
      </w:r>
      <w:r>
        <w:rPr>
          <w:rFonts w:ascii="Times New Roman" w:cs="Times New Roman" w:eastAsia="Times New Roman" w:hAnsi="Times New Roman"/>
          <w:sz w:val="20"/>
          <w:szCs w:val="20"/>
          <w:color w:val="auto"/>
        </w:rPr>
        <w:t>. Our addressable patient population estimate for BBS is approximately 4,000 to</w:t>
      </w:r>
    </w:p>
    <w:p>
      <w:pPr>
        <w:spacing w:after="0" w:line="34"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patients in the United States based on:</w:t>
      </w:r>
    </w:p>
    <w:p>
      <w:pPr>
        <w:spacing w:after="0" w:line="229"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prevalence estimates of one in 100,000 in North America, which projects to approximately 3,250 people in the United States. We believe the majority of these patients are addressable patients;</w:t>
      </w:r>
    </w:p>
    <w:p>
      <w:pPr>
        <w:spacing w:after="0" w:line="195"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comparisons to our patient identification efforts in Europe where we believe there are approximately 1,500 patients diagnosed and being cared for at academic centers in Europe;</w:t>
      </w:r>
    </w:p>
    <w:p>
      <w:pPr>
        <w:spacing w:after="0" w:line="181" w:lineRule="exact"/>
        <w:rPr>
          <w:rFonts w:ascii="Times New Roman" w:cs="Times New Roman" w:eastAsia="Times New Roman" w:hAnsi="Times New Roman"/>
          <w:sz w:val="20"/>
          <w:szCs w:val="20"/>
          <w:color w:val="auto"/>
        </w:rPr>
      </w:pPr>
    </w:p>
    <w:p>
      <w:pPr>
        <w:ind w:left="1880" w:hanging="360"/>
        <w:spacing w:after="0"/>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patient identification efforts to date in the United States;</w:t>
      </w:r>
    </w:p>
    <w:p>
      <w:pPr>
        <w:spacing w:after="0" w:line="250"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internal sequencing yield for biallelic pathogenic or likely pathogenic variants in BBS genes of approximately 0.3%; and</w:t>
      </w:r>
    </w:p>
    <w:p>
      <w:pPr>
        <w:spacing w:after="0" w:line="181"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with wider availability of genetic testing expected for BBS and increased awareness of new treatments, the number of patients diagnosed with this disorder will increase.</w:t>
      </w:r>
    </w:p>
    <w:p>
      <w:pPr>
        <w:spacing w:after="0" w:line="177" w:lineRule="exact"/>
        <w:rPr>
          <w:rFonts w:ascii="Times New Roman" w:cs="Times New Roman" w:eastAsia="Times New Roman" w:hAnsi="Times New Roman"/>
          <w:sz w:val="20"/>
          <w:szCs w:val="20"/>
          <w:color w:val="auto"/>
        </w:rPr>
      </w:pPr>
    </w:p>
    <w:p>
      <w:pPr>
        <w:jc w:val="both"/>
        <w:ind w:left="1520" w:hanging="360"/>
        <w:spacing w:after="0" w:line="259" w:lineRule="auto"/>
        <w:tabs>
          <w:tab w:leader="none" w:pos="15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POMC, PCSK1, or LEPR Heterozygous Obesities; SRC1 and SH2B1 Obesities</w:t>
      </w:r>
      <w:r>
        <w:rPr>
          <w:rFonts w:ascii="Times New Roman" w:cs="Times New Roman" w:eastAsia="Times New Roman" w:hAnsi="Times New Roman"/>
          <w:sz w:val="20"/>
          <w:szCs w:val="20"/>
          <w:color w:val="auto"/>
        </w:rPr>
        <w:t>. Our potential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spacing w:after="0" w:line="202"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Census Bureau population data and CDC prevalence numbers for early onset obesity (≥120% the 95th percentile with onset prior to 6 years of age);</w:t>
      </w:r>
    </w:p>
    <w:p>
      <w:pPr>
        <w:spacing w:after="0" w:line="181"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internal sequencing yield of patients with POMC, PCSK1, or LEPR heterozygous, SRC1 or SH2B1 variants interpreted as pathogenic, likely pathogenic, or of uncertain significance of approximately 10-15%; and</w:t>
      </w:r>
    </w:p>
    <w:p>
      <w:pPr>
        <w:spacing w:after="0" w:line="195"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clinical response rate of 40% for patients carrying pathogenic or likely pathogenic variants, and 20% for patients carrying a variant of uncertain significance.</w:t>
      </w:r>
    </w:p>
    <w:p>
      <w:pPr>
        <w:spacing w:after="0" w:line="181"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The clinical response rate used in this calculation is based on the clinical data currently available to us from our trials and may change as more data become available.</w:t>
      </w:r>
    </w:p>
    <w:p>
      <w:pPr>
        <w:spacing w:after="0" w:line="178" w:lineRule="exact"/>
        <w:rPr>
          <w:sz w:val="20"/>
          <w:szCs w:val="20"/>
          <w:color w:val="auto"/>
        </w:rPr>
      </w:pPr>
    </w:p>
    <w:p>
      <w:pPr>
        <w:ind w:left="1520" w:hanging="360"/>
        <w:spacing w:after="0" w:line="285" w:lineRule="auto"/>
        <w:tabs>
          <w:tab w:leader="none" w:pos="15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MC4R Deficiency Obesity</w:t>
      </w:r>
      <w:r>
        <w:rPr>
          <w:rFonts w:ascii="Times New Roman" w:cs="Times New Roman" w:eastAsia="Times New Roman" w:hAnsi="Times New Roman"/>
          <w:sz w:val="20"/>
          <w:szCs w:val="20"/>
          <w:color w:val="auto"/>
        </w:rPr>
        <w:t>. Our addressable patient population estimate for MC4R-rescuable deficiency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obesity is approximately 10,000 patients in the United States. This estimate is based on:</w:t>
      </w:r>
    </w:p>
    <w:p>
      <w:pPr>
        <w:spacing w:after="0" w:line="177"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Census Bureau population data and CDC prevalence numbers for early onset obesity (≥120% the 95th percentile between the ages of 2-5 years);</w:t>
      </w:r>
    </w:p>
    <w:p>
      <w:pPr>
        <w:spacing w:after="0" w:line="181"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comprehensive biochemical screening study indicating there may be a defined subset of individuals who carry MC4R variants that may be rescued by an MC4R agonist;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838" w:right="1160" w:bottom="0" w:gutter="0" w:footer="0" w:header="0"/>
          <w:type w:val="continuous"/>
        </w:sectPr>
      </w:pPr>
    </w:p>
    <w:bookmarkStart w:id="70" w:name="page71"/>
    <w:bookmarkEnd w:id="70"/>
    <w:p>
      <w:pPr>
        <w:ind w:left="1880" w:hanging="360"/>
        <w:spacing w:after="0" w:line="281" w:lineRule="auto"/>
        <w:tabs>
          <w:tab w:leader="none" w:pos="18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internal sequencing yield for MC4R deficiency obesity patients of approximately 2.0% prior to application of functional filters.</w:t>
      </w:r>
    </w:p>
    <w:p>
      <w:pPr>
        <w:spacing w:after="0" w:line="177" w:lineRule="exact"/>
        <w:rPr>
          <w:rFonts w:ascii="Times New Roman" w:cs="Times New Roman" w:eastAsia="Times New Roman" w:hAnsi="Times New Roman"/>
          <w:sz w:val="20"/>
          <w:szCs w:val="20"/>
          <w:color w:val="auto"/>
        </w:rPr>
      </w:pPr>
    </w:p>
    <w:p>
      <w:pPr>
        <w:jc w:val="both"/>
        <w:ind w:left="1520" w:right="20" w:hanging="360"/>
        <w:spacing w:after="0" w:line="268" w:lineRule="auto"/>
        <w:tabs>
          <w:tab w:leader="none" w:pos="15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Obesity due to a deficiency in the MC4R pathway caused by variants in the SEMA3 family, PHIP, TBX3 or PLXNA family</w:t>
      </w:r>
      <w:r>
        <w:rPr>
          <w:rFonts w:ascii="Times New Roman" w:cs="Times New Roman" w:eastAsia="Times New Roman" w:hAnsi="Times New Roman"/>
          <w:sz w:val="20"/>
          <w:szCs w:val="20"/>
          <w:color w:val="auto"/>
        </w:rPr>
        <w:t>. Our addressable patient population estimate for obesity patient with variants in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genes is approximately 63,500 patients in the United States. This estimate is based on:</w:t>
      </w:r>
    </w:p>
    <w:p>
      <w:pPr>
        <w:spacing w:after="0" w:line="193" w:lineRule="exact"/>
        <w:rPr>
          <w:rFonts w:ascii="Times New Roman" w:cs="Times New Roman" w:eastAsia="Times New Roman" w:hAnsi="Times New Roman"/>
          <w:sz w:val="20"/>
          <w:szCs w:val="20"/>
          <w:color w:val="auto"/>
        </w:rPr>
      </w:pPr>
    </w:p>
    <w:p>
      <w:pPr>
        <w:jc w:val="both"/>
        <w:ind w:left="1880" w:right="20" w:hanging="360"/>
        <w:spacing w:after="0" w:line="260" w:lineRule="auto"/>
        <w:tabs>
          <w:tab w:leader="none" w:pos="18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spacing w:after="0" w:line="195"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spacing w:after="0" w:line="200" w:lineRule="exact"/>
        <w:rPr>
          <w:sz w:val="20"/>
          <w:szCs w:val="20"/>
          <w:color w:val="auto"/>
        </w:rPr>
      </w:pPr>
    </w:p>
    <w:p>
      <w:pPr>
        <w:jc w:val="both"/>
        <w:ind w:left="1520" w:right="20" w:hanging="360"/>
        <w:spacing w:after="0" w:line="262" w:lineRule="auto"/>
        <w:tabs>
          <w:tab w:leader="none" w:pos="1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Hypothalamic obesity</w:t>
      </w:r>
      <w:r>
        <w:rPr>
          <w:rFonts w:ascii="Times New Roman" w:cs="Times New Roman" w:eastAsia="Times New Roman" w:hAnsi="Times New Roman"/>
          <w:sz w:val="20"/>
          <w:szCs w:val="20"/>
          <w:color w:val="auto"/>
        </w:rPr>
        <w:t>. Our addressable patient population estimate for hypothalamic obesity (HO)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approximately 10,000 patients in the United States. We estimate there are 5,000 to 8,000 people living with hypothalamic obesity in Japan, and approximately 10,000 people living with hypothalamic obesity in the E.U. These estimates are based on:</w:t>
      </w:r>
    </w:p>
    <w:p>
      <w:pPr>
        <w:spacing w:after="0" w:line="199"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diagnosis of an underlying HO etiology such as craniopharyngioma (CP), astrocytoma, or other brain tumors with CP accounting for approximately 50% of HO etiologies;</w:t>
      </w:r>
    </w:p>
    <w:p>
      <w:pPr>
        <w:spacing w:after="0" w:line="181" w:lineRule="exact"/>
        <w:rPr>
          <w:rFonts w:ascii="Times New Roman" w:cs="Times New Roman" w:eastAsia="Times New Roman" w:hAnsi="Times New Roman"/>
          <w:sz w:val="20"/>
          <w:szCs w:val="20"/>
          <w:color w:val="auto"/>
        </w:rPr>
      </w:pPr>
    </w:p>
    <w:p>
      <w:pPr>
        <w:jc w:val="both"/>
        <w:ind w:left="1880" w:right="20" w:hanging="360"/>
        <w:spacing w:after="0" w:line="266" w:lineRule="auto"/>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incidence of CP of approximately 1.3 to 2.2 per million per year in the United States, which projects to approximately 600 cases of CP per year based on a United States population of approximately 329 million;</w:t>
      </w:r>
    </w:p>
    <w:p>
      <w:pPr>
        <w:spacing w:after="0" w:line="195" w:lineRule="exact"/>
        <w:rPr>
          <w:rFonts w:ascii="Times New Roman" w:cs="Times New Roman" w:eastAsia="Times New Roman" w:hAnsi="Times New Roman"/>
          <w:sz w:val="20"/>
          <w:szCs w:val="20"/>
          <w:color w:val="auto"/>
        </w:rPr>
      </w:pPr>
    </w:p>
    <w:p>
      <w:pPr>
        <w:ind w:left="1880" w:hanging="360"/>
        <w:spacing w:after="0"/>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50% (based on a published range of 6% to 91%) of CP patients develop HO;</w:t>
      </w:r>
    </w:p>
    <w:p>
      <w:pPr>
        <w:spacing w:after="0" w:line="250" w:lineRule="exact"/>
        <w:rPr>
          <w:rFonts w:ascii="Times New Roman" w:cs="Times New Roman" w:eastAsia="Times New Roman" w:hAnsi="Times New Roman"/>
          <w:sz w:val="20"/>
          <w:szCs w:val="20"/>
          <w:color w:val="auto"/>
        </w:rPr>
      </w:pPr>
    </w:p>
    <w:p>
      <w:pPr>
        <w:ind w:left="1880" w:hanging="360"/>
        <w:spacing w:after="0"/>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estimates of overall survival (OS) after CP diagnosis, with a 20-year OS of 84%;</w:t>
      </w:r>
    </w:p>
    <w:p>
      <w:pPr>
        <w:spacing w:after="0" w:line="250" w:lineRule="exact"/>
        <w:rPr>
          <w:rFonts w:ascii="Times New Roman" w:cs="Times New Roman" w:eastAsia="Times New Roman" w:hAnsi="Times New Roman"/>
          <w:sz w:val="20"/>
          <w:szCs w:val="20"/>
          <w:color w:val="auto"/>
        </w:rPr>
      </w:pPr>
    </w:p>
    <w:p>
      <w:pPr>
        <w:ind w:left="1880" w:right="20" w:hanging="360"/>
        <w:spacing w:after="0" w:line="281" w:lineRule="auto"/>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allowing for patients that develop HO due to other factors besides CP, results in an estimated HO prevalence after CP diagnosis in the United States exceeding 2,500-7,500 patients; and</w:t>
      </w:r>
    </w:p>
    <w:p>
      <w:pPr>
        <w:spacing w:after="0" w:line="181" w:lineRule="exact"/>
        <w:rPr>
          <w:rFonts w:ascii="Times New Roman" w:cs="Times New Roman" w:eastAsia="Times New Roman" w:hAnsi="Times New Roman"/>
          <w:sz w:val="20"/>
          <w:szCs w:val="20"/>
          <w:color w:val="auto"/>
        </w:rPr>
      </w:pPr>
    </w:p>
    <w:p>
      <w:pPr>
        <w:ind w:left="1880" w:hanging="360"/>
        <w:spacing w:after="0" w:line="281" w:lineRule="auto"/>
        <w:tabs>
          <w:tab w:leader="none" w:pos="18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Company estimate is based on reported incidence of hypothalamic obesity following CP and long-term survival rates.</w:t>
      </w:r>
    </w:p>
    <w:p>
      <w:pPr>
        <w:spacing w:after="0" w:line="181"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auto"/>
        </w:rPr>
        <w:t>Given the etiology of the disease, our estimates on HO are based on our internal review and interpretation of the literature and available prevalence data.</w:t>
      </w:r>
    </w:p>
    <w:p>
      <w:pPr>
        <w:spacing w:after="0" w:line="1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and/or retention of patients in clinical trials, our regulatory submissions or receipt of additional marketing approvals could be delayed or prevented.</w:t>
      </w:r>
    </w:p>
    <w:p>
      <w:pPr>
        <w:spacing w:after="0" w:line="1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pacing w:after="0" w:line="20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Our clinical trials will compete with other clinical trials that are in the same therapeutic areas as our product candidates, including general obesity, and this competition reduces the number and types of patients available to us, as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838" w:right="1160" w:bottom="0" w:gutter="0" w:footer="0" w:header="0"/>
          <w:type w:val="continuous"/>
        </w:sectPr>
      </w:pPr>
    </w:p>
    <w:bookmarkStart w:id="71" w:name="page72"/>
    <w:bookmarkEnd w:id="7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spacing w:after="0" w:line="213" w:lineRule="exact"/>
        <w:rPr>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and efficacy of approved drugs for the disease under investigation;</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eligibility criteria for the trial in question as defined in the protocol;</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25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clinicians’ willingness to screen their patients for genetic markers to indicate which patients may be eligible for enrollment in our clinical trials;</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or temporary suspension of the enrollment of patients in our planned clinical trial due to public health emergencies;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and maintain patient consents;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proximity and availability of clinical trial sites for prospective patients; and</w:t>
      </w:r>
    </w:p>
    <w:p>
      <w:pPr>
        <w:spacing w:after="0" w:line="25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Failures or delays in the commencement or completion of our planned clinical trials could result in increased costs to us and could delay, prevent or limit our ability to generate revenue, achieve profitability and continue our business.</w:t>
      </w:r>
    </w:p>
    <w:p>
      <w:pPr>
        <w:spacing w:after="0" w:line="17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Successful completion of our ongoing and planned clinical trials is a prerequisite to submitting an NDA or NDA supplement to the FDA, a marketing authorization application (“MAA”) to the EMA, and other applications for marketing authorization to equivalent competent authorities in foreign jurisdictions, and consequently, successful completion of such</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180" w:top="838" w:right="1160" w:bottom="0" w:gutter="0" w:footer="0" w:header="0"/>
          <w:type w:val="continuous"/>
        </w:sectPr>
      </w:pPr>
    </w:p>
    <w:bookmarkStart w:id="72" w:name="page73"/>
    <w:bookmarkEnd w:id="7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trials, at a minimum, will be required for regulatory approvals and the commercial marketing of setmelanotide for additional indications as well as RM-718 and bivamelagon.</w:t>
      </w:r>
    </w:p>
    <w:p>
      <w:pPr>
        <w:spacing w:after="0" w:line="18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spacing w:after="0" w:line="192" w:lineRule="exact"/>
        <w:rPr>
          <w:sz w:val="20"/>
          <w:szCs w:val="20"/>
          <w:color w:val="auto"/>
        </w:rPr>
      </w:pPr>
    </w:p>
    <w:p>
      <w:pPr>
        <w:ind w:left="1080" w:right="20" w:hanging="370"/>
        <w:spacing w:after="0" w:line="285"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inability to generate sufficient preclinical or other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data to support the initiation of clinical studies;</w:t>
      </w:r>
    </w:p>
    <w:p>
      <w:pPr>
        <w:spacing w:after="0" w:line="177"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completion of preclinical laboratory tests, animal studies and formulation studies in accordance with FDA’s good laboratory practice requirements and other applicable regulations;</w:t>
      </w:r>
    </w:p>
    <w:p>
      <w:pPr>
        <w:spacing w:after="0" w:line="18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filing or receiving authorization to proceed under an additional investigational new drug application, or IND, or similar foreign application if required;</w:t>
      </w:r>
    </w:p>
    <w:p>
      <w:pPr>
        <w:spacing w:after="0" w:line="18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 consensus with the FDA and other regulatory agencies on study design and obtaining regulatory authorization to commence clinical trials;</w:t>
      </w:r>
    </w:p>
    <w:p>
      <w:pPr>
        <w:spacing w:after="0" w:line="18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obtaining or maintaining Institutional Review Board, or IRB, and/or ethics committee approval or opinion to conduct a clinical trial at a prospective site or sites;</w:t>
      </w:r>
    </w:p>
    <w:p>
      <w:pPr>
        <w:spacing w:after="0" w:line="18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quantity or quality of setmelanotide, RM-718, bivamelagon or other materials necessary to conduct clinical trials, including delays in the manufacturing of sufficient supply of finished drug product;</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identifying, recruiting and training suitable clinical investigators;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recruiting and enrolling suitable patients to participate in clinical trials;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or unexpected drug related side effects experienced by patients in a clinical trial, including side effects previously identified in our completed clinical trials;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collaborating with patient groups and investigators;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our CROs, other third parties or us to perform in accordance with the FDA’s or any other regulatory authority’s GCPs or applicable regulatory guidelines in other countries;</w:t>
      </w:r>
    </w:p>
    <w:p>
      <w:pPr>
        <w:spacing w:after="0" w:line="18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adverse events associated with setmelanotide, RM-718 or bivamelagon that are viewed to outweigh their potential benefits, or occurrence of adverse events in trial of the same or similar class of agents conducted by other companies;</w:t>
      </w:r>
    </w:p>
    <w:p>
      <w:pPr>
        <w:spacing w:after="0" w:line="19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the clinical trial protocols;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deviating from trial protocol or dropping out of a trial;</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838" w:right="1160" w:bottom="0" w:gutter="0" w:footer="0" w:header="0"/>
          <w:type w:val="continuous"/>
        </w:sectPr>
      </w:pPr>
    </w:p>
    <w:bookmarkStart w:id="73" w:name="page74"/>
    <w:bookmarkEnd w:id="73"/>
    <w:p>
      <w:pPr>
        <w:ind w:left="1080" w:right="20" w:hanging="37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standard of care on which a clinical development plan was based, which may require new or additional trials;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selection of clinical endpoints that require prolonged periods of observation or analyses of resulting data;</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our product candidates being greater than we anticipate;</w:t>
      </w:r>
    </w:p>
    <w:p>
      <w:pPr>
        <w:spacing w:after="0" w:line="25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spacing w:after="0" w:line="19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antibodies to the drug or adjuvants may result in loss of efficacy or safety events.</w:t>
      </w:r>
    </w:p>
    <w:p>
      <w:pPr>
        <w:spacing w:after="0" w:line="25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spacing w:after="0" w:line="203" w:lineRule="exact"/>
        <w:rPr>
          <w:sz w:val="20"/>
          <w:szCs w:val="20"/>
          <w:color w:val="auto"/>
        </w:rPr>
      </w:pPr>
    </w:p>
    <w:p>
      <w:pPr>
        <w:ind w:left="1520" w:right="20" w:hanging="360"/>
        <w:spacing w:after="0" w:line="281" w:lineRule="auto"/>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conduct the clinical trial in accordance with regulatory requirements or our clinical trial protocols;</w:t>
      </w:r>
    </w:p>
    <w:p>
      <w:pPr>
        <w:spacing w:after="0" w:line="181"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inspection of the clinical trial operations or trial sites by the FDA or other equivalent competent authorities that reveals deficiencies or violations that require us to undertake corrective action, including the imposition of a clinical hold;</w:t>
      </w:r>
    </w:p>
    <w:p>
      <w:pPr>
        <w:spacing w:after="0" w:line="195"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inconclusive results, unforeseen safety issues, adverse side effects or lack of effectiveness;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regulations or administrative actions;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with clinical trial supply materials;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funding to continue the clinical trial.</w:t>
      </w:r>
    </w:p>
    <w:p>
      <w:pPr>
        <w:spacing w:after="0" w:line="25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 In addition, many of the factors that cause, or lead to, a delay in the commencement or completion of clinical trials may also ultimately lead to the denial of a regulatory approval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09"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In addition, the FDA’s and other regulatory authorities’ policies with respect to clinical trials may change and additional government regulations may be enacted. For instance,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838" w:right="1160" w:bottom="0" w:gutter="0" w:footer="0" w:header="0"/>
          <w:type w:val="continuous"/>
        </w:sectPr>
      </w:pPr>
    </w:p>
    <w:bookmarkStart w:id="74" w:name="page75"/>
    <w:bookmarkEnd w:id="74"/>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Furthermore,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w:t>
      </w:r>
    </w:p>
    <w:p>
      <w:pPr>
        <w:spacing w:after="0" w:line="20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If we are slow or unable to adapt to changes in existing requirements or the adoption of new requirements or policies governing clinical trials, our development plans may be impacted.</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spacing w:after="0" w:line="201"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Research and development in the pharmaceutical industry is an expensive, high-risk, lengthy, complicated, resource intensive process. In order to develop a product successfully, we must, among other things:</w:t>
      </w:r>
    </w:p>
    <w:p>
      <w:pPr>
        <w:spacing w:after="0" w:line="181" w:lineRule="exact"/>
        <w:rPr>
          <w:sz w:val="20"/>
          <w:szCs w:val="20"/>
          <w:color w:val="auto"/>
        </w:rPr>
      </w:pPr>
    </w:p>
    <w:p>
      <w:pPr>
        <w:ind w:left="1520" w:hanging="360"/>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scientific discovery in areas that are uncertain, unproven and complex;</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potential product candidates;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for and receive regulatory approvals or allowances to perform clinical trials;</w:t>
      </w:r>
    </w:p>
    <w:p>
      <w:pPr>
        <w:spacing w:after="0" w:line="250"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and conduct appropriate preclinical studies and clinical trials according to good laboratory practices and good clinical practices and disease-specific expectations of the FDA and other regulatory bodies;</w:t>
      </w:r>
    </w:p>
    <w:p>
      <w:pPr>
        <w:spacing w:after="0" w:line="195"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and recruit suitable clinical investigators and subjects for our clinical trials;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correctly interpret data establishing adequate safety of our product candidates and demonstrating that our product candidates are effective for their proposed indications;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for and receive regulatory approvals; and</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the product candidates according to current Good Manufacturing Practices, or cGMPs, and other applicable standards and regulations.</w:t>
      </w:r>
    </w:p>
    <w:p>
      <w:pPr>
        <w:spacing w:after="0" w:line="18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addition, there are many other difficulties and uncertainties inherent in pharmaceutical research and development that could significantly delay or otherwise materially impair our ability to develop future product candidates, including the following:</w:t>
      </w:r>
    </w:p>
    <w:p>
      <w:pPr>
        <w:spacing w:after="0" w:line="195" w:lineRule="exact"/>
        <w:rPr>
          <w:sz w:val="20"/>
          <w:szCs w:val="20"/>
          <w:color w:val="auto"/>
        </w:rPr>
      </w:pPr>
    </w:p>
    <w:p>
      <w:pPr>
        <w:jc w:val="both"/>
        <w:ind w:left="1520" w:right="20" w:hanging="360"/>
        <w:spacing w:after="0" w:line="266" w:lineRule="auto"/>
        <w:tabs>
          <w:tab w:leader="none" w:pos="15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designing clinical trials that may support any potential claims of superiority over current standard of care or future competitive therapies;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838" w:right="1160" w:bottom="0" w:gutter="0" w:footer="0" w:header="0"/>
          <w:type w:val="continuous"/>
        </w:sectPr>
      </w:pPr>
    </w:p>
    <w:bookmarkStart w:id="75" w:name="page76"/>
    <w:bookmarkEnd w:id="75"/>
    <w:p>
      <w:pPr>
        <w:jc w:val="both"/>
        <w:ind w:left="1520" w:hanging="360"/>
        <w:spacing w:after="0" w:line="266" w:lineRule="auto"/>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or reduced enrollment in clinical trials, high discontinuation rates or overly concentrated patient enrollment in specific geographic regions;</w:t>
      </w:r>
    </w:p>
    <w:p>
      <w:pPr>
        <w:spacing w:after="0" w:line="181"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third-party contractors, contract research organizations, or CROs, clinical investigators, clinical laboratories, or suppliers to comply with regulatory requirements or meet their contractual obligations in a timely manner;</w:t>
      </w:r>
    </w:p>
    <w:p>
      <w:pPr>
        <w:spacing w:after="0" w:line="195"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than anticipated cost of our clinical trials;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product supply or inadequate product quality.</w:t>
      </w:r>
    </w:p>
    <w:p>
      <w:pPr>
        <w:spacing w:after="0" w:line="250" w:lineRule="exact"/>
        <w:rPr>
          <w:rFonts w:ascii="Times New Roman" w:cs="Times New Roman" w:eastAsia="Times New Roman" w:hAnsi="Times New Roman"/>
          <w:sz w:val="20"/>
          <w:szCs w:val="20"/>
          <w:color w:val="auto"/>
        </w:rPr>
      </w:pPr>
    </w:p>
    <w:p>
      <w:pPr>
        <w:jc w:val="both"/>
        <w:ind w:left="1520" w:right="20" w:hanging="360"/>
        <w:spacing w:after="0" w:line="258" w:lineRule="auto"/>
        <w:tabs>
          <w:tab w:leader="none" w:pos="15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will be able to develop, license, or otherwise acquire additional products or product candidates; or whether our products, once launched, will be commercially successful.</w:t>
      </w:r>
    </w:p>
    <w:p>
      <w:pPr>
        <w:spacing w:after="0" w:line="20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Setmelanotide, RM-718 and bivamelagon are MC4R agonists. Potential side effects of MC4R agonism, which have been noted either with setmelanotide or with other MC4R agonists in clinical trials and preclinical studies, may include:</w:t>
      </w:r>
    </w:p>
    <w:p>
      <w:pPr>
        <w:spacing w:after="0" w:line="181" w:lineRule="exact"/>
        <w:rPr>
          <w:sz w:val="20"/>
          <w:szCs w:val="20"/>
          <w:color w:val="auto"/>
        </w:rPr>
      </w:pPr>
    </w:p>
    <w:p>
      <w:pPr>
        <w:ind w:left="1520" w:hanging="360"/>
        <w:spacing w:after="0"/>
        <w:tabs>
          <w:tab w:leader="none" w:pos="15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on cardiovascular parameters, such as increases in heart rate and blood pressure;</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erections in males and similar effects in women, such as sexual arousal, clitoral swelling and hypersensitivity;</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nausea and vomiting;</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appetite;</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headache;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838" w:right="1160" w:bottom="0" w:gutter="0" w:footer="0" w:header="0"/>
          <w:type w:val="continuous"/>
        </w:sectPr>
      </w:pPr>
    </w:p>
    <w:bookmarkStart w:id="76" w:name="page77"/>
    <w:bookmarkEnd w:id="76"/>
    <w:p>
      <w:pPr>
        <w:ind w:left="1520" w:hanging="360"/>
        <w:spacing w:after="0"/>
        <w:tabs>
          <w:tab w:leader="none" w:pos="15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on mood, depression, anxiety and other psychiatric manifestations; and</w:t>
      </w:r>
    </w:p>
    <w:p>
      <w:pPr>
        <w:spacing w:after="0" w:line="250"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effects, for which an investigator reported as unrelated to setmelanotide or for which no increased incidence or pattern or causal relationship is currently evident.</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spacing w:after="0" w:line="21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 if we or others identify undesirable side effects associated with or caused by the products, or any other similar product, before or after regulatory approvals, a number of potentially significant negative consequences could result, including:</w:t>
      </w:r>
    </w:p>
    <w:p>
      <w:pPr>
        <w:spacing w:after="0" w:line="195" w:lineRule="exact"/>
        <w:rPr>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request that we withdraw the product from the market or may limit or vary their approval of the product through labeling or other means;</w:t>
      </w:r>
    </w:p>
    <w:p>
      <w:pPr>
        <w:spacing w:after="0" w:line="181"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“boxed” warning or a contraindication;</w:t>
      </w:r>
    </w:p>
    <w:p>
      <w:pPr>
        <w:spacing w:after="0" w:line="181" w:lineRule="exact"/>
        <w:rPr>
          <w:rFonts w:ascii="Times New Roman" w:cs="Times New Roman" w:eastAsia="Times New Roman" w:hAnsi="Times New Roman"/>
          <w:sz w:val="20"/>
          <w:szCs w:val="20"/>
          <w:color w:val="auto"/>
        </w:rPr>
      </w:pPr>
    </w:p>
    <w:p>
      <w:pPr>
        <w:jc w:val="both"/>
        <w:ind w:left="1520" w:hanging="360"/>
        <w:spacing w:after="0" w:line="260"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spacing w:after="0" w:line="203"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the product is distributed or administered or change the labeling of the product;</w:t>
      </w:r>
    </w:p>
    <w:p>
      <w:pPr>
        <w:spacing w:after="0" w:line="181"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conduct additional studies and clinical trials or comply with other post-market requirements to assess possible serious risks;</w:t>
      </w:r>
    </w:p>
    <w:p>
      <w:pPr>
        <w:spacing w:after="0" w:line="181"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conduct long term safety follow-up evaluations, including setting up disease and drug based registries;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to remove the product from the marketplace;</w:t>
      </w:r>
    </w:p>
    <w:p>
      <w:pPr>
        <w:spacing w:after="0" w:line="250"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other MC4 agonist products or product candidates may be perceived by regulators or other third parties as unsafe, which could adversely affect our development efforts and product portfolio;</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880"/>
          </w:cols>
          <w:pgMar w:left="1180" w:top="838" w:right="1180" w:bottom="0" w:gutter="0" w:footer="0" w:header="0"/>
          <w:type w:val="continuous"/>
        </w:sectPr>
      </w:pPr>
    </w:p>
    <w:bookmarkStart w:id="77" w:name="page78"/>
    <w:bookmarkEnd w:id="77"/>
    <w:p>
      <w:pPr>
        <w:ind w:left="1520" w:hanging="360"/>
        <w:spacing w:after="0"/>
        <w:tabs>
          <w:tab w:leader="none" w:pos="15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injury caused to individuals exposed to or taking the product;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25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with the same approved use or indication within such disease or condition for that marketing exclusivity period, except in limited circumstances.</w:t>
      </w:r>
    </w:p>
    <w:p>
      <w:pPr>
        <w:spacing w:after="0" w:line="20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spacing w:after="0" w:line="21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838" w:right="1160" w:bottom="0" w:gutter="0" w:footer="0" w:header="0"/>
          <w:type w:val="continuous"/>
        </w:sectPr>
      </w:pPr>
    </w:p>
    <w:bookmarkStart w:id="78" w:name="page79"/>
    <w:bookmarkEnd w:id="7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spacing w:after="0" w:line="204"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 w:cs="Times New Roman" w:eastAsia="Times New Roman" w:hAnsi="Times New Roman"/>
          <w:sz w:val="20"/>
          <w:szCs w:val="20"/>
          <w:b w:val="1"/>
          <w:bCs w:val="1"/>
          <w:i w:val="1"/>
          <w:iCs w:val="1"/>
          <w:color w:val="auto"/>
        </w:rPr>
        <w:t>POMC, PCSK1,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LEPR</w:t>
      </w:r>
      <w:r>
        <w:rPr>
          <w:rFonts w:ascii="Times New Roman" w:cs="Times New Roman" w:eastAsia="Times New Roman" w:hAnsi="Times New Roman"/>
          <w:sz w:val="20"/>
          <w:szCs w:val="20"/>
          <w:color w:val="auto"/>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in December 2024 of the expanded indication for IMCIVREE to include patients as young as 2 years of age, in March 2025, the FDA expanded the scope of the current orphan drug exclusivity for IMCIVREE to provide for seven years of orphan-drug exclusivity for setmelanotide to reduce excess body weight and maintain weight reduction long term in pediatric patients aged 2 years to less than 6 years with syndromic or monogenic obesity due to POMC, PCSK1, LEPR deficiency as determined by an FDA-approved test demonstrating variants in POMC, PCSK1, or LEPR genes that are interpreted as pathogenic, likely pathogenic, or VUS.</w:t>
      </w:r>
    </w:p>
    <w:p>
      <w:pPr>
        <w:spacing w:after="0" w:line="21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have also been granted orphan designation for setmelanotide for the treatment of: (i) Alström syndrome in both the United States and the EU; (ii) Prader-Willi syndrome in the United States and the EU; and (iii) acquired hypothalamic obesity in the EU and Japan.</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may not be able to maintain the benefits of orphan drug exclusivity, or that the FDA or the EC or Japan’s Ministry of Health, Labour and Welfare will grant orphan designations for setmelanotide for other uses. In addition, orphan drug designation neither shortens the development time or regulatory review time of a drug nor gives the drug any advantage in the regulatory review or approval process.</w:t>
      </w:r>
    </w:p>
    <w:p>
      <w:pPr>
        <w:spacing w:after="0" w:line="20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Even though we have obtained orphan drug exclusivity for certain uses of setmelanotide, such exclusivities may not effectively protect setmelanotide from competition because different drugs can be approved for the same indications and uses. In the United States, even after an orphan drug is approved, the FDA may subsequently approve another drug for the same indication or use within the relevant rare disease or condition if the FDA concludes that the latter drug is not the same drug or is clinically superior with respect to the relevant indication or use in that it is shown to be safer, more effective or makes a major contribution to patient care. As discussed above, similar rules apply in the EU.</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spacing w:after="0" w:line="21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180" w:top="838" w:right="1160" w:bottom="0" w:gutter="0" w:footer="0" w:header="0"/>
          <w:type w:val="continuous"/>
        </w:sectPr>
      </w:pPr>
    </w:p>
    <w:bookmarkStart w:id="79" w:name="page80"/>
    <w:bookmarkEnd w:id="79"/>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spacing w:after="0" w:line="21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8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spacing w:after="0" w:line="201"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19"/>
          <w:szCs w:val="19"/>
          <w:color w:val="auto"/>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spacing w:after="0" w:line="18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838" w:right="1160" w:bottom="0" w:gutter="0" w:footer="0" w:header="0"/>
          <w:type w:val="continuous"/>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20"/>
          <w:szCs w:val="20"/>
          <w:color w:val="auto"/>
        </w:rPr>
        <w:t>with applicable regulatory authorities to address the impact of our discontinuing development of the weekly formulation of setmelanotide, which was a component of our pediatric investigation plan, or PIP, in the EU (and the United Kingdom). In Q1 2025, we submitted a request to modify the PIP to remove elements related to the weekly formulation with agreement received in Q2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spacing w:after="0" w:line="212"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 xml:space="preserve">We have focused our development of setmelanotide as a treatment for obesity caused by certain genetic deficiencies affecting the MC4R pathway. To date, we have employed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diagnostic that is not otherwise commercially available, then the FDA may require approval or clearance of that diagnostic, known as a companion diagnostic, at the same time as, or in connection with, the FDA approval of such product candidates.</w:t>
      </w:r>
    </w:p>
    <w:p>
      <w:pPr>
        <w:spacing w:after="0" w:line="20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Following subsequent 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spacing w:after="0" w:line="22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IMCIVREE is currently approved by the FDA for use in adults and pediatric patients two years of age and older with syndromic or monogenic obesity due to BBS and due to POMC, PCSK1, or LEPR deficiencies as determined by a companion diagnostic demonstrating variants in </w:t>
      </w:r>
      <w:r>
        <w:rPr>
          <w:rFonts w:ascii="Times New Roman" w:cs="Times New Roman" w:eastAsia="Times New Roman" w:hAnsi="Times New Roman"/>
          <w:sz w:val="20"/>
          <w:szCs w:val="20"/>
          <w:b w:val="1"/>
          <w:bCs w:val="1"/>
          <w:i w:val="1"/>
          <w:iCs w:val="1"/>
          <w:color w:val="auto"/>
        </w:rPr>
        <w:t>POMC, PCSK1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LEPR</w:t>
      </w:r>
      <w:r>
        <w:rPr>
          <w:rFonts w:ascii="Times New Roman" w:cs="Times New Roman" w:eastAsia="Times New Roman" w:hAnsi="Times New Roman"/>
          <w:sz w:val="20"/>
          <w:szCs w:val="20"/>
          <w:color w:val="auto"/>
        </w:rPr>
        <w:t xml:space="preserve"> genes that are interpreted as pathogenic, likely pathogenic, or of uncertain significance. Any delay or failure by us or our current or future collaborators to develop or obtain regulatory clearance or approval of, or certification of, such tests, if and when necessary, could delay or prevent us from obtaining such additional approvals for setmelanotide, or adversely affect the approvals we have already obtained.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838" w:right="1160" w:bottom="0" w:gutter="0" w:footer="0" w:header="0"/>
          <w:type w:val="continuous"/>
        </w:sectPr>
      </w:pPr>
    </w:p>
    <w:bookmarkStart w:id="81" w:name="page82"/>
    <w:bookmarkEnd w:id="81"/>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spacing w:after="0" w:line="20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 violations of FDA rules and regulations and the comparable foreign regulatory provisions during the conduct of our clinical trials. Outside parties may:</w:t>
      </w:r>
    </w:p>
    <w:p>
      <w:pPr>
        <w:spacing w:after="0" w:line="216" w:lineRule="exact"/>
        <w:rPr>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staffing difficulties;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devote inadequate resources to our clinical trials;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undergo changes in priorities or become financially distressed; or</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more favorable relationships with other entities, some of which may be our competitors.</w:t>
      </w:r>
    </w:p>
    <w:p>
      <w:pPr>
        <w:spacing w:after="0" w:line="25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 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IMCIVREE and, if Approved, our Products Candidates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829" w:right="1160" w:bottom="0" w:gutter="0" w:footer="0" w:header="0"/>
          <w:type w:val="continuous"/>
        </w:sectPr>
      </w:pPr>
    </w:p>
    <w:bookmarkStart w:id="82" w:name="page83"/>
    <w:bookmarkEnd w:id="82"/>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provide reimbursement.</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spacing w:after="0" w:line="20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and coverage and adequate reimbursement may not be applied consistently or obtained in the first instance or that step edits or other conditions on reimbursement may be imposed. Furthermore, rules and regulations regarding reimbursement change frequently, in some cases on short notice, and we believe that changes in these rules and regulations are likely.</w:t>
      </w:r>
    </w:p>
    <w:p>
      <w:pPr>
        <w:spacing w:after="0" w:line="21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80" w:top="829" w:right="1160" w:bottom="0" w:gutter="0" w:footer="0" w:header="0"/>
          <w:type w:val="continuous"/>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20"/>
          <w:szCs w:val="20"/>
          <w:color w:val="auto"/>
        </w:rPr>
        <w:t>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1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Based on data from our Phase 2 trial, in 2023 setmelanotide was granted pre-marketing early-access authorization (AP1) in France for use in patients with hypothalamic obesity. This authorization was granted within France's early-access framework by the French National Agency for Medicines and Health Products Safety (ANSM), with the involvement of the French High Health Authority (HAS), and permits temporary access to a (presumed) innovative product candidate prior to European marketing authorization provided that certain conditions are met and especially when no suitable alternatives exist and when the benefit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risk profile is considered favorable. Through the AP1 program we have collected real</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world evidence that we believe may support the potential of setmelanotide in this patient population; however, such data may not be predictive of outcomes in controlled trials or of any future regulatory decisions. Early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access authorization is time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limited, subject to ongoing review and renewal, may be modified, suspended, or terminated at any time by the competent authorities, and does not constitute, nor imply, marketing authorization in France, the EU, or elsewhere. AP1 status may not be maintained or extended, additional patients may not receive treatment under this program, and European or other regulatory authorities may not approve setmelanotide for hypothalamic obesity.</w:t>
      </w:r>
    </w:p>
    <w:p>
      <w:pPr>
        <w:spacing w:after="0" w:line="20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maintain or expand our sales, marketing and distribution capabilities or enter into agreements with third parties to market, sell, and distribute IMCIVREE, we may not be able to generate revenue.</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which accounts for the largest portion of our total revenues, the Company sells its product through a specialty pharmacy and through a 3PL company. Internationally, we make sales primarily to specialty distributors and retail pharmacy chains, as well as hospitals, many of which are government-owned or supported. We believe our pharmacy and distribution partners are appropriate and optimized for our commercialization efforts at present, however, these arrangements may not continue to operate as intended or be sufficient as we expand our commercialization efforts to include additional indications, such as acquired hypothalamic obesity. In particular, we partner with our U.S. specialty pharmacy for a significant portion of our revenue. Switching to an alternative, or adding another, specialty pharmacy or distributor would involve substantial cost and require extensive management time and focus. In addition, there is a natural transition period when a new specialty pharmacy or distributor commences work. If we choose to or are required to transition to a new specialty pharmacy or distributor, such transition could result in a material decline in our revenue, results of operations and cash flows.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838" w:right="1160" w:bottom="0" w:gutter="0" w:footer="0" w:header="0"/>
          <w:type w:val="continuous"/>
        </w:sectPr>
      </w:pPr>
    </w:p>
    <w:bookmarkStart w:id="84" w:name="page85"/>
    <w:bookmarkEnd w:id="84"/>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never receive regulatory approval to market setmelanotide outside of the United States, Canada, the European Union and the United Kingdom.</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intend to seek marketing authorizations in various countries worldwide.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spacing w:after="0" w:line="2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achieve or maintain market acceptance for IMCIVREE, which would limit the revenue that we generate from the sale of IMCIVREE.</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Market acceptance of IMCIVREE will depend on a number of factors, including, among others:</w:t>
      </w:r>
    </w:p>
    <w:p>
      <w:pPr>
        <w:spacing w:after="0" w:line="250" w:lineRule="exact"/>
        <w:rPr>
          <w:sz w:val="20"/>
          <w:szCs w:val="20"/>
          <w:color w:val="auto"/>
        </w:rPr>
      </w:pPr>
    </w:p>
    <w:p>
      <w:pPr>
        <w:jc w:val="both"/>
        <w:ind w:left="1520" w:right="20" w:hanging="360"/>
        <w:spacing w:after="0" w:line="260"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spacing w:after="0" w:line="203"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complexities of clinical diagnosis and/or genetic testing, as needed, for certain of IMCIVREE’s indications, including obtaining and interpreting clinical or genetic results that support patient treatment with IMCIVREE;</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convenience and ease of SC injections as the necessary method of administration of IMCIVREE, including as compared with other treatments for patients with obesity;</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adverse side effects associated with IMCIVREE;</w:t>
      </w:r>
    </w:p>
    <w:p>
      <w:pPr>
        <w:spacing w:after="0" w:line="250"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alternative treatments, including a number of obesity therapies already approved or expected to be commercially launched in the near future;</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increase awareness of these diseases among our target populations through marketing and other cross-functional efforts;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829" w:right="1160" w:bottom="0" w:gutter="0" w:footer="0" w:header="0"/>
          <w:type w:val="continuous"/>
        </w:sectPr>
      </w:pPr>
    </w:p>
    <w:bookmarkStart w:id="85" w:name="page86"/>
    <w:bookmarkEnd w:id="85"/>
    <w:p>
      <w:pPr>
        <w:ind w:left="1520" w:right="20" w:hanging="360"/>
        <w:spacing w:after="0" w:line="281"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of the target patient population, and the willingness of the target patient population to try new therapies and of physicians to prescribe these therapies;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IMCIVREE to treat the maximum range of pediatric patients, and any limitations on its indications for use;</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 and timing of market introduction of competitive products;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publicity concerning IMCIVREE or competing products and treatments;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cost effectiveness;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sales and marketing strategies and our ability to increase awareness of IMCIVREE through marketing efforts;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sufficient third-party coverage or reimbursement;</w:t>
      </w:r>
    </w:p>
    <w:p>
      <w:pPr>
        <w:spacing w:after="0" w:line="250" w:lineRule="exact"/>
        <w:rPr>
          <w:rFonts w:ascii="Times New Roman" w:cs="Times New Roman" w:eastAsia="Times New Roman" w:hAnsi="Times New Roman"/>
          <w:sz w:val="20"/>
          <w:szCs w:val="20"/>
          <w:color w:val="auto"/>
        </w:rPr>
      </w:pPr>
    </w:p>
    <w:p>
      <w:pPr>
        <w:jc w:val="both"/>
        <w:ind w:left="1520" w:right="20" w:hanging="360"/>
        <w:spacing w:after="0" w:line="260"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p>
      <w:pPr>
        <w:spacing w:after="0" w:line="203" w:lineRule="exact"/>
        <w:rPr>
          <w:rFonts w:ascii="Times New Roman" w:cs="Times New Roman" w:eastAsia="Times New Roman" w:hAnsi="Times New Roman"/>
          <w:sz w:val="20"/>
          <w:szCs w:val="20"/>
          <w:color w:val="auto"/>
        </w:rPr>
      </w:pPr>
    </w:p>
    <w:p>
      <w:pPr>
        <w:jc w:val="both"/>
        <w:ind w:left="1520" w:hanging="360"/>
        <w:spacing w:after="0" w:line="260" w:lineRule="auto"/>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potential product liability exposure, and, if claims are brought against us, we may incur substantial liability.</w:t>
      </w:r>
    </w:p>
    <w:p>
      <w:pPr>
        <w:spacing w:after="0" w:line="25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838" w:right="1160" w:bottom="0" w:gutter="0" w:footer="0" w:header="0"/>
          <w:type w:val="continuous"/>
        </w:sectPr>
      </w:pPr>
    </w:p>
    <w:bookmarkStart w:id="86" w:name="page87"/>
    <w:bookmarkEnd w:id="86"/>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patients from our clinical trials;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patients or other claimants;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IMCIVREE or any future product candidates following marketing approval, if obtained;</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reputation and exposure to adverse publicity;</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costs;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distraction of management’s attention from our primary business;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successfully commercialize IMCIVREE or any future product candidates, if approved.</w:t>
      </w:r>
    </w:p>
    <w:p>
      <w:pPr>
        <w:spacing w:after="0" w:line="25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maintain product liability insurance coverage for our clinical trials and commercial product with a $20.0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spacing w:after="0" w:line="196"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spacing w:after="0" w:line="229" w:lineRule="exact"/>
        <w:rPr>
          <w:sz w:val="20"/>
          <w:szCs w:val="20"/>
          <w:color w:val="auto"/>
        </w:rPr>
      </w:pPr>
    </w:p>
    <w:p>
      <w:pPr>
        <w:jc w:val="both"/>
        <w:ind w:right="20" w:firstLine="720"/>
        <w:spacing w:after="0" w:line="241" w:lineRule="auto"/>
        <w:rPr>
          <w:sz w:val="20"/>
          <w:szCs w:val="20"/>
          <w:color w:val="auto"/>
        </w:rPr>
      </w:pPr>
      <w:r>
        <w:rPr>
          <w:rFonts w:ascii="Times New Roman" w:cs="Times New Roman" w:eastAsia="Times New Roman" w:hAnsi="Times New Roman"/>
          <w:sz w:val="20"/>
          <w:szCs w:val="20"/>
          <w:color w:val="auto"/>
        </w:rPr>
        <w:t>We currently contract with third parties for the manufacture of setmelanotide, RM-718, and bivamelagon and intend to continue to do so in the future. We have entered into process development and manufacturing service agreements with our CMOs, PolyPeptide Group, Braine L'Alleud, or Polypeptide, Neuland Laboratories, and Astrea Monts S.A.S. (formerly Recipharm), or Astrea, for certain process development and manufacturing services for regulatory starting materials and/or raw materials in connection with the manufacture of setmelanotide. We have entered into commercial</w:t>
      </w:r>
    </w:p>
    <w:p>
      <w:pPr>
        <w:sectPr>
          <w:pgSz w:w="12240" w:h="15840" w:orient="portrait"/>
          <w:cols w:equalWidth="0" w:num="1">
            <w:col w:w="9900"/>
          </w:cols>
          <w:pgMar w:left="1180" w:top="838" w:right="1160" w:bottom="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838" w:right="1160" w:bottom="0" w:gutter="0" w:footer="0" w:header="0"/>
          <w:type w:val="continuous"/>
        </w:sectPr>
      </w:pPr>
    </w:p>
    <w:bookmarkStart w:id="87" w:name="page88"/>
    <w:bookmarkEnd w:id="87"/>
    <w:p>
      <w:pPr>
        <w:jc w:val="both"/>
        <w:spacing w:after="0" w:line="236" w:lineRule="auto"/>
        <w:rPr>
          <w:sz w:val="20"/>
          <w:szCs w:val="20"/>
          <w:color w:val="auto"/>
        </w:rPr>
      </w:pPr>
      <w:r>
        <w:rPr>
          <w:rFonts w:ascii="Times New Roman" w:cs="Times New Roman" w:eastAsia="Times New Roman" w:hAnsi="Times New Roman"/>
          <w:sz w:val="20"/>
          <w:szCs w:val="20"/>
          <w:color w:val="auto"/>
        </w:rPr>
        <w:t>supply agreements with various CMOs, including with PolyPeptide and Astrea for manufacturing of drug substance and drug product for IMCIVREE. Under our agreements, we pay these third parties for services and or manufacturing in accordance with the terms of mutually agreed upon work orders, which we may enter into from time to time. We may engage additional third-party suppliers to manufacture our clinical and/or commercial drug supplies in the future. We also have engaged other third parties to assist in, among other things, distribution, post-approval safety reporting and pharmacovigilance activities. We cannot be certain that we can engage third-party suppliers on terms as favorable as those that are currently in place. There are a limited number of companies that can produce raw materials and API in the quantities and with the quality and purity that we require for our product. We believe our current network of manufacturing partners are able to fulfill our requirements, and are capable of continuing to expand capacity as needed. However,if our current suppliers are not able to continue to provide us with the quantities, quality, or purity of raw materials and API that we currently require or in the future will require, it could materially harm our ability to manufacture our products until a new source of supply, if any, could be identified and qualified in a reasonable time or on commercially reasonable terms. Any performance failure on the part of our suppliers could interrupt production of our products, which could have a material adverse effect on our business.</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Additionally, we have evaluated, and will continue to evaluate, potential relationships with additional suppliers to increase overall capacity as well as further reduce risks associated with reliance on a limited number of suppliers for manufacturing.</w:t>
      </w:r>
    </w:p>
    <w:p>
      <w:pPr>
        <w:spacing w:after="0" w:line="195"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 to support all of our current needs for clinical trial and initial commercial supplies for setmelanotide, RM-718, and bivamelagon, if approved. However, going forward, we may need to identify additional CMOs or partners to produce setmelanotide, RM-718, and bivamelagon on a larger scale.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838" w:right="1160" w:bottom="0" w:gutter="0" w:footer="0" w:header="0"/>
          <w:type w:val="continuous"/>
        </w:sectPr>
      </w:pPr>
    </w:p>
    <w:bookmarkStart w:id="88" w:name="page89"/>
    <w:bookmarkEnd w:id="88"/>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Certain of our pharmaceutical products are manufactured outside of the United States. Recently, the U.S. government has initiated substantial changes in U.S. trade policy and U.S. trade agreements, including the initiation of tariffs on certain foreign goods, and has indicated an intention to impose tariffs on imported pharmaceutical products. In response to these tariffs, foreign governments have instituted or are considering imposing tariffs on certain U.S. goods, in addition to other retaliatory measures. If the U.S. imposes additional tariffs or other trade measures on pharmaceutical products, and in response other countries take further retaliatory trade measures, these actions could impose additional costs on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spacing w:after="0" w:line="196"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patents may not have, and any of our pending patent applications that mature into issued patents may not include, claims with a scope sufficient to protect setmelanotide, RM-718, and bivamelagon. In addition, our CHI program intellectual property may not have the scientific value and commercial potential which we envision.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factual questions, and, therefore, the issuance, scope, validity and enforceability of any patent claims that we may obtain cannot be predicted with certainty.</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 w:cs="Times New Roman" w:eastAsia="Times New Roman" w:hAnsi="Times New Roman"/>
          <w:sz w:val="20"/>
          <w:szCs w:val="20"/>
          <w:b w:val="1"/>
          <w:bCs w:val="1"/>
          <w:i w:val="1"/>
          <w:iCs w:val="1"/>
          <w:color w:val="auto"/>
        </w:rPr>
        <w:t>ex parte</w:t>
      </w:r>
      <w:r>
        <w:rPr>
          <w:rFonts w:ascii="Times New Roman" w:cs="Times New Roman" w:eastAsia="Times New Roman" w:hAnsi="Times New Roman"/>
          <w:sz w:val="20"/>
          <w:szCs w:val="20"/>
          <w:color w:val="auto"/>
        </w:rPr>
        <w:t xml:space="preserve"> reexamination, </w:t>
      </w:r>
      <w:r>
        <w:rPr>
          <w:rFonts w:ascii="Times New Roman" w:cs="Times New Roman" w:eastAsia="Times New Roman" w:hAnsi="Times New Roman"/>
          <w:sz w:val="20"/>
          <w:szCs w:val="20"/>
          <w:b w:val="1"/>
          <w:bCs w:val="1"/>
          <w:i w:val="1"/>
          <w:iCs w:val="1"/>
          <w:color w:val="auto"/>
        </w:rPr>
        <w:t>inter partes</w:t>
      </w:r>
      <w:r>
        <w:rPr>
          <w:rFonts w:ascii="Times New Roman" w:cs="Times New Roman" w:eastAsia="Times New Roman" w:hAnsi="Times New Roman"/>
          <w:sz w:val="20"/>
          <w:szCs w:val="20"/>
          <w:color w:val="auto"/>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spacing w:after="0" w:line="21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degree of future protection for our proprietary rights is uncertain, and we cannot ensure that: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838" w:right="1160" w:bottom="0" w:gutter="0" w:footer="0" w:header="0"/>
          <w:type w:val="continuous"/>
        </w:sectPr>
      </w:pPr>
    </w:p>
    <w:bookmarkStart w:id="89" w:name="page90"/>
    <w:bookmarkEnd w:id="89"/>
    <w:p>
      <w:pPr>
        <w:ind w:left="1520" w:right="20" w:hanging="360"/>
        <w:spacing w:after="0" w:line="281" w:lineRule="auto"/>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patents, or any of our pending patent applications, if issued, will include claims having a scope sufficient to protect setmelanotide, RM-718, or bivamelagon;</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pending patent applications will issue as patents;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be able to successfully commercialize IMCIVREE or our other product candidates before our relevant patents expire;</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were the first to make the inventions covered by each of our patents and pending patent applications;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were the first to file patent applications for these inventions;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will not develop similar or alternative technologies that do not infringe our patents;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patents will be found to ultimately be valid and enforceable;</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patents issued to us will provide a basis for an exclusive market for our commercially viable products, will provide us with any competitive advantages or will not be challenged by third parties;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develop additional proprietary technologies or product candidates that are separately patentable; or</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 activities or products will not infringe upon the patents of others.</w:t>
      </w:r>
    </w:p>
    <w:p>
      <w:pPr>
        <w:spacing w:after="0" w:line="250" w:lineRule="exact"/>
        <w:rPr>
          <w:sz w:val="20"/>
          <w:szCs w:val="20"/>
          <w:color w:val="auto"/>
        </w:rPr>
      </w:pPr>
    </w:p>
    <w:p>
      <w:pPr>
        <w:jc w:val="both"/>
        <w:ind w:right="20" w:firstLine="720"/>
        <w:spacing w:after="0" w:line="269" w:lineRule="auto"/>
        <w:rPr>
          <w:sz w:val="20"/>
          <w:szCs w:val="20"/>
          <w:color w:val="auto"/>
        </w:rPr>
      </w:pPr>
      <w:r>
        <w:rPr>
          <w:rFonts w:ascii="Times New Roman" w:cs="Times New Roman" w:eastAsia="Times New Roman" w:hAnsi="Times New Roman"/>
          <w:sz w:val="19"/>
          <w:szCs w:val="19"/>
          <w:color w:val="auto"/>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 consuming and unsuccessful.</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21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838" w:right="1160" w:bottom="0" w:gutter="0" w:footer="0" w:header="0"/>
          <w:type w:val="continuous"/>
        </w:sectPr>
      </w:pPr>
    </w:p>
    <w:bookmarkStart w:id="90" w:name="page91"/>
    <w:bookmarkEnd w:id="90"/>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infringe the intellectual property rights of others, which may prevent or delay our product development efforts and stop us from commercializing or increase the costs of commercializing IMCIVREE or our other product candidates.</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spacing w:after="0" w:line="20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spacing w:after="0" w:line="20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spacing w:after="0" w:line="19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p>
      <w:pPr>
        <w:spacing w:after="0" w:line="195" w:lineRule="exact"/>
        <w:rPr>
          <w:sz w:val="20"/>
          <w:szCs w:val="20"/>
          <w:color w:val="auto"/>
        </w:rPr>
      </w:pPr>
    </w:p>
    <w:p>
      <w:pPr>
        <w:ind w:left="1520" w:right="20" w:hanging="360"/>
        <w:spacing w:after="0" w:line="281" w:lineRule="auto"/>
        <w:tabs>
          <w:tab w:leader="none" w:pos="15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development of setmelanotide and commercialization of IMCIVREE or our other product candidates;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substantial damages for past use of the asserted intellectual property;</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 license from the holder of the asserted intellectual property, which license may not be available on reasonable terms, if at all; and</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trademark claims, rename setmelanotide and/or its trade name IMCIVREE.</w:t>
      </w:r>
    </w:p>
    <w:p>
      <w:pPr>
        <w:spacing w:after="0" w:line="25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Any of these risks coming to fruition could have a material adverse effect on our business, results of operations,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w:t>
      </w:r>
    </w:p>
    <w:p>
      <w:pPr>
        <w:spacing w:after="0" w:line="259" w:lineRule="exact"/>
        <w:rPr>
          <w:sz w:val="20"/>
          <w:szCs w:val="20"/>
          <w:color w:val="auto"/>
        </w:rPr>
      </w:pPr>
    </w:p>
    <w:p>
      <w:pPr>
        <w:jc w:val="both"/>
        <w:ind w:right="20" w:firstLine="720"/>
        <w:spacing w:after="0" w:line="272" w:lineRule="auto"/>
        <w:rPr>
          <w:sz w:val="20"/>
          <w:szCs w:val="20"/>
          <w:color w:val="auto"/>
        </w:rPr>
      </w:pPr>
      <w:r>
        <w:rPr>
          <w:rFonts w:ascii="Times New Roman" w:cs="Times New Roman" w:eastAsia="Times New Roman" w:hAnsi="Times New Roman"/>
          <w:sz w:val="19"/>
          <w:szCs w:val="19"/>
          <w:color w:val="auto"/>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setmelanotide or our other product candidates could be found invalid or unenforceable if challenged in court.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180" w:top="838" w:right="1160" w:bottom="0" w:gutter="0" w:footer="0" w:header="0"/>
          <w:type w:val="continuous"/>
        </w:sectPr>
      </w:pPr>
    </w:p>
    <w:bookmarkStart w:id="91" w:name="page92"/>
    <w:bookmarkEnd w:id="91"/>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20"/>
          <w:szCs w:val="20"/>
          <w:b w:val="1"/>
          <w:bCs w:val="1"/>
          <w:i w:val="1"/>
          <w:iCs w:val="1"/>
          <w:color w:val="auto"/>
        </w:rPr>
        <w:t>inter partes</w:t>
      </w:r>
      <w:r>
        <w:rPr>
          <w:rFonts w:ascii="Times New Roman" w:cs="Times New Roman" w:eastAsia="Times New Roman" w:hAnsi="Times New Roman"/>
          <w:sz w:val="20"/>
          <w:szCs w:val="20"/>
          <w:color w:val="auto"/>
        </w:rPr>
        <w:t xml:space="preserve"> 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spacing w:after="0" w:line="20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Filing, prosecuting and defending patents on setmelanotide and our other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spacing w:after="0" w:line="2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licensed intellectual property. If we were to lose our rights to licensed intellectual property, we may not be able to continue developing or commercializing setmelanotide or bivamelagon.</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have licensed our rights to setmelanotide from Ipsen, and our rights to bivamelagon from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1180" w:top="838" w:right="1160" w:bottom="0" w:gutter="0" w:footer="0" w:header="0"/>
          <w:type w:val="continuous"/>
        </w:sectPr>
      </w:pPr>
    </w:p>
    <w:bookmarkStart w:id="92" w:name="page93"/>
    <w:bookmarkEnd w:id="92"/>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spacing w:after="0" w:line="20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spacing w:after="0" w:line="20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spacing w:after="0" w:line="19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1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Because setmelanotide contains active ingredients that the FDA determined to be a new chemical entity, it was afforded five years of non-patent data exclusivity by the FDA. Following the expiration of this exclusivity period, the FDA may approve generic products referencing the information included in our NDA for setmelanotide. Manufacturers may seek to launch these generic products, even if we still have patent protection for setmelanotide. Legislation enacted by Congress has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180" w:top="838" w:right="1160" w:bottom="0" w:gutter="0" w:footer="0" w:header="0"/>
          <w:type w:val="continuous"/>
        </w:sectPr>
      </w:pPr>
    </w:p>
    <w:bookmarkStart w:id="93" w:name="page94"/>
    <w:bookmarkEnd w:id="93"/>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could diminish the value of patents in general, thereby impairing our ability to protect our products.</w:t>
      </w:r>
    </w:p>
    <w:p>
      <w:pPr>
        <w:spacing w:after="0" w:line="17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United States enacted the America Invents Act of 2011, wide is a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their former employers.</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or our other product candidates, which would materially adversely affect our commercial development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and Marketing of IMCIVREE and Other Legal and Compliance Matters</w:t>
      </w:r>
    </w:p>
    <w:p>
      <w:pPr>
        <w:spacing w:after="0" w:line="24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an FDA-approved test demonstrating variants in </w:t>
      </w:r>
      <w:r>
        <w:rPr>
          <w:rFonts w:ascii="Times New Roman" w:cs="Times New Roman" w:eastAsia="Times New Roman" w:hAnsi="Times New Roman"/>
          <w:sz w:val="20"/>
          <w:szCs w:val="20"/>
          <w:b w:val="1"/>
          <w:bCs w:val="1"/>
          <w:i w:val="1"/>
          <w:iCs w:val="1"/>
          <w:color w:val="auto"/>
        </w:rPr>
        <w:t>POMC,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PCSK1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LEPR </w:t>
      </w:r>
      <w:r>
        <w:rPr>
          <w:rFonts w:ascii="Times New Roman" w:cs="Times New Roman" w:eastAsia="Times New Roman" w:hAnsi="Times New Roman"/>
          <w:sz w:val="20"/>
          <w:szCs w:val="20"/>
          <w:color w:val="auto"/>
        </w:rPr>
        <w:t>genes that are interpreted as pathogenic, likely pathogenic, or of uncertain significance. Health Canada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spacing w:after="0" w:line="212"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838" w:right="1160" w:bottom="0" w:gutter="0" w:footer="0" w:header="0"/>
          <w:type w:val="continuous"/>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20"/>
          <w:szCs w:val="20"/>
          <w:color w:val="auto"/>
        </w:rPr>
        <w:t>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spacing w:after="0" w:line="195" w:lineRule="exact"/>
        <w:rPr>
          <w:sz w:val="20"/>
          <w:szCs w:val="20"/>
          <w:color w:val="auto"/>
        </w:rPr>
      </w:pPr>
    </w:p>
    <w:p>
      <w:pPr>
        <w:jc w:val="both"/>
        <w:ind w:left="1520" w:right="20" w:hanging="360"/>
        <w:spacing w:after="0" w:line="266"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spacing w:after="0" w:line="195" w:lineRule="exact"/>
        <w:rPr>
          <w:rFonts w:ascii="Times New Roman" w:cs="Times New Roman" w:eastAsia="Times New Roman" w:hAnsi="Times New Roman"/>
          <w:sz w:val="20"/>
          <w:szCs w:val="20"/>
          <w:color w:val="auto"/>
        </w:rPr>
      </w:pPr>
    </w:p>
    <w:p>
      <w:pPr>
        <w:jc w:val="both"/>
        <w:ind w:left="1520" w:hanging="360"/>
        <w:spacing w:after="0" w:line="266"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demonstrate to the satisfaction of the FDA, the EMA, or other equivalent competent authorities in foreign jurisdictions that our product candidates are safe and effective for their intended uses;</w:t>
      </w:r>
    </w:p>
    <w:p>
      <w:pPr>
        <w:spacing w:after="0" w:line="195" w:lineRule="exact"/>
        <w:rPr>
          <w:rFonts w:ascii="Times New Roman" w:cs="Times New Roman" w:eastAsia="Times New Roman" w:hAnsi="Times New Roman"/>
          <w:sz w:val="20"/>
          <w:szCs w:val="20"/>
          <w:color w:val="auto"/>
        </w:rPr>
      </w:pPr>
    </w:p>
    <w:p>
      <w:pPr>
        <w:jc w:val="both"/>
        <w:ind w:left="1520" w:right="20" w:hanging="360"/>
        <w:spacing w:after="0" w:line="260"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p>
      <w:pPr>
        <w:spacing w:after="0" w:line="203"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disagree with the number, size, conduct or implementation of our clinical trials;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require that we conduct additional clinical trials or pre-clinical studies;</w:t>
      </w:r>
    </w:p>
    <w:p>
      <w:pPr>
        <w:spacing w:after="0" w:line="181" w:lineRule="exact"/>
        <w:rPr>
          <w:rFonts w:ascii="Times New Roman" w:cs="Times New Roman" w:eastAsia="Times New Roman" w:hAnsi="Times New Roman"/>
          <w:sz w:val="20"/>
          <w:szCs w:val="20"/>
          <w:color w:val="auto"/>
        </w:rPr>
      </w:pPr>
    </w:p>
    <w:p>
      <w:pPr>
        <w:jc w:val="both"/>
        <w:ind w:left="1520" w:hanging="360"/>
        <w:spacing w:after="0" w:line="260"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spacing w:after="0" w:line="203"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CROs that we retain to conduct our clinical trials may take actions outside of our control that materially adversely impact our clinical trials;</w:t>
      </w:r>
    </w:p>
    <w:p>
      <w:pPr>
        <w:spacing w:after="0" w:line="181"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disagree with our interpretation of data from our preclinical studies and clinical trials;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equivalent competent authorities in foreign jurisdictions may not approve the formulation, labeling or specifications of our product candidates;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other equivalent competent authorities in foreign jurisdictions may not accept data generated at our clinical trial sites;</w:t>
      </w:r>
    </w:p>
    <w:p>
      <w:pPr>
        <w:spacing w:after="0" w:line="181"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the equivalent competent authorities in foreign jurisdictions may require, as a condition of approval, additional preclinical studies or clinical trials, limitations on approved labeling or distribution and use restrictions;</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meet any post-market requirements or commitments agreed to in connection with regulatory approvals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838" w:right="1160" w:bottom="0" w:gutter="0" w:footer="0" w:header="0"/>
          <w:type w:val="continuous"/>
        </w:sectPr>
      </w:pPr>
    </w:p>
    <w:bookmarkStart w:id="95" w:name="page96"/>
    <w:bookmarkEnd w:id="95"/>
    <w:p>
      <w:pPr>
        <w:jc w:val="both"/>
        <w:ind w:left="1520" w:right="20" w:hanging="360"/>
        <w:spacing w:after="0" w:line="266" w:lineRule="auto"/>
        <w:tabs>
          <w:tab w:leader="none" w:pos="1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may require development of a REMS as a condition of additional approvals or may impose additional requirements that limit the promotion, advertising, distribution, or sales of our product candidate;</w:t>
      </w:r>
    </w:p>
    <w:p>
      <w:pPr>
        <w:spacing w:after="0" w:line="195"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spacing w:after="0" w:line="195" w:lineRule="exact"/>
        <w:rPr>
          <w:rFonts w:ascii="Times New Roman" w:cs="Times New Roman" w:eastAsia="Times New Roman" w:hAnsi="Times New Roman"/>
          <w:sz w:val="20"/>
          <w:szCs w:val="20"/>
          <w:color w:val="auto"/>
        </w:rPr>
      </w:pPr>
    </w:p>
    <w:p>
      <w:pPr>
        <w:jc w:val="both"/>
        <w:ind w:left="1520" w:hanging="360"/>
        <w:spacing w:after="0" w:line="266" w:lineRule="auto"/>
        <w:tabs>
          <w:tab w:leader="none" w:pos="1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equivalent competent foreign regulatory agencies may deem our manufacturing processes or our facilities or the facilities of our CMOs inadequate to preserve the identity, strength, quality, purity, or potency of our product; or</w:t>
      </w:r>
    </w:p>
    <w:p>
      <w:pPr>
        <w:spacing w:after="0" w:line="195"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the equivalent competent authorities in foreign jurisdictions may change its approval policies or adopt new regulations and guidance.</w:t>
      </w:r>
    </w:p>
    <w:p>
      <w:pPr>
        <w:spacing w:after="0" w:line="18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regulatory legislation or regulation may increase the difficulty and cost for us to obtain marketing approval of and commercialize our product candidates.</w:t>
      </w:r>
    </w:p>
    <w:p>
      <w:pPr>
        <w:spacing w:after="0" w:line="177"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EU pharmaceutical legislation has been undergoing a complete review process, in the context of the Pharmaceutical Strategy for Europe initiative, launched by the EC in November 2020. The EC’s proposal for a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Furthermore, on April 28, 2025, the UK adopted an amendment to the UK clinical trials regulations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will become applicable April 28, 2026, following a one-year transition period. The revisions, may, however, have a significant impact on the pharmaceutical industry and our business in the long term.</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began to sunset after December 20, 2024. These changes to the PRV Program could impact existing and future development programs and could negatively impact our business.</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including those caused by changing policy priorities, funding shortages staffing or other resource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20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 that fund research and development activities is subject to the political process, which is inherently fluid and unpredictable.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838" w:right="1160" w:bottom="0" w:gutter="0" w:footer="0" w:header="0"/>
          <w:type w:val="continuous"/>
        </w:sectPr>
      </w:pPr>
    </w:p>
    <w:bookmarkStart w:id="96" w:name="page97"/>
    <w:bookmarkEnd w:id="96"/>
    <w:p>
      <w:pPr>
        <w:jc w:val="both"/>
        <w:spacing w:after="0" w:line="255"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and started to implement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activities.</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If a prolonged government shutdown occurs, or if policy changes, funding shortages or staffing limitations or any other disruptions prevent or hinder the FDA or other regulatory authorities from conducting their regular inspections, reviews, or other activities, including providing us with advice on our development programs in a timely manner, such events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spacing w:after="0" w:line="201"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180" w:top="838" w:right="1160" w:bottom="0" w:gutter="0" w:footer="0" w:header="0"/>
          <w:type w:val="continuous"/>
        </w:sectPr>
      </w:pPr>
    </w:p>
    <w:bookmarkStart w:id="97" w:name="page98"/>
    <w:bookmarkEnd w:id="97"/>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spacing w:after="0" w:line="213" w:lineRule="exact"/>
        <w:rPr>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warning letters or untitled letters;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 injunction or impose civil or criminal penalties or monetary fines;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 suspend or withdraw marketing approval;</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any ongoing clinical trials;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approve pending applications or supplements to applications submitted by us;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or impose restrictions on operations, including costly new manufacturing requirements; or</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seize or detain setmelanotide, refuse to permit the import or export of setmelanotide, or request that we initiate a product recall.</w:t>
      </w:r>
    </w:p>
    <w:p>
      <w:pPr>
        <w:spacing w:after="0" w:line="18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0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pacing w:after="0" w:line="20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80" w:top="838" w:right="1160" w:bottom="0" w:gutter="0" w:footer="0" w:header="0"/>
          <w:type w:val="continuous"/>
        </w:sectPr>
      </w:pPr>
    </w:p>
    <w:bookmarkStart w:id="98" w:name="page99"/>
    <w:bookmarkEnd w:id="98"/>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spacing w:after="0" w:line="204" w:lineRule="exact"/>
        <w:rPr>
          <w:sz w:val="20"/>
          <w:szCs w:val="20"/>
          <w:color w:val="auto"/>
        </w:rPr>
      </w:pPr>
    </w:p>
    <w:p>
      <w:pPr>
        <w:jc w:val="both"/>
        <w:ind w:left="1520" w:right="20" w:hanging="360"/>
        <w:spacing w:after="0" w:line="260" w:lineRule="auto"/>
        <w:tabs>
          <w:tab w:leader="none" w:pos="1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203" w:lineRule="exact"/>
        <w:rPr>
          <w:rFonts w:ascii="Times New Roman" w:cs="Times New Roman" w:eastAsia="Times New Roman" w:hAnsi="Times New Roman"/>
          <w:sz w:val="20"/>
          <w:szCs w:val="20"/>
          <w:color w:val="auto"/>
        </w:rPr>
      </w:pPr>
    </w:p>
    <w:p>
      <w:pPr>
        <w:jc w:val="both"/>
        <w:ind w:left="1520" w:right="20" w:hanging="360"/>
        <w:spacing w:after="0" w:line="260" w:lineRule="auto"/>
        <w:tabs>
          <w:tab w:leader="none" w:pos="1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manufacturers’ rebate liability under the Medicaid Drug Rebate Program by increasing the minimum rebate for both branded and generic drugs, revising the “average manufacturer price” definition, and extending manufacturer rebate liability from fee-for-service Medicaid utilization to include the utilization of Medicaid managed care organizations as well;</w:t>
      </w:r>
    </w:p>
    <w:p>
      <w:pPr>
        <w:spacing w:after="0" w:line="203" w:lineRule="exact"/>
        <w:rPr>
          <w:rFonts w:ascii="Times New Roman" w:cs="Times New Roman" w:eastAsia="Times New Roman" w:hAnsi="Times New Roman"/>
          <w:sz w:val="20"/>
          <w:szCs w:val="20"/>
          <w:color w:val="auto"/>
        </w:rPr>
      </w:pPr>
    </w:p>
    <w:p>
      <w:pPr>
        <w:jc w:val="both"/>
        <w:ind w:left="1520" w:right="20" w:hanging="360"/>
        <w:spacing w:after="0" w:line="260" w:lineRule="auto"/>
        <w:tabs>
          <w:tab w:leader="none" w:pos="1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203" w:lineRule="exact"/>
        <w:rPr>
          <w:rFonts w:ascii="Times New Roman" w:cs="Times New Roman" w:eastAsia="Times New Roman" w:hAnsi="Times New Roman"/>
          <w:sz w:val="20"/>
          <w:szCs w:val="20"/>
          <w:color w:val="auto"/>
        </w:rPr>
      </w:pPr>
    </w:p>
    <w:p>
      <w:pPr>
        <w:ind w:left="1520" w:hanging="360"/>
        <w:spacing w:after="0" w:line="281" w:lineRule="auto"/>
        <w:tabs>
          <w:tab w:leader="none" w:pos="1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Patient Centered Outcomes Research Institute to oversee, identify priorities in, and conduct comparative clinical effectiveness research, along with funding for such research; and</w:t>
      </w:r>
    </w:p>
    <w:p>
      <w:pPr>
        <w:spacing w:after="0" w:line="181"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the Center for Medicare and Medicaid Innovation within CMS to test innovative payment and service delivery models to lower Medicare and Medicaid spending, including prescription drug spending.</w:t>
      </w:r>
    </w:p>
    <w:p>
      <w:pPr>
        <w:spacing w:after="0" w:line="195"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Since its enactment, certain provisions of the ACA have been subject to judicial, executive, and legislative challenges and may be subject to additional challenges in the future. In addition, other legislative changes have been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00"/>
          </w:cols>
          <w:pgMar w:left="1180" w:top="838" w:right="1160" w:bottom="0" w:gutter="0" w:footer="0" w:header="0"/>
          <w:type w:val="continuous"/>
        </w:sectPr>
      </w:pPr>
    </w:p>
    <w:bookmarkStart w:id="99" w:name="page100"/>
    <w:bookmarkEnd w:id="99"/>
    <w:p>
      <w:pPr>
        <w:jc w:val="both"/>
        <w:spacing w:after="0" w:line="255" w:lineRule="auto"/>
        <w:rPr>
          <w:sz w:val="20"/>
          <w:szCs w:val="20"/>
          <w:color w:val="auto"/>
        </w:rPr>
      </w:pPr>
      <w:r>
        <w:rPr>
          <w:rFonts w:ascii="Times New Roman" w:cs="Times New Roman" w:eastAsia="Times New Roman" w:hAnsi="Times New Roman"/>
          <w:sz w:val="20"/>
          <w:szCs w:val="20"/>
          <w:color w:val="auto"/>
        </w:rPr>
        <w:t>proposed and adopted since the ACA was enacted. For example, 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pacing w:after="0" w:line="210"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The Inflation Reduction Act or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21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spacing w:after="0" w:line="208" w:lineRule="exact"/>
        <w:rPr>
          <w:sz w:val="20"/>
          <w:szCs w:val="20"/>
          <w:color w:val="auto"/>
        </w:rPr>
      </w:pPr>
    </w:p>
    <w:p>
      <w:pPr>
        <w:jc w:val="both"/>
        <w:ind w:right="20" w:firstLine="720"/>
        <w:spacing w:after="0" w:line="272" w:lineRule="auto"/>
        <w:rPr>
          <w:sz w:val="20"/>
          <w:szCs w:val="20"/>
          <w:color w:val="auto"/>
        </w:rPr>
      </w:pPr>
      <w:r>
        <w:rPr>
          <w:rFonts w:ascii="Times New Roman" w:cs="Times New Roman" w:eastAsia="Times New Roman" w:hAnsi="Times New Roman"/>
          <w:sz w:val="19"/>
          <w:szCs w:val="19"/>
          <w:color w:val="auto"/>
        </w:rPr>
        <w:t>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spacing w:after="0" w:line="19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IMCIVREE or any other product candidate that we commercialize.</w:t>
      </w:r>
    </w:p>
    <w:p>
      <w:pPr>
        <w:spacing w:after="0" w:line="20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19"/>
          <w:szCs w:val="19"/>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IMCIVREE.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838" w:right="1160" w:bottom="0" w:gutter="0" w:footer="0" w:header="0"/>
          <w:type w:val="continuous"/>
        </w:sectPr>
      </w:pPr>
    </w:p>
    <w:bookmarkStart w:id="100" w:name="page101"/>
    <w:bookmarkEnd w:id="100"/>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Congress and among policymakers, and it is possible that Congress could enact additional laws that negatively affect the pharmaceutical industry.</w:t>
      </w:r>
    </w:p>
    <w:p>
      <w:pPr>
        <w:spacing w:after="0" w:line="18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IMCIVREE or the frequency with which IMCIVREE is prescribed or used.</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 w:cs="Times New Roman" w:eastAsia="Times New Roman" w:hAnsi="Times New Roman"/>
          <w:sz w:val="20"/>
          <w:szCs w:val="20"/>
          <w:b w:val="1"/>
          <w:bCs w:val="1"/>
          <w:i w:val="1"/>
          <w:iCs w:val="1"/>
          <w:color w:val="auto"/>
        </w:rPr>
        <w:t>“The successful commercialization of IMCIVREE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 </w:t>
      </w:r>
      <w:r>
        <w:rPr>
          <w:rFonts w:ascii="Times New Roman" w:cs="Times New Roman" w:eastAsia="Times New Roman" w:hAnsi="Times New Roman"/>
          <w:sz w:val="20"/>
          <w:szCs w:val="20"/>
          <w:color w:val="auto"/>
        </w:rPr>
        <w:t>in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Annual Report.</w:t>
      </w:r>
    </w:p>
    <w:p>
      <w:pPr>
        <w:spacing w:after="0" w:line="20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201"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838" w:right="1160" w:bottom="0" w:gutter="0" w:footer="0" w:header="0"/>
          <w:type w:val="continuous"/>
        </w:sectPr>
      </w:pPr>
    </w:p>
    <w:bookmarkStart w:id="101" w:name="page102"/>
    <w:bookmarkEnd w:id="101"/>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5"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 xml:space="preserve">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20"/>
          <w:szCs w:val="20"/>
          <w:b w:val="1"/>
          <w:bCs w:val="1"/>
          <w:i w:val="1"/>
          <w:iCs w:val="1"/>
          <w:color w:val="auto"/>
        </w:rPr>
        <w:t>“Current and future healthcare reform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 </w:t>
      </w:r>
      <w:r>
        <w:rPr>
          <w:rFonts w:ascii="Times New Roman" w:cs="Times New Roman" w:eastAsia="Times New Roman" w:hAnsi="Times New Roman"/>
          <w:sz w:val="20"/>
          <w:szCs w:val="20"/>
          <w:color w:val="auto"/>
        </w:rPr>
        <w:t>above. The Medicare Part D rebate, if applicable, will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calculated on the basis of the AMP figures we report pursuant to the MDRP.</w:t>
      </w:r>
    </w:p>
    <w:p>
      <w:pPr>
        <w:spacing w:after="0" w:line="20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2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00"/>
          </w:cols>
          <w:pgMar w:left="1180" w:top="838" w:right="1160" w:bottom="0" w:gutter="0" w:footer="0" w:header="0"/>
          <w:type w:val="continuous"/>
        </w:sectPr>
      </w:pPr>
    </w:p>
    <w:bookmarkStart w:id="102" w:name="page103"/>
    <w:bookmarkEnd w:id="102"/>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FDA-approved test demonstrating variants in POMC, PCSK1, or LEPR genes that are interpreted as pathogenic, likely pathogenic, or of uncertain significance.</w:t>
      </w:r>
    </w:p>
    <w:p>
      <w:pPr>
        <w:spacing w:after="0" w:line="20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spacing w:after="0" w:line="21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00"/>
          </w:cols>
          <w:pgMar w:left="1180" w:top="838" w:right="1160" w:bottom="0" w:gutter="0" w:footer="0" w:header="0"/>
          <w:type w:val="continuous"/>
        </w:sectPr>
      </w:pPr>
    </w:p>
    <w:bookmarkStart w:id="103" w:name="page104"/>
    <w:bookmarkEnd w:id="10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imprisonment. These laws may further limit or restrict the advertising and promotion of our products to the general public and may also impose limitations on our promotional activities with health care professionals.</w:t>
      </w:r>
    </w:p>
    <w:p>
      <w:pPr>
        <w:spacing w:after="0" w:line="17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spacing w:after="0" w:line="201"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spacing w:after="0" w:line="208" w:lineRule="exact"/>
        <w:rPr>
          <w:sz w:val="20"/>
          <w:szCs w:val="20"/>
          <w:color w:val="auto"/>
        </w:rPr>
      </w:pPr>
    </w:p>
    <w:p>
      <w:pPr>
        <w:jc w:val="both"/>
        <w:ind w:left="1520" w:hanging="360"/>
        <w:spacing w:after="0" w:line="252" w:lineRule="auto"/>
        <w:tabs>
          <w:tab w:leader="none" w:pos="15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spacing w:after="0" w:line="213" w:lineRule="exact"/>
        <w:rPr>
          <w:rFonts w:ascii="Times New Roman" w:cs="Times New Roman" w:eastAsia="Times New Roman" w:hAnsi="Times New Roman"/>
          <w:sz w:val="20"/>
          <w:szCs w:val="20"/>
          <w:color w:val="auto"/>
        </w:rPr>
      </w:pPr>
    </w:p>
    <w:p>
      <w:pPr>
        <w:jc w:val="both"/>
        <w:ind w:left="1520" w:hanging="360"/>
        <w:spacing w:after="0" w:line="251" w:lineRule="auto"/>
        <w:tabs>
          <w:tab w:leader="none" w:pos="15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180" w:top="838" w:right="1160" w:bottom="0" w:gutter="0" w:footer="0" w:header="0"/>
          <w:type w:val="continuous"/>
        </w:sectPr>
      </w:pPr>
    </w:p>
    <w:bookmarkStart w:id="104" w:name="page105"/>
    <w:bookmarkEnd w:id="104"/>
    <w:p>
      <w:pPr>
        <w:ind w:left="1520"/>
        <w:spacing w:after="0" w:line="281" w:lineRule="auto"/>
        <w:rPr>
          <w:sz w:val="20"/>
          <w:szCs w:val="20"/>
          <w:color w:val="auto"/>
        </w:rPr>
      </w:pPr>
      <w:r>
        <w:rPr>
          <w:rFonts w:ascii="Times New Roman" w:cs="Times New Roman" w:eastAsia="Times New Roman" w:hAnsi="Times New Roman"/>
          <w:sz w:val="20"/>
          <w:szCs w:val="20"/>
          <w:color w:val="auto"/>
        </w:rPr>
        <w:t>claims laws, including, among others, federal criminal healthcare fraud and false statement statutes that extend to non-government health benefit programs.</w:t>
      </w:r>
    </w:p>
    <w:p>
      <w:pPr>
        <w:spacing w:after="0" w:line="181" w:lineRule="exact"/>
        <w:rPr>
          <w:sz w:val="20"/>
          <w:szCs w:val="20"/>
          <w:color w:val="auto"/>
        </w:rPr>
      </w:pPr>
    </w:p>
    <w:p>
      <w:pPr>
        <w:jc w:val="both"/>
        <w:ind w:left="1520" w:hanging="360"/>
        <w:spacing w:after="0" w:line="252" w:lineRule="auto"/>
        <w:tabs>
          <w:tab w:leader="none" w:pos="1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216" w:lineRule="exact"/>
        <w:rPr>
          <w:rFonts w:ascii="Times New Roman" w:cs="Times New Roman" w:eastAsia="Times New Roman" w:hAnsi="Times New Roman"/>
          <w:sz w:val="20"/>
          <w:szCs w:val="20"/>
          <w:color w:val="auto"/>
        </w:rPr>
      </w:pPr>
    </w:p>
    <w:p>
      <w:pPr>
        <w:jc w:val="both"/>
        <w:ind w:left="1520" w:right="20" w:hanging="360"/>
        <w:spacing w:after="0" w:line="253" w:lineRule="auto"/>
        <w:tabs>
          <w:tab w:leader="none" w:pos="1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spacing w:after="0" w:line="213" w:lineRule="exact"/>
        <w:rPr>
          <w:rFonts w:ascii="Times New Roman" w:cs="Times New Roman" w:eastAsia="Times New Roman" w:hAnsi="Times New Roman"/>
          <w:sz w:val="20"/>
          <w:szCs w:val="20"/>
          <w:color w:val="auto"/>
        </w:rPr>
      </w:pPr>
    </w:p>
    <w:p>
      <w:pPr>
        <w:jc w:val="both"/>
        <w:ind w:left="1520" w:right="20" w:hanging="360"/>
        <w:spacing w:after="0" w:line="253" w:lineRule="auto"/>
        <w:tabs>
          <w:tab w:leader="none" w:pos="1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213" w:lineRule="exact"/>
        <w:rPr>
          <w:rFonts w:ascii="Times New Roman" w:cs="Times New Roman" w:eastAsia="Times New Roman" w:hAnsi="Times New Roman"/>
          <w:sz w:val="20"/>
          <w:szCs w:val="20"/>
          <w:color w:val="auto"/>
        </w:rPr>
      </w:pPr>
    </w:p>
    <w:p>
      <w:pPr>
        <w:jc w:val="both"/>
        <w:ind w:left="1520" w:hanging="360"/>
        <w:spacing w:after="0" w:line="255" w:lineRule="auto"/>
        <w:tabs>
          <w:tab w:leader="none" w:pos="1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21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180" w:top="838" w:right="1160" w:bottom="0" w:gutter="0" w:footer="0" w:header="0"/>
          <w:type w:val="continuous"/>
        </w:sectPr>
      </w:pPr>
    </w:p>
    <w:bookmarkStart w:id="105" w:name="page106"/>
    <w:bookmarkEnd w:id="105"/>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employees may engage in misconduct or other improper activities, whether knowingly or unknowingly, including violating applicable regulatory standards and requirements or engaging in insider trading, which could significantly harm our business.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 w:cs="Times New Roman" w:eastAsia="Times New Roman" w:hAnsi="Times New Roman"/>
          <w:sz w:val="20"/>
          <w:szCs w:val="20"/>
          <w:b w:val="1"/>
          <w:bCs w:val="1"/>
          <w:i w:val="1"/>
          <w:iCs w:val="1"/>
          <w:color w:val="auto"/>
        </w:rPr>
        <w:t>“We may be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federal and state healthcare laws and regulations. If we are unable to comply or have not fully complied with such laws and regulations, we could face criminal sanctions, damages, substantial civil penalties, reputational harm and diminished profits and future earnings” </w:t>
      </w:r>
      <w:r>
        <w:rPr>
          <w:rFonts w:ascii="Times New Roman" w:cs="Times New Roman" w:eastAsia="Times New Roman" w:hAnsi="Times New Roman"/>
          <w:sz w:val="20"/>
          <w:szCs w:val="20"/>
          <w:color w:val="auto"/>
        </w:rPr>
        <w:t>of this Annual Report.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failure to comply with data protection, privacy and security laws and regulations could lead to government enforcement actions and significant penalties against us, and adversely impact our operating results.</w:t>
      </w:r>
    </w:p>
    <w:p>
      <w:pPr>
        <w:spacing w:after="0" w:line="17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our contracts governing our processing of personal information, or other privacy and security obligations could result in negative publicity, government investigations and enforcement actions, claims by third parties and damage to our reputation, any of which could have a material adverse effect on our financial performance, business and operating results.</w:t>
      </w:r>
    </w:p>
    <w:p>
      <w:pPr>
        <w:spacing w:after="0" w:line="21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1180" w:top="838" w:right="1160" w:bottom="0" w:gutter="0" w:footer="0" w:header="0"/>
          <w:type w:val="continuous"/>
        </w:sectPr>
      </w:pPr>
    </w:p>
    <w:bookmarkStart w:id="106" w:name="page107"/>
    <w:bookmarkEnd w:id="106"/>
    <w:p>
      <w:pPr>
        <w:jc w:val="both"/>
        <w:spacing w:after="0" w:line="252" w:lineRule="auto"/>
        <w:rPr>
          <w:sz w:val="20"/>
          <w:szCs w:val="20"/>
          <w:color w:val="auto"/>
        </w:rPr>
      </w:pPr>
      <w:r>
        <w:rPr>
          <w:rFonts w:ascii="Times New Roman" w:cs="Times New Roman" w:eastAsia="Times New Roman" w:hAnsi="Times New Roman"/>
          <w:sz w:val="20"/>
          <w:szCs w:val="20"/>
          <w:color w:val="auto"/>
        </w:rPr>
        <w:t>of current and future collaborators.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enacted in numerous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Furthermore, the Federal Trade Commission, or FTC, and many state Attorneys General continue to enforce federal and state consumer protection laws against companies for the collection, use, and dissemination of personal information,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216"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operations abroad may also be subject to increased scrutiny or attention from data protection authorities.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or EEA, and the UK or in the context of our activities in the EEA or UK,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or UK, security breach notifications, and security and confidentiality of the personal data, and violations of these requirements could result in substantial fines, up to the greater of 20 million Euros / 17.5 million GBP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00"/>
          </w:cols>
          <w:pgMar w:left="1180" w:top="838" w:right="1160" w:bottom="0" w:gutter="0" w:footer="0" w:header="0"/>
          <w:type w:val="continuous"/>
        </w:sectPr>
      </w:pPr>
    </w:p>
    <w:bookmarkStart w:id="107" w:name="page108"/>
    <w:bookmarkEnd w:id="107"/>
    <w:p>
      <w:pPr>
        <w:jc w:val="both"/>
        <w:spacing w:after="0" w:line="241" w:lineRule="auto"/>
        <w:rPr>
          <w:sz w:val="20"/>
          <w:szCs w:val="20"/>
          <w:color w:val="auto"/>
        </w:rPr>
      </w:pPr>
      <w:r>
        <w:rPr>
          <w:rFonts w:ascii="Times New Roman" w:cs="Times New Roman" w:eastAsia="Times New Roman" w:hAnsi="Times New Roman"/>
          <w:sz w:val="20"/>
          <w:szCs w:val="20"/>
          <w:color w:val="auto"/>
        </w:rPr>
        <w:t>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spacing w:after="0" w:line="205" w:lineRule="exact"/>
        <w:rPr>
          <w:sz w:val="20"/>
          <w:szCs w:val="20"/>
          <w:color w:val="auto"/>
        </w:rPr>
      </w:pPr>
    </w:p>
    <w:p>
      <w:pPr>
        <w:ind w:right="60" w:firstLine="720"/>
        <w:spacing w:after="0" w:line="236" w:lineRule="auto"/>
        <w:rPr>
          <w:sz w:val="20"/>
          <w:szCs w:val="20"/>
          <w:color w:val="auto"/>
        </w:rPr>
      </w:pPr>
      <w:r>
        <w:rPr>
          <w:rFonts w:ascii="Times New Roman" w:cs="Times New Roman" w:eastAsia="Times New Roman" w:hAnsi="Times New Roman"/>
          <w:sz w:val="20"/>
          <w:szCs w:val="20"/>
          <w:color w:val="auto"/>
        </w:rPr>
        <w:t>Among other requirements, the GDPR also regulate transfers of personal data subject to the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21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0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growth depends, in part, on our ability to continue to penetrate foreign markets, where we will be subject to additional regulatory burdens and other risks and uncertainties.</w:t>
      </w:r>
    </w:p>
    <w:p>
      <w:pPr>
        <w:spacing w:after="0" w:line="177"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19"/>
          <w:szCs w:val="19"/>
          <w:color w:val="auto"/>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spacing w:after="0" w:line="179" w:lineRule="exact"/>
        <w:rPr>
          <w:sz w:val="20"/>
          <w:szCs w:val="20"/>
          <w:color w:val="auto"/>
        </w:rPr>
      </w:pPr>
    </w:p>
    <w:p>
      <w:pPr>
        <w:ind w:left="1520" w:hanging="360"/>
        <w:spacing w:after="0"/>
        <w:tabs>
          <w:tab w:leader="none" w:pos="15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ability to obtain reimbursement for setmelanotide in foreign markets;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directly control commercial activities because we are relying on third parties;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880"/>
          </w:cols>
          <w:pgMar w:left="1180" w:top="838" w:right="1180" w:bottom="0" w:gutter="0" w:footer="0" w:header="0"/>
          <w:type w:val="continuous"/>
        </w:sectPr>
      </w:pPr>
    </w:p>
    <w:bookmarkStart w:id="108" w:name="page109"/>
    <w:bookmarkEnd w:id="108"/>
    <w:p>
      <w:pPr>
        <w:ind w:left="1520" w:right="20" w:hanging="360"/>
        <w:spacing w:after="0" w:line="281" w:lineRule="auto"/>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burden of complying with complex and changing foreign regulatory, tax, accounting and legal requirements;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medical practices and customs in foreign countries affecting acceptance in the marketplace;</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or export licensing requirements;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accounts receivable collection times;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lead times for shipping;</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language barriers for technical training;</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of intellectual property rights in some foreign countries;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fluctuations;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of contractual provisions governed by foreign laws in the event of a contract dispute.</w:t>
      </w:r>
    </w:p>
    <w:p>
      <w:pPr>
        <w:spacing w:after="0" w:line="25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Foreign sales of setmelanotide could also be adversely affected by the imposition of governmental controls, political and economic instability, trade restrictions and changes in tariffs, including the imposition of tariffs by the United States or any other tariffs that could apply directly or indirectly to the costs of goods required to manufacture setmelanotide.</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20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results of the United Kingdom’s departure from the EU, and the resulting impact of differing regulations, may have a negative effect on our business.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00"/>
          </w:cols>
          <w:pgMar w:left="1180" w:top="838" w:right="1160" w:bottom="0" w:gutter="0" w:footer="0" w:header="0"/>
          <w:type w:val="continuous"/>
        </w:sectPr>
      </w:pPr>
    </w:p>
    <w:bookmarkStart w:id="109" w:name="page110"/>
    <w:bookmarkEnd w:id="109"/>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Since the end of the Brexit transition period on January 1, 2021, and the implementation of the Windsor Framework on January 1, 2025, the UK has not been directly subject to EU law with respect to medicinal products and has operated under a separate regulatory regime to the EU. As a result of the Northern Ireland Protocol, different rules applied in Northern Ireland than in Great Britain; broadly, Northern Ireland continued to follow the EU regulatory regime. However, on January 1, 2025, an arrangement called the “Windsor Agreement”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medicinal products. There could be additional uncertainty and risk around what these changes mean to our business. With the exception of the adopted amendment to the UK clinical trials regulations on April 28, 2025, it is currently unclear to what extent the UK government will seek to align its regulations with the EU with respect to medicinal products. EU law, which has been transposed into UK law through secondary legislation, still remains applicable in the UK, however, new EU legislation such as the CTR is not applicable in the UK. While the UK has indicated a general intention that new laws regarding the manufacture and commercialization of medicinal products in the UK will align closely with EU law, there remain limited detailed proposals for the future regulation of medicinal products.</w:t>
      </w:r>
    </w:p>
    <w:p>
      <w:pPr>
        <w:spacing w:after="0" w:line="21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While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the UK from the EU in the future, which may impact clinical and development activities that occur in the UK. Similarly, clinical trial submissions in the UK cannot be bundled with those of EU member states within the EMA Clinical Trial Information System (CTIS). Any divergent requirements may increase the cost and complexity of running our business, including with respect to the conduct of clinical trials.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The UK is no longer covered by the EU’s procedures for the grant of MA. A separate MA is required to market medicinal products in the UK. Such changes could increase our costs and otherwise adversely affect our business. Any delay in obtaining, or an inability to obtain regulatory approvals, as a result of Brexit or otherwise, may prevent us from commercializing our product candidates in the UK and restrict our ability to generate revenue and achieve or sustain profitability. If any of these outcomes occur, we may be forced to restrict or delay efforts to seek regulatory approval in the UK for our product candidates, which could significantly and materially harm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key employees and consultants, and to attract, retain and motivate qualified personnel.</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For example, on September 19, 2025, it was announced that subject to limited exceptions, petitions for H-1B visas should be approved only if they are accompanied by a payment of $100,000. This policy could hamper our recruitment efforts for any new personnel who require such a visa. Additional changes in U.S. immigration policies, rules, laws or orders could further increase our recruitment costs or delay key projects that require specialized expertise. In addition, restrictions or delays in the issuance of other visas or in immigration processing could adversely affect our ability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838" w:right="1160" w:bottom="0" w:gutter="0" w:footer="0" w:header="0"/>
          <w:type w:val="continuous"/>
        </w:sectPr>
      </w:pPr>
    </w:p>
    <w:bookmarkStart w:id="110" w:name="page111"/>
    <w:bookmarkEnd w:id="11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to collaborate effectively with our employees outside the U.S. and to retain the qualified personnel needed for our operations. If we and our impacted candidates or employees are unable to obtain work visas in sufficient quantities or at a sufficient rate for a significant period of time, our business could be adversely affected.</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need to develop and expand our Company, and we may encounter difficulties in managing this development and expansion, which could disrupt our operations.</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spacing w:after="0" w:line="21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 amounts of our sensitive data. We have implemented certain physical, administrative and technical controls intended to ensure the confidentiality, integrity and availability of such sensitive information, and the secure maintenance of this information is material to our operations and business strategy. Even with the implementation of security measures, our information technology systems and those of our third-party CROs, CMOs and other contractors and consultants are susceptible to attack, damage, or interruption from computer security incidents and cyberattacks such as malware (e.g., ransomware), phishing and other social engineering attacks employee or contractor theft, misuse or human error, denial or degradation of service attacks, supply chain attacks, advanced persistent threats from nation-state actors, attacks developed or enhanced using artificial intelligence,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cyberattack, and a threat actor may remain undetected in our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180" w:top="838" w:right="1160" w:bottom="0" w:gutter="0" w:footer="0" w:header="0"/>
          <w:type w:val="continuous"/>
        </w:sectPr>
      </w:pPr>
    </w:p>
    <w:bookmarkStart w:id="111" w:name="page112"/>
    <w:bookmarkEnd w:id="111"/>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systems for an extended period of time. Our cybersecurity risk management program and processes, including our policies, controls or procedures, may not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w:t>
      </w:r>
    </w:p>
    <w:p>
      <w:pPr>
        <w:spacing w:after="0" w:line="20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global healthcare industry is increasingly integrating AI technologies and tools. However, like any emerging technology, AI presents its own set of risks, many of which are not yet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w:t>
      </w:r>
    </w:p>
    <w:p>
      <w:pPr>
        <w:spacing w:after="0" w:line="21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legislative and regulatory landscape for privacy and data protection continues to evolve, and there has been an increasing amount of focus on privacy and data protection issues with the potential to affect our business, including laws in every state requiring security breach notification. Some laws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put into place certain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directors and executive officers and their affiliated entities own a significant percentage of our stock and, if they choose to act together, will be able to exert significant influence over matters subject to stockholder approval.</w:t>
      </w:r>
    </w:p>
    <w:p>
      <w:pPr>
        <w:spacing w:after="0" w:line="17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executive officers and directors and their respective affiliates, in the aggregate, hold shares representing approximately 4.99% of our outstanding voting stock as of December 31, 2025.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volatility may affect our stock price and the value of your investment.</w:t>
      </w:r>
    </w:p>
    <w:p>
      <w:pPr>
        <w:spacing w:after="0" w:line="259"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market price for our common stock has been volatile and may continue to fluctuate significantly in response to a number of factors, most of which we cannot control, including, among others: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838" w:right="1160" w:bottom="0" w:gutter="0" w:footer="0" w:header="0"/>
          <w:type w:val="continuous"/>
        </w:sectPr>
      </w:pPr>
    </w:p>
    <w:bookmarkStart w:id="112" w:name="page113"/>
    <w:bookmarkEnd w:id="112"/>
    <w:p>
      <w:pPr>
        <w:ind w:left="1520" w:right="20" w:hanging="360"/>
        <w:spacing w:after="0" w:line="281"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for, progress of, or results from preclinical studies and clinical trials of setmelanotide and our other product candidates;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FDA or EMA to approve IMCIVREE for additional indications or to initially approve our other product candidates;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products, technologies, commercial relationships, acquisitions or other events by us or our competitors;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or failure of other weight loss therapies and companies targeting the rare diseases we intend to address;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setmelanotide or our other product candidates, if approved, to achieve commercial success;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stock market prices and trading volumes of similar companies;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 and overall fluctuations in U.S. and global equity markets;</w:t>
      </w:r>
    </w:p>
    <w:p>
      <w:pPr>
        <w:spacing w:after="0" w:line="250" w:lineRule="exact"/>
        <w:rPr>
          <w:rFonts w:ascii="Times New Roman" w:cs="Times New Roman" w:eastAsia="Times New Roman" w:hAnsi="Times New Roman"/>
          <w:sz w:val="20"/>
          <w:szCs w:val="20"/>
          <w:color w:val="auto"/>
        </w:rPr>
      </w:pPr>
    </w:p>
    <w:p>
      <w:pPr>
        <w:jc w:val="both"/>
        <w:ind w:left="1520" w:right="20" w:hanging="360"/>
        <w:spacing w:after="0" w:line="258"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macroeconomic conditions or instability, including with respect to inflation rates or interest rates, curtailment of trade and other business restrictions such as tariffs or trade wars, boycotts, labor shortages, supply chain shortages, disruptions and instability in the banking industry and other parts of the financial services sector, outbreak of disease or epidemics, or other economic, political or legal changes, uncertainties or adverse developments;</w:t>
      </w:r>
    </w:p>
    <w:p>
      <w:pPr>
        <w:spacing w:after="0" w:line="203" w:lineRule="exact"/>
        <w:rPr>
          <w:rFonts w:ascii="Times New Roman" w:cs="Times New Roman" w:eastAsia="Times New Roman" w:hAnsi="Times New Roman"/>
          <w:sz w:val="20"/>
          <w:szCs w:val="20"/>
          <w:color w:val="auto"/>
        </w:rPr>
      </w:pPr>
    </w:p>
    <w:p>
      <w:pPr>
        <w:jc w:val="both"/>
        <w:ind w:left="1520" w:hanging="360"/>
        <w:spacing w:after="0" w:line="266"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terrorism and/or political instability, unrest and wars, which could delay or disrupt our business, and if such political unrest escalates or spills over to or otherwise impacts additional regions it could heighten many of the other risk factors included in this sections;</w:t>
      </w:r>
    </w:p>
    <w:p>
      <w:pPr>
        <w:spacing w:after="0" w:line="195" w:lineRule="exact"/>
        <w:rPr>
          <w:rFonts w:ascii="Times New Roman" w:cs="Times New Roman" w:eastAsia="Times New Roman" w:hAnsi="Times New Roman"/>
          <w:sz w:val="20"/>
          <w:szCs w:val="20"/>
          <w:color w:val="auto"/>
        </w:rPr>
      </w:pPr>
    </w:p>
    <w:p>
      <w:pPr>
        <w:jc w:val="both"/>
        <w:ind w:left="1520" w:hanging="360"/>
        <w:spacing w:after="0" w:line="266"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p>
      <w:pPr>
        <w:spacing w:after="0" w:line="195" w:lineRule="exact"/>
        <w:rPr>
          <w:rFonts w:ascii="Times New Roman" w:cs="Times New Roman" w:eastAsia="Times New Roman" w:hAnsi="Times New Roman"/>
          <w:sz w:val="20"/>
          <w:szCs w:val="20"/>
          <w:color w:val="auto"/>
        </w:rPr>
      </w:pPr>
    </w:p>
    <w:p>
      <w:pPr>
        <w:jc w:val="both"/>
        <w:ind w:left="1520" w:right="20" w:hanging="360"/>
        <w:spacing w:after="0" w:line="266"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political changes and uncertainty, including in the United States with the changes arising from a new presidential administration and resulting changes and uncertainty in administrative agencies with authority over our business;</w:t>
      </w:r>
    </w:p>
    <w:p>
      <w:pPr>
        <w:spacing w:after="0" w:line="195"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quarterly operating results;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financial guidance or securities analysts’ estimates of our financial performance;</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additional capital and the terms on which we can raise it;</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large blocks of our common stock, including sales by our executive officers, directors and significant stockholders;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us or our stock price by the press and by online investor communities; and</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described in these risk factors.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operating results may fluctuate significantly.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838" w:right="1160" w:bottom="0" w:gutter="0" w:footer="0" w:header="0"/>
          <w:type w:val="continuous"/>
        </w:sectPr>
      </w:pPr>
    </w:p>
    <w:bookmarkStart w:id="113" w:name="page114"/>
    <w:bookmarkEnd w:id="113"/>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We expect our operating results to be subject to quarterly fluctuations, which may be significant and difficult to anticipate over time. Our net loss and other operating results will be affected by numerous factors, including:</w:t>
      </w:r>
    </w:p>
    <w:p>
      <w:pPr>
        <w:spacing w:after="0" w:line="181" w:lineRule="exact"/>
        <w:rPr>
          <w:sz w:val="20"/>
          <w:szCs w:val="20"/>
          <w:color w:val="auto"/>
        </w:rPr>
      </w:pPr>
    </w:p>
    <w:p>
      <w:pPr>
        <w:ind w:left="1520" w:hanging="360"/>
        <w:spacing w:after="0"/>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the level of expenses related to our development programs;</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 or termination of clinical trials;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lawsuit, including any intellectual property infringement lawsuit in which we may become involved;</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affecting setmelanotide and our other product candidates;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execution of any collaborative, licensing or similar arrangements, and the timing of payments we may make or receive under these arrangements;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achievement and timing of milestone payments under our existing collaboration and license agreements; and</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underlying demand for setmelanotide and our customers’ buying patterns.</w:t>
      </w:r>
    </w:p>
    <w:p>
      <w:pPr>
        <w:spacing w:after="0" w:line="25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certain net operating loss carryovers and other tax attributes may be limited.</w:t>
      </w:r>
    </w:p>
    <w:p>
      <w:pPr>
        <w:spacing w:after="0" w:line="25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2025, we had approximately $917.3 million and $807.9 million of unused federal and state NOL carryforwards, respectively, and approximately $15.3 million and $4.6 million of unused federal and state carryforwards of research tax credits, respectively. Of the federal NOL carryforwards at December 31, 2025, $844.1 million can be carried forward indefinitely. Additionally, as of December 31, 2025, we had federal orphan drug credits related to qualifying research of $46.2 million.</w:t>
      </w:r>
    </w:p>
    <w:p>
      <w:pPr>
        <w:spacing w:after="0" w:line="20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spacing w:after="0" w:line="21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use of our tax attributes will also be limited to the extent that we do not generate positive taxable income in future tax periods. We do not expect to generate positive taxable income in the near future and we may never achieve tax profitability.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0"/>
          </w:cols>
          <w:pgMar w:left="1180" w:top="838" w:right="1160" w:bottom="0" w:gutter="0" w:footer="0" w:header="0"/>
          <w:type w:val="continuous"/>
        </w:sectPr>
      </w:pPr>
    </w:p>
    <w:bookmarkStart w:id="114" w:name="page115"/>
    <w:bookmarkEnd w:id="114"/>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Substantial future sales or perceived potential sales of our common stock in the public market could cause the price of our common stock to decline significantly.</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Sales of our common stock in the public market, or the perception that these sales could occur, could cause the market price of our common stock to decline significantly. As of December 31, 2025, we had 67,205,321 shares of common stock outstanding. In addition, on July 10, 2024,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Holders of the Convertible Preferred Stock have converted Convertible Preferred Stock to common stock, and to the extent they continue to convert their shares to common stock and sell such shares, the price of our common stock could be significantly impacted.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at an increased risk of securities litigation, including class action litigation.</w:t>
      </w:r>
    </w:p>
    <w:p>
      <w:pPr>
        <w:spacing w:after="0" w:line="25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7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common stock is subordinated to our Convertible Preferred Stock.</w:t>
      </w:r>
    </w:p>
    <w:p>
      <w:pPr>
        <w:spacing w:after="0" w:line="25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900"/>
          </w:cols>
          <w:pgMar w:left="1180" w:top="829" w:right="1160" w:bottom="0" w:gutter="0" w:footer="0" w:header="0"/>
          <w:type w:val="continuous"/>
        </w:sectPr>
      </w:pPr>
    </w:p>
    <w:bookmarkStart w:id="115" w:name="page116"/>
    <w:bookmarkEnd w:id="115"/>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95" w:lineRule="exact"/>
        <w:rPr>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are elected at one time;</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only the board of directors to establish the number of directors and fill vacancies on the board;</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181"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could use to implement a stockholder rights plan (also known as a “poison pill”);</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cumulative voting;</w:t>
      </w:r>
    </w:p>
    <w:p>
      <w:pPr>
        <w:spacing w:after="0" w:line="250"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amend the bylaws;</w:t>
      </w:r>
    </w:p>
    <w:p>
      <w:pPr>
        <w:spacing w:after="0" w:line="250" w:lineRule="exact"/>
        <w:rPr>
          <w:rFonts w:ascii="Times New Roman" w:cs="Times New Roman" w:eastAsia="Times New Roman" w:hAnsi="Times New Roman"/>
          <w:sz w:val="20"/>
          <w:szCs w:val="20"/>
          <w:color w:val="auto"/>
        </w:rPr>
      </w:pPr>
    </w:p>
    <w:p>
      <w:pPr>
        <w:ind w:left="1520" w:right="20" w:hanging="360"/>
        <w:spacing w:after="0" w:line="281" w:lineRule="auto"/>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 and</w:t>
      </w:r>
    </w:p>
    <w:p>
      <w:pPr>
        <w:spacing w:after="0" w:line="181" w:lineRule="exact"/>
        <w:rPr>
          <w:rFonts w:ascii="Times New Roman" w:cs="Times New Roman" w:eastAsia="Times New Roman" w:hAnsi="Times New Roman"/>
          <w:sz w:val="20"/>
          <w:szCs w:val="20"/>
          <w:color w:val="auto"/>
        </w:rPr>
      </w:pPr>
    </w:p>
    <w:p>
      <w:pPr>
        <w:ind w:left="1520" w:hanging="360"/>
        <w:spacing w:after="0"/>
        <w:tabs>
          <w:tab w:leader="none" w:pos="15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 super-majority vote of stockholders to amend some provisions described above.</w:t>
      </w:r>
    </w:p>
    <w:p>
      <w:pPr>
        <w:spacing w:after="0" w:line="25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1180" w:top="838" w:right="1160" w:bottom="0" w:gutter="0" w:footer="0" w:header="0"/>
          <w:type w:val="continuous"/>
        </w:sectPr>
      </w:pPr>
    </w:p>
    <w:bookmarkStart w:id="116" w:name="page117"/>
    <w:bookmarkEnd w:id="116"/>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spacing w:after="0" w:line="201"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and may in the future acquire businesses or products, form strategic alliances or create joint ventures in the future, and we may not realize their benefits.</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market for our common stock may not be maintained.</w:t>
      </w:r>
    </w:p>
    <w:p>
      <w:pPr>
        <w:spacing w:after="0" w:line="25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stock began trading on the Nasdaq Global Market in October 2017 . We may not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continue to publish research or reports or publish unfavorable research or reports about our business, our stock price and trading volume could decline.</w:t>
      </w:r>
    </w:p>
    <w:p>
      <w:pPr>
        <w:spacing w:after="0" w:line="17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180" w:top="838" w:right="1160" w:bottom="0" w:gutter="0" w:footer="0" w:header="0"/>
          <w:type w:val="continuous"/>
        </w:sectPr>
      </w:pPr>
    </w:p>
    <w:bookmarkStart w:id="117" w:name="page118"/>
    <w:bookmarkEnd w:id="117"/>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above, under the heading </w:t>
      </w:r>
      <w:r>
        <w:rPr>
          <w:rFonts w:ascii="Times New Roman" w:cs="Times New Roman" w:eastAsia="Times New Roman" w:hAnsi="Times New Roman"/>
          <w:sz w:val="20"/>
          <w:szCs w:val="20"/>
          <w:b w:val="1"/>
          <w:bCs w:val="1"/>
          <w:i w:val="1"/>
          <w:iCs w:val="1"/>
          <w:color w:val="auto"/>
        </w:rPr>
        <w:t>“Our common stock is subordinated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Convertible Preferred Stock.”</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political or economic conditions could adversely affect our business, financial condition or results of operations.</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the imposition of tariffs and other trade barriers,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Further deterioration in credit and financial markets and confidence in economic conditions may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leadership and reductions in the workforce or other resources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interruptions could adversely affect our operations.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operations are vulnerable to interruption by fire, severe weather conditions, power loss, telecommunications failure, terrorist activity, public health crises and pandemic diseases, and other natural and man-made disasters or events 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substantial costs as a result of operating as a public company, our management will continue to devote substantial time to existing and new compliance initiatives and corporate governance policies, and we will need to hire additional qualified accounting, financial, legal and compliance personnel with appropriate public company experience.</w:t>
      </w:r>
    </w:p>
    <w:p>
      <w:pPr>
        <w:spacing w:after="0" w:line="20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838" w:right="1160" w:bottom="0" w:gutter="0" w:footer="0" w:header="0"/>
          <w:type w:val="continuous"/>
        </w:sectPr>
      </w:pPr>
    </w:p>
    <w:bookmarkStart w:id="118" w:name="page119"/>
    <w:bookmarkEnd w:id="118"/>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 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20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01"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19"/>
          <w:szCs w:val="19"/>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838" w:right="1160" w:bottom="0" w:gutter="0" w:footer="0" w:header="0"/>
          <w:type w:val="continuous"/>
        </w:sectPr>
      </w:pPr>
    </w:p>
    <w:bookmarkStart w:id="119" w:name="page120"/>
    <w:bookmarkEnd w:id="119"/>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concluded that these control deficiencies constitute a material weakness and that our internal control over financial reporting was not effective as of December 31, 2023.</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Our management designed and implemented new controls and measures to remediate this material weakness, and management has concluded that the material weaknesses described above have been remediated. However, we cannot assure you that the measures we are taking will be sufficient to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which could diminish investor confidence and cause a decline in the price of our common stock.</w:t>
      </w:r>
    </w:p>
    <w:p>
      <w:pPr>
        <w:spacing w:after="0" w:line="20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increasing focus on environmental sustainability and social initiatives could increase our costs, harm our reputation and adversely impact our financial results.</w:t>
      </w:r>
    </w:p>
    <w:p>
      <w:pPr>
        <w:spacing w:after="0" w:line="17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Our approach is also expected to evolve with time and may not align with the expectations or interpretations of any particular stakeholder. In addition, this emphasis on environmental, social and other sustainability matters has resulted and may result in the adoption of new laws and regulations, including new reporting requirements. Such requirements and other expectations are not uniform, and may be inconsistently interpreted or applied, which can increase the complexity and cost of compliance.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Any failure to successfully navigate stakeholder expectations may result in additional costs, reputational harm, or other adverse impacts to our business. Additionally, many of our business partners and suppliers may be subject to similar reporting and stakeholder expectations, which may augment or create additional risks, including risks that may not be known to 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 sellers of our stock may be manipulative and may drive down the market price of our common stock.</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We may face further short sellers’ efforts or similar tactics in the future, and the market price of our common stock may decline as a result of their 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intended to protect the confidentiality, integrity, and availability of our critical systems and information.</w:t>
      </w:r>
    </w:p>
    <w:p>
      <w:pPr>
        <w:sectPr>
          <w:pgSz w:w="12240" w:h="15840" w:orient="portrait"/>
          <w:cols w:equalWidth="0" w:num="1">
            <w:col w:w="9900"/>
          </w:cols>
          <w:pgMar w:left="1180" w:top="838" w:right="1160" w:bottom="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1180" w:top="838" w:right="1160" w:bottom="0" w:gutter="0" w:footer="0" w:header="0"/>
          <w:type w:val="continuous"/>
        </w:sectPr>
      </w:pPr>
    </w:p>
    <w:bookmarkStart w:id="120" w:name="page121"/>
    <w:bookmarkEnd w:id="120"/>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We design and assess our cybersecurity program based on the NIST Cybersecurity Framework (CSF). This framework provides us with a common language and structure for identifying, assessing, and managing cybersecurity risks across our organization. We do not claim to comply with the standards or specifications by using this framework. It is a guide to help us manage the cybersecurity risks that are relevant to our business.</w:t>
      </w:r>
    </w:p>
    <w:p>
      <w:pPr>
        <w:spacing w:after="0" w:line="202"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Our cybersecurity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To this end, we have implemented a cybersecurity program that includes, but is not limited to, the following key elements:</w:t>
      </w:r>
    </w:p>
    <w:p>
      <w:pPr>
        <w:spacing w:after="0" w:line="198" w:lineRule="exact"/>
        <w:rPr>
          <w:sz w:val="20"/>
          <w:szCs w:val="20"/>
          <w:color w:val="auto"/>
        </w:rPr>
      </w:pPr>
    </w:p>
    <w:p>
      <w:pPr>
        <w:jc w:val="both"/>
        <w:ind w:left="1080" w:right="20" w:hanging="370"/>
        <w:spacing w:after="0" w:line="268"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Governance</w:t>
      </w:r>
      <w:r>
        <w:rPr>
          <w:rFonts w:ascii="Times New Roman" w:cs="Times New Roman" w:eastAsia="Times New Roman" w:hAnsi="Times New Roman"/>
          <w:sz w:val="20"/>
          <w:szCs w:val="20"/>
          <w:color w:val="auto"/>
        </w:rPr>
        <w:t>: The Board of Directors oversees our cybersecurity risk management strategy, regularly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reviewing threats, risks, and mitigation measures. These reviews include both internal and independent evaluations of risks, controls, and effectiveness.</w:t>
      </w:r>
    </w:p>
    <w:p>
      <w:pPr>
        <w:spacing w:after="0" w:line="69" w:lineRule="exact"/>
        <w:rPr>
          <w:rFonts w:ascii="Times New Roman" w:cs="Times New Roman" w:eastAsia="Times New Roman" w:hAnsi="Times New Roman"/>
          <w:sz w:val="20"/>
          <w:szCs w:val="20"/>
          <w:color w:val="auto"/>
        </w:rPr>
      </w:pPr>
    </w:p>
    <w:p>
      <w:pPr>
        <w:ind w:left="1080" w:right="20" w:hanging="370"/>
        <w:spacing w:after="0" w:line="285"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Vigilance</w:t>
      </w:r>
      <w:r>
        <w:rPr>
          <w:rFonts w:ascii="Times New Roman" w:cs="Times New Roman" w:eastAsia="Times New Roman" w:hAnsi="Times New Roman"/>
          <w:sz w:val="20"/>
          <w:szCs w:val="20"/>
          <w:color w:val="auto"/>
        </w:rPr>
        <w:t>: Our global cybersecurity operations are designed to detect, prevent, contain, and respond to cyber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threats and incidents, aiming to minimize business disruptions.</w:t>
      </w:r>
    </w:p>
    <w:p>
      <w:pPr>
        <w:spacing w:after="0" w:line="53" w:lineRule="exact"/>
        <w:rPr>
          <w:rFonts w:ascii="Times New Roman" w:cs="Times New Roman" w:eastAsia="Times New Roman" w:hAnsi="Times New Roman"/>
          <w:sz w:val="20"/>
          <w:szCs w:val="20"/>
          <w:color w:val="auto"/>
        </w:rPr>
      </w:pPr>
    </w:p>
    <w:p>
      <w:pPr>
        <w:jc w:val="both"/>
        <w:ind w:left="1080" w:hanging="370"/>
        <w:spacing w:after="0" w:line="259"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Safeguards</w:t>
      </w:r>
      <w:r>
        <w:rPr>
          <w:rFonts w:ascii="Times New Roman" w:cs="Times New Roman" w:eastAsia="Times New Roman" w:hAnsi="Times New Roman"/>
          <w:sz w:val="20"/>
          <w:szCs w:val="20"/>
          <w:color w:val="auto"/>
        </w:rPr>
        <w:t>: We use administrative, technical, and physical controls designed to secure our personnel,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systems, operations, and sensitive data from cyber threats, such as cybersecurity policies and procedures, risk assessments, cybersecurity training, secure facility access, surveillance systems, firewalls, intrusion detection and prevention systems, disaster recovery capabilities, malware and ransomware defenses, access controls, and data protection.</w:t>
      </w:r>
    </w:p>
    <w:p>
      <w:pPr>
        <w:spacing w:after="0" w:line="79" w:lineRule="exact"/>
        <w:rPr>
          <w:rFonts w:ascii="Times New Roman" w:cs="Times New Roman" w:eastAsia="Times New Roman" w:hAnsi="Times New Roman"/>
          <w:sz w:val="20"/>
          <w:szCs w:val="20"/>
          <w:color w:val="auto"/>
        </w:rPr>
      </w:pPr>
    </w:p>
    <w:p>
      <w:pPr>
        <w:ind w:left="1080" w:right="20" w:hanging="370"/>
        <w:spacing w:after="0" w:line="285"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Education</w:t>
      </w:r>
      <w:r>
        <w:rPr>
          <w:rFonts w:ascii="Times New Roman" w:cs="Times New Roman" w:eastAsia="Times New Roman" w:hAnsi="Times New Roman"/>
          <w:sz w:val="20"/>
          <w:szCs w:val="20"/>
          <w:color w:val="auto"/>
        </w:rPr>
        <w:t>: Personnel receive periodic cybersecurity training. Our policies require employees to report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actual or suspected cybersecurity events.</w:t>
      </w:r>
    </w:p>
    <w:p>
      <w:pPr>
        <w:spacing w:after="0" w:line="53" w:lineRule="exact"/>
        <w:rPr>
          <w:rFonts w:ascii="Times New Roman" w:cs="Times New Roman" w:eastAsia="Times New Roman" w:hAnsi="Times New Roman"/>
          <w:sz w:val="20"/>
          <w:szCs w:val="20"/>
          <w:color w:val="auto"/>
        </w:rPr>
      </w:pPr>
    </w:p>
    <w:p>
      <w:pPr>
        <w:ind w:left="1080" w:right="20" w:hanging="370"/>
        <w:spacing w:after="0" w:line="285"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Third Party Risk Management</w:t>
      </w:r>
      <w:r>
        <w:rPr>
          <w:rFonts w:ascii="Times New Roman" w:cs="Times New Roman" w:eastAsia="Times New Roman" w:hAnsi="Times New Roman"/>
          <w:sz w:val="20"/>
          <w:szCs w:val="20"/>
          <w:color w:val="auto"/>
        </w:rPr>
        <w:t>: We strive to apply our cybersecurity standards to our third-party ecosystem,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identifying and managing risks posed by third parties.</w:t>
      </w:r>
    </w:p>
    <w:p>
      <w:pPr>
        <w:spacing w:after="0" w:line="53" w:lineRule="exact"/>
        <w:rPr>
          <w:rFonts w:ascii="Times New Roman" w:cs="Times New Roman" w:eastAsia="Times New Roman" w:hAnsi="Times New Roman"/>
          <w:sz w:val="20"/>
          <w:szCs w:val="20"/>
          <w:color w:val="auto"/>
        </w:rPr>
      </w:pPr>
    </w:p>
    <w:p>
      <w:pPr>
        <w:jc w:val="both"/>
        <w:ind w:left="1080" w:right="20" w:hanging="370"/>
        <w:spacing w:after="0" w:line="262"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Incident Response</w:t>
      </w:r>
      <w:r>
        <w:rPr>
          <w:rFonts w:ascii="Times New Roman" w:cs="Times New Roman" w:eastAsia="Times New Roman" w:hAnsi="Times New Roman"/>
          <w:sz w:val="20"/>
          <w:szCs w:val="20"/>
          <w:color w:val="auto"/>
        </w:rPr>
        <w:t>: We have established an incident response plan that guides how we handle cybersecurity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events and incidents. This plan includes procedures to detect, analyze, contain, and eradicate threats, and communicate significant incidents to executive management, the Board of Directors, regulators, and shareholders when appropriate.</w:t>
      </w:r>
    </w:p>
    <w:p>
      <w:pPr>
        <w:spacing w:after="0" w:line="75" w:lineRule="exact"/>
        <w:rPr>
          <w:rFonts w:ascii="Times New Roman" w:cs="Times New Roman" w:eastAsia="Times New Roman" w:hAnsi="Times New Roman"/>
          <w:sz w:val="20"/>
          <w:szCs w:val="20"/>
          <w:color w:val="auto"/>
        </w:rPr>
      </w:pPr>
    </w:p>
    <w:p>
      <w:pPr>
        <w:jc w:val="both"/>
        <w:ind w:left="1080" w:hanging="370"/>
        <w:spacing w:after="0" w:line="268"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Enterprise-Wide Coordination</w:t>
      </w:r>
      <w:r>
        <w:rPr>
          <w:rFonts w:ascii="Times New Roman" w:cs="Times New Roman" w:eastAsia="Times New Roman" w:hAnsi="Times New Roman"/>
          <w:sz w:val="20"/>
          <w:szCs w:val="20"/>
          <w:color w:val="auto"/>
        </w:rPr>
        <w:t>: Relevant stakeholders across the company—such as R&amp;D, commercial,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technology, legal, compliance, and other departments—work together to identify emerging risks and respond to cybersecurity threats through a cross-functional approach.</w:t>
      </w:r>
    </w:p>
    <w:p>
      <w:pPr>
        <w:spacing w:after="0" w:line="69" w:lineRule="exact"/>
        <w:rPr>
          <w:rFonts w:ascii="Times New Roman" w:cs="Times New Roman" w:eastAsia="Times New Roman" w:hAnsi="Times New Roman"/>
          <w:sz w:val="20"/>
          <w:szCs w:val="20"/>
          <w:color w:val="auto"/>
        </w:rPr>
      </w:pPr>
    </w:p>
    <w:p>
      <w:pPr>
        <w:ind w:left="1080" w:right="20" w:hanging="370"/>
        <w:spacing w:after="0" w:line="285" w:lineRule="auto"/>
        <w:tabs>
          <w:tab w:leader="none" w:pos="10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External Service Providers</w:t>
      </w:r>
      <w:r>
        <w:rPr>
          <w:rFonts w:ascii="Times New Roman" w:cs="Times New Roman" w:eastAsia="Times New Roman" w:hAnsi="Times New Roman"/>
          <w:sz w:val="20"/>
          <w:szCs w:val="20"/>
          <w:color w:val="auto"/>
        </w:rPr>
        <w:t>: We use external service providers, where appropriate, to assess, test, or otherwise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assist with aspects of our cybersecurity processes.</w:t>
      </w:r>
    </w:p>
    <w:p>
      <w:pPr>
        <w:spacing w:after="0" w:line="168"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We have not identified any cybersecurity incidents that have materially affected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Factors— Our information technology systems, or those of our third-party CROs, CMOs or other contractors or consultants, may fail or suffer security breaches, which could result in a material disruption of setmelanotide development programs, regulatory investigations, enforcement actions and lawsuits.”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Our Board considers oversight of cybersecurity risk to be an essential component of its enterprise risk oversight responsibility and directly oversees management’s implementation of our cybersecurity program.</w:t>
      </w:r>
    </w:p>
    <w:p>
      <w:pPr>
        <w:spacing w:after="0" w:line="181"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Board receives periodic reports from management on our cybersecurity program and risks. In addition, management updates the Board, where it deems appropriate, regarding any cybersecurity incidents it considers to be significant. Board members receive presentations on cybersecurity risk and strategy from our Cybersecurity Director, as part of the Board’s continuing education on topics that impact public companies.</w:t>
      </w:r>
    </w:p>
    <w:p>
      <w:pPr>
        <w:spacing w:after="0" w:line="202"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Cybersecurity Director, with the help of our IT and Legal team is responsible for assessing and managing our material risks from cybersecurity threats. This position has the primary responsibility for our overall cybersecurity risk management program and supervises both our internal personnel and our retained external cybersecurity consultants. The current Cybersecurity Director has extensive information security and program management experience and has held past positions as the head of cybersecurity for a wide range of organizations.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838" w:right="1160" w:bottom="0" w:gutter="0" w:footer="0" w:header="0"/>
          <w:type w:val="continuous"/>
        </w:sectPr>
      </w:pPr>
    </w:p>
    <w:bookmarkStart w:id="121" w:name="page122"/>
    <w:bookmarkEnd w:id="121"/>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Our management team supervises efforts to prevent, detect, mitigate, and remediate cybersecurity risks and incidents through various means, which may include briefings from internal security personnel and other information obtained from governmental, public, or private sources, including external consultants engaged by us, and alerts and reports produced by security tools deployed in the IT environment.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corporate headquarters are located in Boston, Massachusetts, where we lease approximately 13,600 square feet of office space pursuant to lease agreements expiring in July 2030. This facility houses our research, clinical, regulatory, commercial and administrative personnel.</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believe that our existing facilities are adequate for our near-term needs, but we may need additional space as we grow and expand our operations. We believe that suitable additional or alternative office space would be available as required in the future on commercially reasonable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not currently a party to any material legal proceedings.</w:t>
      </w:r>
    </w:p>
    <w:p>
      <w:pPr>
        <w:spacing w:after="0" w:line="233" w:lineRule="exact"/>
        <w:rPr>
          <w:sz w:val="20"/>
          <w:szCs w:val="20"/>
          <w:color w:val="auto"/>
        </w:rPr>
      </w:pPr>
    </w:p>
    <w:p>
      <w:pPr>
        <w:jc w:val="center"/>
        <w:ind w:right="7220"/>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838" w:right="1160" w:bottom="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Our common stock has been listed on The Nasdaq Global Market under the symbol “RYTM” since October 5, 2017. Prior to that date, there was no public trading market for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Common Stock</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As of February 24, 2026, there were 13 holders of record of our common stock. This number does not reflect beneficial owners whose shares are held in street name.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Information regarding our equity compensation plans and the securities authorized for issuance thereunder is set forth herein under Part III, Item 12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This graph is not “soliciting material,” is not deemed “filed” with the SEC and is not to be incorporated by reference into any filing of Rhythm Pharmaceuticals, Inc. under the Securities Act or the Exchange Act, whether made before or after the date hereof and irrespective of any general incorporation language in any such filing.</w:t>
      </w:r>
    </w:p>
    <w:p>
      <w:pPr>
        <w:spacing w:after="0" w:line="197" w:lineRule="exact"/>
        <w:rPr>
          <w:sz w:val="20"/>
          <w:szCs w:val="20"/>
          <w:color w:val="auto"/>
        </w:rPr>
      </w:pPr>
    </w:p>
    <w:p>
      <w:pPr>
        <w:jc w:val="both"/>
        <w:ind w:right="20" w:firstLine="720"/>
        <w:spacing w:after="0" w:line="267" w:lineRule="auto"/>
        <w:rPr>
          <w:sz w:val="20"/>
          <w:szCs w:val="20"/>
          <w:color w:val="auto"/>
        </w:rPr>
      </w:pPr>
      <w:r>
        <w:rPr>
          <w:rFonts w:ascii="Times New Roman" w:cs="Times New Roman" w:eastAsia="Times New Roman" w:hAnsi="Times New Roman"/>
          <w:sz w:val="19"/>
          <w:szCs w:val="19"/>
          <w:color w:val="auto"/>
        </w:rPr>
        <w:t>The following graph shows the total stockholder return of an investment of $100 in cash at market close on December 31, 2017 through December 31, 2025 for (1) our common stock, (2) the Nasdaq Composite Index (U.S.) and (3) the Nasdaq Biotechnology Index. Pursuant to applicable SEC rules, all values assume reinvestment of the full amount of all dividends, however no dividends have been declared on our common stock to date. The stockholder return shown on the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180" w:top="831" w:right="1160" w:bottom="0" w:gutter="0" w:footer="0" w:header="0"/>
          <w:type w:val="continuous"/>
        </w:sectPr>
      </w:pPr>
    </w:p>
    <w:bookmarkStart w:id="123" w:name="page124"/>
    <w:bookmarkEnd w:id="123"/>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153670</wp:posOffset>
            </wp:positionV>
            <wp:extent cx="5838825" cy="40233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1">
                      <a:extLst>
                        <a:ext uri="{28A0092B-C50C-407E-A947-70E740481C1C}"/>
                      </a:extLst>
                    </a:blip>
                    <a:srcRect/>
                    <a:stretch>
                      <a:fillRect/>
                    </a:stretch>
                  </pic:blipFill>
                  <pic:spPr bwMode="auto">
                    <a:xfrm>
                      <a:off x="0" y="0"/>
                      <a:ext cx="5838825" cy="40233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Comparison of 5 Year Cumulative Total Return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Assumes Initial Investment of $100</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December 2025</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0.00</w:t>
      </w:r>
    </w:p>
    <w:p>
      <w:pPr>
        <w:spacing w:after="0" w:line="42" w:lineRule="exact"/>
        <w:rPr>
          <w:sz w:val="20"/>
          <w:szCs w:val="20"/>
          <w:color w:val="auto"/>
        </w:rPr>
      </w:pPr>
    </w:p>
    <w:tbl>
      <w:tblPr>
        <w:tblLayout w:type="fixed"/>
        <w:tblInd w:w="1520" w:type="dxa"/>
        <w:tblCellMar>
          <w:top w:w="0" w:type="dxa"/>
          <w:left w:w="0" w:type="dxa"/>
          <w:bottom w:w="0" w:type="dxa"/>
          <w:right w:w="0" w:type="dxa"/>
        </w:tblCellMar>
      </w:tblPr>
      <w:tr>
        <w:trPr>
          <w:trHeight w:val="159"/>
        </w:trPr>
        <w:tc>
          <w:tcPr>
            <w:tcW w:w="600" w:type="dxa"/>
            <w:vAlign w:val="bottom"/>
            <w:gridSpan w:val="4"/>
          </w:tcPr>
          <w:p>
            <w:pPr>
              <w:jc w:val="right"/>
              <w:spacing w:after="0"/>
              <w:rPr>
                <w:sz w:val="20"/>
                <w:szCs w:val="20"/>
                <w:color w:val="auto"/>
              </w:rPr>
            </w:pPr>
            <w:r>
              <w:rPr>
                <w:rFonts w:ascii="Arial" w:cs="Arial" w:eastAsia="Arial" w:hAnsi="Arial"/>
                <w:sz w:val="12"/>
                <w:szCs w:val="12"/>
                <w:b w:val="1"/>
                <w:bCs w:val="1"/>
                <w:color w:val="auto"/>
                <w:w w:val="96"/>
              </w:rPr>
              <w:t>12/31/2020</w:t>
            </w:r>
          </w:p>
        </w:tc>
        <w:tc>
          <w:tcPr>
            <w:tcW w:w="1920" w:type="dxa"/>
            <w:vAlign w:val="bottom"/>
          </w:tcPr>
          <w:p>
            <w:pPr>
              <w:jc w:val="right"/>
              <w:ind w:right="500"/>
              <w:spacing w:after="0"/>
              <w:rPr>
                <w:sz w:val="20"/>
                <w:szCs w:val="20"/>
                <w:color w:val="auto"/>
              </w:rPr>
            </w:pPr>
            <w:r>
              <w:rPr>
                <w:rFonts w:ascii="Arial" w:cs="Arial" w:eastAsia="Arial" w:hAnsi="Arial"/>
                <w:sz w:val="12"/>
                <w:szCs w:val="12"/>
                <w:b w:val="1"/>
                <w:bCs w:val="1"/>
                <w:color w:val="auto"/>
              </w:rPr>
              <w:t>12/31/2021</w:t>
            </w:r>
          </w:p>
        </w:tc>
        <w:tc>
          <w:tcPr>
            <w:tcW w:w="11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12/31/2022</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12/31/2023</w:t>
            </w:r>
          </w:p>
        </w:tc>
        <w:tc>
          <w:tcPr>
            <w:tcW w:w="1800" w:type="dxa"/>
            <w:vAlign w:val="bottom"/>
          </w:tcPr>
          <w:p>
            <w:pPr>
              <w:jc w:val="right"/>
              <w:ind w:right="620"/>
              <w:spacing w:after="0"/>
              <w:rPr>
                <w:sz w:val="20"/>
                <w:szCs w:val="20"/>
                <w:color w:val="auto"/>
              </w:rPr>
            </w:pPr>
            <w:r>
              <w:rPr>
                <w:rFonts w:ascii="Arial" w:cs="Arial" w:eastAsia="Arial" w:hAnsi="Arial"/>
                <w:sz w:val="12"/>
                <w:szCs w:val="12"/>
                <w:b w:val="1"/>
                <w:bCs w:val="1"/>
                <w:color w:val="auto"/>
              </w:rPr>
              <w:t>12/31/2024</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12/31/2025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00" w:type="dxa"/>
            <w:vAlign w:val="bottom"/>
            <w:tcBorders>
              <w:bottom w:val="single" w:sz="8" w:color="4C4C4C"/>
            </w:tcBorders>
          </w:tcPr>
          <w:p>
            <w:pPr>
              <w:spacing w:after="0"/>
              <w:rPr>
                <w:sz w:val="12"/>
                <w:szCs w:val="12"/>
                <w:color w:val="auto"/>
              </w:rPr>
            </w:pPr>
          </w:p>
        </w:tc>
        <w:tc>
          <w:tcPr>
            <w:tcW w:w="300" w:type="dxa"/>
            <w:vAlign w:val="bottom"/>
            <w:tcBorders>
              <w:bottom w:val="single" w:sz="8" w:color="4C4C4C"/>
            </w:tcBorders>
          </w:tcPr>
          <w:p>
            <w:pPr>
              <w:spacing w:after="0"/>
              <w:rPr>
                <w:sz w:val="12"/>
                <w:szCs w:val="12"/>
                <w:color w:val="auto"/>
              </w:rPr>
            </w:pPr>
          </w:p>
        </w:tc>
        <w:tc>
          <w:tcPr>
            <w:tcW w:w="60" w:type="dxa"/>
            <w:vAlign w:val="bottom"/>
            <w:tcBorders>
              <w:bottom w:val="single" w:sz="8" w:color="4C4C4C"/>
            </w:tcBorders>
          </w:tcPr>
          <w:p>
            <w:pPr>
              <w:spacing w:after="0"/>
              <w:rPr>
                <w:sz w:val="12"/>
                <w:szCs w:val="12"/>
                <w:color w:val="auto"/>
              </w:rPr>
            </w:pPr>
          </w:p>
        </w:tc>
        <w:tc>
          <w:tcPr>
            <w:tcW w:w="1920" w:type="dxa"/>
            <w:vAlign w:val="bottom"/>
            <w:tcBorders>
              <w:bottom w:val="single" w:sz="8" w:color="4C4C4C"/>
            </w:tcBorders>
          </w:tcPr>
          <w:p>
            <w:pPr>
              <w:spacing w:after="0"/>
              <w:rPr>
                <w:sz w:val="12"/>
                <w:szCs w:val="12"/>
                <w:color w:val="auto"/>
              </w:rPr>
            </w:pPr>
          </w:p>
        </w:tc>
        <w:tc>
          <w:tcPr>
            <w:tcW w:w="300" w:type="dxa"/>
            <w:vAlign w:val="bottom"/>
            <w:tcBorders>
              <w:bottom w:val="single" w:sz="8" w:color="4C4C4C"/>
            </w:tcBorders>
          </w:tcPr>
          <w:p>
            <w:pPr>
              <w:spacing w:after="0"/>
              <w:rPr>
                <w:sz w:val="12"/>
                <w:szCs w:val="12"/>
                <w:color w:val="auto"/>
              </w:rPr>
            </w:pPr>
          </w:p>
        </w:tc>
        <w:tc>
          <w:tcPr>
            <w:tcW w:w="1800" w:type="dxa"/>
            <w:vAlign w:val="bottom"/>
            <w:tcBorders>
              <w:bottom w:val="single" w:sz="8" w:color="4C4C4C"/>
            </w:tcBorders>
            <w:gridSpan w:val="2"/>
          </w:tcPr>
          <w:p>
            <w:pPr>
              <w:spacing w:after="0"/>
              <w:rPr>
                <w:sz w:val="12"/>
                <w:szCs w:val="12"/>
                <w:color w:val="auto"/>
              </w:rPr>
            </w:pPr>
          </w:p>
        </w:tc>
        <w:tc>
          <w:tcPr>
            <w:tcW w:w="300" w:type="dxa"/>
            <w:vAlign w:val="bottom"/>
            <w:tcBorders>
              <w:bottom w:val="single" w:sz="8" w:color="4C4C4C"/>
            </w:tcBorders>
          </w:tcPr>
          <w:p>
            <w:pPr>
              <w:spacing w:after="0"/>
              <w:rPr>
                <w:sz w:val="12"/>
                <w:szCs w:val="12"/>
                <w:color w:val="auto"/>
              </w:rPr>
            </w:pPr>
          </w:p>
        </w:tc>
        <w:tc>
          <w:tcPr>
            <w:tcW w:w="1800" w:type="dxa"/>
            <w:vAlign w:val="bottom"/>
            <w:tcBorders>
              <w:bottom w:val="single" w:sz="8" w:color="4C4C4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0" w:type="dxa"/>
            <w:vAlign w:val="bottom"/>
            <w:tcBorders>
              <w:right w:val="single" w:sz="8" w:color="4C4C4C"/>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292929"/>
            </w:tcBorders>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vMerge w:val="restart"/>
          </w:tcPr>
          <w:p>
            <w:pPr>
              <w:jc w:val="right"/>
              <w:ind w:right="260"/>
              <w:spacing w:after="0"/>
              <w:rPr>
                <w:sz w:val="20"/>
                <w:szCs w:val="20"/>
                <w:color w:val="auto"/>
              </w:rPr>
            </w:pPr>
            <w:r>
              <w:rPr>
                <w:rFonts w:ascii="Arial" w:cs="Arial" w:eastAsia="Arial" w:hAnsi="Arial"/>
                <w:sz w:val="12"/>
                <w:szCs w:val="12"/>
                <w:b w:val="1"/>
                <w:bCs w:val="1"/>
                <w:color w:val="auto"/>
                <w:w w:val="92"/>
              </w:rPr>
              <w:t>Rhythm Pharmaceuticals, Inc.</w:t>
            </w:r>
          </w:p>
        </w:tc>
        <w:tc>
          <w:tcPr>
            <w:tcW w:w="300" w:type="dxa"/>
            <w:vAlign w:val="bottom"/>
            <w:tcBorders>
              <w:bottom w:val="single" w:sz="8" w:color="525252"/>
            </w:tcBorders>
          </w:tcPr>
          <w:p>
            <w:pPr>
              <w:spacing w:after="0"/>
              <w:rPr>
                <w:sz w:val="12"/>
                <w:szCs w:val="1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NASDAQ Composite Index</w:t>
            </w:r>
          </w:p>
        </w:tc>
        <w:tc>
          <w:tcPr>
            <w:tcW w:w="300" w:type="dxa"/>
            <w:vAlign w:val="bottom"/>
            <w:tcBorders>
              <w:bottom w:val="single" w:sz="8" w:color="4A4A4A"/>
            </w:tcBorders>
          </w:tcPr>
          <w:p>
            <w:pPr>
              <w:spacing w:after="0"/>
              <w:rPr>
                <w:sz w:val="12"/>
                <w:szCs w:val="12"/>
                <w:color w:val="auto"/>
              </w:rPr>
            </w:pPr>
          </w:p>
        </w:tc>
        <w:tc>
          <w:tcPr>
            <w:tcW w:w="1800" w:type="dxa"/>
            <w:vAlign w:val="bottom"/>
            <w:tcBorders>
              <w:right w:val="single" w:sz="8" w:color="4C4C4C"/>
            </w:tcBorders>
            <w:vMerge w:val="restart"/>
          </w:tcPr>
          <w:p>
            <w:pPr>
              <w:jc w:val="right"/>
              <w:ind w:right="60"/>
              <w:spacing w:after="0"/>
              <w:rPr>
                <w:sz w:val="20"/>
                <w:szCs w:val="20"/>
                <w:color w:val="auto"/>
              </w:rPr>
            </w:pPr>
            <w:r>
              <w:rPr>
                <w:rFonts w:ascii="Arial" w:cs="Arial" w:eastAsia="Arial" w:hAnsi="Arial"/>
                <w:sz w:val="12"/>
                <w:szCs w:val="12"/>
                <w:b w:val="1"/>
                <w:bCs w:val="1"/>
                <w:color w:val="auto"/>
                <w:w w:val="95"/>
              </w:rPr>
              <w:t>NASDAQ Biotechnology Index</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40" w:type="dxa"/>
            <w:vAlign w:val="bottom"/>
            <w:tcBorders>
              <w:right w:val="single" w:sz="8" w:color="4C4C4C"/>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tcBorders>
              <w:right w:val="single" w:sz="8" w:color="4C4C4C"/>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40" w:type="dxa"/>
            <w:vAlign w:val="bottom"/>
            <w:tcBorders>
              <w:right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3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1920" w:type="dxa"/>
            <w:vAlign w:val="bottom"/>
            <w:tcBorders>
              <w:bottom w:val="single" w:sz="8" w:color="4C4C4C"/>
            </w:tcBorders>
          </w:tcPr>
          <w:p>
            <w:pPr>
              <w:spacing w:after="0"/>
              <w:rPr>
                <w:sz w:val="4"/>
                <w:szCs w:val="4"/>
                <w:color w:val="auto"/>
              </w:rPr>
            </w:pPr>
          </w:p>
        </w:tc>
        <w:tc>
          <w:tcPr>
            <w:tcW w:w="30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c>
          <w:tcPr>
            <w:tcW w:w="920" w:type="dxa"/>
            <w:vAlign w:val="bottom"/>
            <w:tcBorders>
              <w:bottom w:val="single" w:sz="8" w:color="4C4C4C"/>
            </w:tcBorders>
          </w:tcPr>
          <w:p>
            <w:pPr>
              <w:spacing w:after="0"/>
              <w:rPr>
                <w:sz w:val="4"/>
                <w:szCs w:val="4"/>
                <w:color w:val="auto"/>
              </w:rPr>
            </w:pPr>
          </w:p>
        </w:tc>
        <w:tc>
          <w:tcPr>
            <w:tcW w:w="300" w:type="dxa"/>
            <w:vAlign w:val="bottom"/>
            <w:tcBorders>
              <w:bottom w:val="single" w:sz="8" w:color="4C4C4C"/>
            </w:tcBorders>
          </w:tcPr>
          <w:p>
            <w:pPr>
              <w:spacing w:after="0"/>
              <w:rPr>
                <w:sz w:val="4"/>
                <w:szCs w:val="4"/>
                <w:color w:val="auto"/>
              </w:rPr>
            </w:pPr>
          </w:p>
        </w:tc>
        <w:tc>
          <w:tcPr>
            <w:tcW w:w="1800" w:type="dxa"/>
            <w:vAlign w:val="bottom"/>
            <w:tcBorders>
              <w:bottom w:val="single" w:sz="8" w:color="4C4C4C"/>
              <w:right w:val="single" w:sz="8" w:color="4C4C4C"/>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Except as previously disclosed in Current Reports on Form 8-K filed on January 4, 2024 and April 1, 2024, we did not make any unregistered sales of equity securities during the period covered by the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3"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“Cautionary Note Regarding Forward-Looking Statements” in this Annual Report.</w:t>
      </w:r>
    </w:p>
    <w:p>
      <w:pPr>
        <w:spacing w:after="0" w:line="207"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In this Item 7, we discuss the results of operations for the years ended December 31, 2025 and 2024 and comparisons of our cash flows for the year ended December 31, 2025 to the year ended December 31, 2024. Discussion and analysis of our 2024 fiscal year, as well as the year-over-year comparison of our 2024 financial performance to 2023, are located in Part II, Item 7 - Management’s Discussion and Analysis of Financial Condition and Results of Operations in our Annual Report on Form 10-K for the fiscal year ended December 31, 2024, filed with the SEC on February 28, 2025.</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900"/>
          </w:cols>
          <w:pgMar w:left="1180" w:top="838" w:right="116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7"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We are a global, commercial-stage biopharmaceutical company dedicated to transforming the lives of patients living with rare neuroendocrine diseases. We are focused on advancing our melanocortin-4 receptor (MC4R) agonists, including our lead asset, IMCIVREE (setmelanotide),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Bardet-Biedl syndrome (BBS) or other diseases caused by impaired MC4R pathway signaling. The MC4R pathway is a neuro-endocrine pathway in the brain that is responsible for regulating hunger, caloric intake and energy expenditure, which consequently affect body weight. IMCIVREE, our most advanced MC4R agonist for which we hold worldwide rights, is the first-ever therapy that is marketed in the United States, European Union (EU), United Kingdom, Canada and several other countries and regions for certain rare MC4R pathway diseases, including BBS. We also are developing two earlier-stage investigational MC4R agonists, bivamelagon (formerly LB54640), an oral small molecule, and RM-718, designed for weekly subcutaneous administration. On February 26, 2026 we announced we completed a positive end-of-Phase-2 meeting with FDA regarding bivamelagon in acquired HO and disclosed open-label extension data from our Phase 2 trial that showed bivamelagon achieved persistent BMI reductions at six and nine months of therapy.</w:t>
      </w:r>
    </w:p>
    <w:p>
      <w:pPr>
        <w:spacing w:after="0" w:line="206"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IMCIVREE is approved by the U.S. Food and Drug Administration (FDA) to reduce excess body weight and maintain weight reduction long term in adult and pediatric patients aged 2 years and older with syndromic or monogenic obesity due to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 Reviews of our regulatory submissions seeking approval and marketing authorization for setmelanotide as a treatment for acquired hypothalamic obesity are ongoing in the United States and Europe with an FDA-assigned Prescription Drug User Fee Act (PDUFA) goal date of March 20, 2026. We anticipate disclosing topline data from a 12-patient Japanese cohort of our Phase 3 trial evaluating setmelanotide for acquired hypothalamic obesity in March 2026, and pending positive data, completing a new drug application submission in Japan. Regulatory decisions in Europe and Japan are anticipated later in 2026 or 2027.</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Following our disclosure in December 2025 of positive preliminary data from our ongoing, exploratory, open-label Phase 2 trial with setmelanotide in patients with PWS, we believe there is potential for an MC4R agonist to be a future treatment option for patients with PWS, a rare genetic disorder that results in a number of physical, mental and behavioral problems. A key feature of PWS is a constant sense of hunger that usually begins in early childhood. PWS is estimated to affect approximately 400,000 people worldwide and approximately 20,000 people in the United States. There are currently limited therapeutic options that effectively reduce the extreme hyperphagia and address low resting energy expenditure associated with PWS. Following the disclosure of these positive preliminary results in December 2025, we announced plans to further develop setmelanotide and RM-718 for PWS.</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are advancing what we believe is the most comprehensive clinical research and development program ever initiated in MC4R pathway diseases, with setmelanotide, bivamelagon and RM-718 in multiple ongoing and planned clinical trials. Our MC4R pathway program is designed to expand the total number of patients who we believe could benefit from setmelanotide therapy or from one of our new drug candidates. Our Phase 3 EMANATE trial, comprised of four independent substudies evaluating setmelanotide in genetically caused MC4R pathway diseases, is ongoing with topline data expected in March 2026. Following the completion of our Phase 2 DAYBREAK trial, we identified six genetically-defined cohorts that we believe merit further investigation for potential setmelanotide efficacy.</w:t>
      </w:r>
    </w:p>
    <w:p>
      <w:pPr>
        <w:spacing w:after="0" w:line="21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are leveraging what we believe is the largest known DNA database focused on obesity - with approximately 120,000 sequencing samples as of December 31, 2025 - to improve the understanding, diagnosis and care of people living with severe obesity due to certain variants in genes associated with the MC4R pathway. Our sequencing-based epidemiology estimates show that each of these genetically-defined MC4R pathway deficiencies we are focused on are considered rare diseases, according to established definitions based on patient populations. Our epidemiology estimates are approximately 4,600 to 7,500 for U.S. patients in initial FDA-approved indications, including obesity due to BBS and biallelic POMC, PCSK1 or LEPR deficiencies. Our epidemiology estimates for the two more prevalent indications being studied in our Phase 3 EMANATE trial (SH2B1 and POMC/PCSK1) suggest that approximately 29,000 U.S. patients with one of these genetically driven obesities have the potential to respond well to setmelanotide. Similarly, our epidemiology</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80" w:top="831" w:right="1160" w:bottom="0" w:gutter="0" w:footer="0" w:header="0"/>
          <w:type w:val="continuous"/>
        </w:sectPr>
      </w:pPr>
    </w:p>
    <w:bookmarkStart w:id="125" w:name="page126"/>
    <w:bookmarkEnd w:id="125"/>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estimates for patients with genetic indications who demonstrated an initial response in our Phase 2 DAYBREAK trial is approximately 65,300. All these patients face similar challenges to other patients with rare diseases, namely lack of awareness, resources, tests, tools and especially therapeutic options.</w:t>
      </w:r>
    </w:p>
    <w:p>
      <w:pPr>
        <w:spacing w:after="0" w:line="19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Since our inception, we have raised funds through the issuance of common and preferred equity, the sale of assets and a Revenue Interest Financing Agreement, or RIFA.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pacing w:after="0" w:line="213"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As of December 31, 2025, we had an accumulated deficit of $1.4 billion. Our net losses were $196.5 million and $260.6 million for the years ended December 31, 2025 and 2024, respectively. We expect to continue to incur significant expenses and increasing operating losses over the foreseeable future. We expect our expenses will increase substantially in connection with our ongoing activities, as we:</w:t>
      </w:r>
    </w:p>
    <w:p>
      <w:pPr>
        <w:spacing w:after="0" w:line="202" w:lineRule="exact"/>
        <w:rPr>
          <w:sz w:val="20"/>
          <w:szCs w:val="20"/>
          <w:color w:val="auto"/>
        </w:rPr>
      </w:pPr>
    </w:p>
    <w:p>
      <w:pPr>
        <w:ind w:left="1080" w:hanging="370"/>
        <w:spacing w:after="0"/>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conduct clinical trials for setmelanotide and our other product candidates;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contract manufacturing organizations, or CMOs, for the manufacture of clinical and commercial-grade setmelanotide;</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 for setmelanotide for future indications, and for our other product candidates;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clinical and financial operations and build a marketing and commercialization infrastructure;</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the sales and marketing efforts necessary to support the continued commercial efforts of IMCIVREE globally;</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into account the levels, timing and collection of revenue earned from sales of IMCIVREE and other products approved in the future, if any; and</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operate as a public company.</w:t>
      </w:r>
    </w:p>
    <w:p>
      <w:pPr>
        <w:spacing w:after="0" w:line="25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our cash and cash equivalents and short-term investments were approximately $388.9 million. We expect that our cash and cash equivalents and short-term investments as of December 31, 2025, will enable us to fund our operations for at least 24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Background</w:t>
      </w:r>
    </w:p>
    <w:p>
      <w:pPr>
        <w:spacing w:after="0" w:line="24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We are a Delaware corporation organized in February 2013 under the name Rhythm Metabolic, Inc., and as of October 2015, under the name Rhythm Pharmaceuticals,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49" w:lineRule="exact"/>
        <w:rPr>
          <w:sz w:val="20"/>
          <w:szCs w:val="20"/>
          <w:color w:val="auto"/>
        </w:rPr>
      </w:pPr>
    </w:p>
    <w:p>
      <w:pPr>
        <w:jc w:val="both"/>
        <w:ind w:right="20" w:firstLine="720"/>
        <w:spacing w:after="0" w:line="244" w:lineRule="auto"/>
        <w:rPr>
          <w:sz w:val="20"/>
          <w:szCs w:val="20"/>
          <w:color w:val="auto"/>
        </w:rPr>
      </w:pPr>
      <w:r>
        <w:rPr>
          <w:rFonts w:ascii="Times New Roman" w:cs="Times New Roman" w:eastAsia="Times New Roman" w:hAnsi="Times New Roman"/>
          <w:sz w:val="20"/>
          <w:szCs w:val="20"/>
          <w:color w:val="auto"/>
        </w:rPr>
        <w:t>To date, we have generated approximately $422.5 million of revenue from product sales.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in March 2022 under the paid early access program. IMCIVREE was approved by the FDA and the EC in adult and pediatric patients six years of age and older with obesity due to BBS in June and September 2022, respectively. Following these initial approvals, sales of IMCIVREE have grown, and we expect will continue to grow.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00"/>
          </w:cols>
          <w:pgMar w:left="1180" w:top="838" w:right="116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 xml:space="preserve">All of our inventory of IMCIVREE produced prior to FDA approval is available for commercial or clinical use. Most of the manufacturing costs have been recorded as research and development expenses in prior periods. </w:t>
      </w:r>
      <w:r>
        <w:rPr>
          <w:rFonts w:ascii="Times New Roman" w:cs="Times New Roman" w:eastAsia="Times New Roman" w:hAnsi="Times New Roman"/>
          <w:sz w:val="20"/>
          <w:szCs w:val="20"/>
          <w:color w:val="121212"/>
        </w:rPr>
        <w:t>We expect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21212"/>
        </w:rPr>
        <w:t>cost of sales to increase in 2026 as we continue to sell inventory that is produced after we began capitalizing manufacturing costs for IMCIVREE commercial inventory.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9"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research activities, including our drug discovery and genetic sequencing efforts, and the clinical development of setmelanotide, which include:</w:t>
      </w:r>
    </w:p>
    <w:p>
      <w:pPr>
        <w:spacing w:after="0" w:line="181" w:lineRule="exact"/>
        <w:rPr>
          <w:sz w:val="20"/>
          <w:szCs w:val="20"/>
          <w:color w:val="auto"/>
        </w:rPr>
      </w:pPr>
    </w:p>
    <w:p>
      <w:pPr>
        <w:jc w:val="both"/>
        <w:ind w:left="1080" w:right="20" w:hanging="370"/>
        <w:spacing w:after="0" w:line="266" w:lineRule="auto"/>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spacing w:after="0" w:line="19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including salaries, benefits and stock-based compensation expense;</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lab supplies and acquiring, developing and manufacturing preclinical and clinical study materials;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genetic sequencing of potential patients in clinical studies;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facilities, depreciation, and other expenses, which include rent and maintenance of facilities, insurance and other operating costs;</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in process research and development costs associated with the acquisition of Xinvento B.V., or Xinvento in the three months ended March 31, 2023; and</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in process research and development costs associated with the acquisition of LG Chem, Ltd.’s, or LGC’s, proprietary compound bivamelagon in the three months ended March 31, 2024.</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current research and development expenses: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35"/>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Research and development summary</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167,340</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237,957</w:t>
            </w:r>
          </w:p>
        </w:tc>
      </w:tr>
      <w:tr>
        <w:trPr>
          <w:trHeight w:val="20"/>
        </w:trPr>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-221615</wp:posOffset>
            </wp:positionV>
            <wp:extent cx="6311900" cy="228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a:extLst>
                        <a:ext uri="{28A0092B-C50C-407E-A947-70E740481C1C}"/>
                      </a:extLst>
                    </a:blip>
                    <a:srcRect/>
                    <a:stretch>
                      <a:fillRect/>
                    </a:stretch>
                  </pic:blipFill>
                  <pic:spPr bwMode="auto">
                    <a:xfrm>
                      <a:off x="0" y="0"/>
                      <a:ext cx="6311900" cy="2286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are unable to predict the duration and costs of the current or future clinical trials of our product candidates. The duration, costs, and timing of clinical trials and development of setmelanotide, RM-718, bivamelagon, and a potential therapeutic product candidate for congenital hyperinsulinism (CHI) will depend on a variety of factors, including:</w:t>
      </w:r>
    </w:p>
    <w:p>
      <w:pPr>
        <w:spacing w:after="0" w:line="197" w:lineRule="exact"/>
        <w:rPr>
          <w:sz w:val="20"/>
          <w:szCs w:val="20"/>
          <w:color w:val="auto"/>
        </w:rPr>
      </w:pPr>
    </w:p>
    <w:p>
      <w:pPr>
        <w:ind w:left="1080" w:right="20" w:hanging="370"/>
        <w:spacing w:after="0" w:line="281" w:lineRule="auto"/>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rate of progress, and expense of our ongoing, as well as any additional, clinical trials and other research and development activities;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enrollment in clinical trials;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and efficacy demonstrated by setmelanotide in future clinical trials;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clinical trial design; and</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receipt of any regulatory approvals.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180" w:top="829" w:right="1160" w:bottom="0" w:gutter="0" w:footer="0" w:header="0"/>
          <w:type w:val="continuous"/>
        </w:sectPr>
      </w:pPr>
    </w:p>
    <w:bookmarkStart w:id="127" w:name="page128"/>
    <w:bookmarkEnd w:id="127"/>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our product candidates would significantly change the costs and timing associated with its development and potential commercialization.</w:t>
      </w:r>
    </w:p>
    <w:p>
      <w:pPr>
        <w:spacing w:after="0" w:line="181"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4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Selling expenses consist of professional fees related to preparation for the continued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spacing w:after="0" w:line="207"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related costs, including stock-based compensation, relating to our full-time employees not involved in R&amp;D or commercial activities. Other significant costs include rent, information technology, legal fees relating to patent and corporate matters and fees for accounting and consulting services.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current selling, general and administrative expenses.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35"/>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summary</w:t>
            </w:r>
          </w:p>
        </w:tc>
        <w:tc>
          <w:tcPr>
            <w:tcW w:w="60" w:type="dxa"/>
            <w:vAlign w:val="bottom"/>
          </w:tcPr>
          <w:p>
            <w:pPr>
              <w:spacing w:after="0"/>
              <w:rPr>
                <w:sz w:val="20"/>
                <w:szCs w:val="20"/>
                <w:color w:val="auto"/>
              </w:rPr>
            </w:pP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194,941</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144,304</w:t>
            </w:r>
          </w:p>
        </w:tc>
      </w:tr>
      <w:tr>
        <w:trPr>
          <w:trHeight w:val="20"/>
        </w:trPr>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-221615</wp:posOffset>
            </wp:positionV>
            <wp:extent cx="6311900" cy="228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a:extLst>
                        <a:ext uri="{28A0092B-C50C-407E-A947-70E740481C1C}"/>
                      </a:extLst>
                    </a:blip>
                    <a:srcRect/>
                    <a:stretch>
                      <a:fillRect/>
                    </a:stretch>
                  </pic:blipFill>
                  <pic:spPr bwMode="auto">
                    <a:xfrm>
                      <a:off x="0" y="0"/>
                      <a:ext cx="6311900" cy="22860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anticipate that our selling, general and administrative expenses will increase in the future to support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 expenses, insurance and investor relations costs, among other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our consolidated financial statements included elsewhere in this Annual Report, we believe that the following accounting policies are the most critical to aid in fully understanding and evaluating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9"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In accordance with Accounting Standards Codification (ASC) 606, Revenue from Contracts with Customers, we recognize revenue when a customer obtains control of promised goods or services, in an amount that reflects the consideration we expect to receive in exchange for the goods or services provided. To determine revenue recognition for arrangements within the scope of ASC 606, we perform the following five steps: (1) identify the contracts with a customer;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1180" w:top="838" w:right="1160" w:bottom="0" w:gutter="0" w:footer="0" w:header="0"/>
          <w:type w:val="continuous"/>
        </w:sectPr>
      </w:pPr>
    </w:p>
    <w:bookmarkStart w:id="128" w:name="page129"/>
    <w:bookmarkEnd w:id="128"/>
    <w:p>
      <w:pPr>
        <w:jc w:val="both"/>
        <w:ind w:left="10" w:right="20" w:hanging="10"/>
        <w:spacing w:after="0" w:line="244" w:lineRule="auto"/>
        <w:tabs>
          <w:tab w:leader="none" w:pos="3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(3) determine the transaction price; (4) allocate the transaction price to the performance obligations in the contract; and (5) recognize revenue when or as the entity satisfies a performance obligation. At contract inception,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all contracts that fall into the scope of ASC 606, we have identified one performance obligation: the sale of IMCIVREE to our customers. We have not incurred or capitalized any incremental costs associated with obtaining contracts with customers.</w:t>
      </w:r>
    </w:p>
    <w:p>
      <w:pPr>
        <w:spacing w:after="0" w:line="210" w:lineRule="exact"/>
        <w:rPr>
          <w:sz w:val="20"/>
          <w:szCs w:val="20"/>
          <w:color w:val="auto"/>
        </w:rPr>
      </w:pPr>
    </w:p>
    <w:p>
      <w:pPr>
        <w:jc w:val="both"/>
        <w:ind w:left="10" w:right="20" w:firstLine="720"/>
        <w:spacing w:after="0" w:line="244" w:lineRule="auto"/>
        <w:rPr>
          <w:sz w:val="20"/>
          <w:szCs w:val="20"/>
          <w:color w:val="auto"/>
        </w:rPr>
      </w:pPr>
      <w:r>
        <w:rPr>
          <w:rFonts w:ascii="Times New Roman" w:cs="Times New Roman" w:eastAsia="Times New Roman" w:hAnsi="Times New Roman"/>
          <w:sz w:val="20"/>
          <w:szCs w:val="20"/>
          <w:color w:val="auto"/>
        </w:rPr>
        <w:t>In the United States, which accounts for the largest portion of our total revenues, the Company sells its product through a specialty pharmacy. The product is distributed through a third-party logistics, or 3PL, distribution agent that does not take title to the product. Once the product is delivered to the Company’s specialty pharmacy provider, our customer in the United States,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210" w:lineRule="exact"/>
        <w:rPr>
          <w:sz w:val="20"/>
          <w:szCs w:val="20"/>
          <w:color w:val="auto"/>
        </w:rPr>
      </w:pPr>
    </w:p>
    <w:p>
      <w:pPr>
        <w:jc w:val="both"/>
        <w:ind w:left="10" w:firstLine="720"/>
        <w:spacing w:after="0" w:line="242" w:lineRule="auto"/>
        <w:rPr>
          <w:sz w:val="20"/>
          <w:szCs w:val="20"/>
          <w:color w:val="auto"/>
        </w:rPr>
      </w:pPr>
      <w:r>
        <w:rPr>
          <w:rFonts w:ascii="Times New Roman" w:cs="Times New Roman" w:eastAsia="Times New Roman" w:hAnsi="Times New Roman"/>
          <w:sz w:val="20"/>
          <w:szCs w:val="20"/>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49" w:lineRule="exact"/>
        <w:rPr>
          <w:sz w:val="20"/>
          <w:szCs w:val="20"/>
          <w:color w:val="auto"/>
        </w:rPr>
      </w:pPr>
    </w:p>
    <w:p>
      <w:pPr>
        <w:jc w:val="both"/>
        <w:ind w:left="10" w:firstLine="720"/>
        <w:spacing w:after="0" w:line="243"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are required to estimate the value associated with goods and services received in the period in connection with research and development activities.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or alternatively, the deferral of amounts paid for goods or services to be incurred in the future. The majority of our service providers invoice us monthly in arrears for services performed or when contractual milestones are met. We make estimates of our accrued expenses or prepaid expenses as of each balance sheet date in our financial statements based on facts and circumstances known to us at the time those financial statements are prepared. We periodically confirm the accuracy of our estimates with the service providers and make adjustments if necessary. The significant estimates in our accrued research and development expenses include fees paid to CROs, CMOs and consultants in connection with research and development activities.</w:t>
      </w:r>
    </w:p>
    <w:p>
      <w:pPr>
        <w:spacing w:after="0" w:line="209" w:lineRule="exact"/>
        <w:rPr>
          <w:sz w:val="20"/>
          <w:szCs w:val="20"/>
          <w:color w:val="auto"/>
        </w:rPr>
      </w:pPr>
    </w:p>
    <w:p>
      <w:pPr>
        <w:jc w:val="both"/>
        <w:ind w:left="10" w:right="20" w:firstLine="720"/>
        <w:spacing w:after="0" w:line="242" w:lineRule="auto"/>
        <w:rPr>
          <w:sz w:val="20"/>
          <w:szCs w:val="20"/>
          <w:color w:val="auto"/>
        </w:rPr>
      </w:pPr>
      <w:r>
        <w:rPr>
          <w:rFonts w:ascii="Times New Roman" w:cs="Times New Roman" w:eastAsia="Times New Roman" w:hAnsi="Times New Roman"/>
          <w:sz w:val="20"/>
          <w:szCs w:val="20"/>
          <w:color w:val="auto"/>
        </w:rPr>
        <w:t>We accrue our expenses related to CROs, CMOs and consultants based on our estimates of the services received and efforts expended pursuant to quotes and contracts with CROs, CMOs and consultants that conduct research and development and manufacturing on our behalf. The financial terms of these agreements are subject to negotiation, vary from contract to contract and may result in uneven payment flows. The allocation of CRO upfront expenses for both clinical trials and preclinical studies generally tracks actual work activity. However, there may be instances in which payments made to our vendors will exceed the level of services provided and result in a prepayment of the research and development expense. In accruing service fees delivered over a period of time, we estimate the time period over which services will be performed and the level of effort to be expended in each period. If the actual timing of the performance of services or the level of effort varies from our estimate, we adjust accrued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10"/>
          </w:cols>
          <w:pgMar w:left="1170" w:top="838" w:right="1160" w:bottom="0" w:gutter="0" w:footer="0" w:header="0"/>
          <w:type w:val="continuous"/>
        </w:sectPr>
      </w:pPr>
    </w:p>
    <w:bookmarkStart w:id="129" w:name="page130"/>
    <w:bookmarkEnd w:id="129"/>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9" w:lineRule="exact"/>
        <w:rPr>
          <w:sz w:val="20"/>
          <w:szCs w:val="20"/>
          <w:color w:val="auto"/>
        </w:rPr>
      </w:pPr>
    </w:p>
    <w:p>
      <w:pPr>
        <w:jc w:val="both"/>
        <w:ind w:left="10" w:right="20" w:firstLine="720"/>
        <w:spacing w:after="0" w:line="243" w:lineRule="auto"/>
        <w:rPr>
          <w:sz w:val="20"/>
          <w:szCs w:val="20"/>
          <w:color w:val="auto"/>
        </w:rPr>
      </w:pPr>
      <w:r>
        <w:rPr>
          <w:rFonts w:ascii="Times New Roman" w:cs="Times New Roman" w:eastAsia="Times New Roman" w:hAnsi="Times New Roman"/>
          <w:sz w:val="20"/>
          <w:szCs w:val="20"/>
          <w:color w:val="auto"/>
        </w:rPr>
        <w:t>We maintain the Rhythm Pharmaceuticals, Inc. 2017 Equity Incentive Plan, (the “2017 Plan”) which provides for the grant of incentive stock options, non-qualified stock options, stock appreciation rights, performance units, restricted stock awards, restricted stock units and stock grants to employees, consultants, advisors and directors, as determined by the board of directors. As of December 31, 2025, we had reserved 13,717,040 shares of common stock under the 2017 Plan. Shares of common stock issued pursuant to awards are generally issued from authorized but unissued shares. The 2017 Plan provides that the exercise price of incentive stock options cannot be less than 100% of the fair market value of the common stock on the date of the award for participants who own less than 10% of the total combined voting power of stock, and not less than 110% for participants who own more than 10% of the voting power. Awards granted under the 2017 Plan will vest over periods as determined by our Compensation Committee and approved by our board of directors.</w:t>
      </w:r>
    </w:p>
    <w:p>
      <w:pPr>
        <w:spacing w:after="0" w:line="214" w:lineRule="exact"/>
        <w:rPr>
          <w:sz w:val="20"/>
          <w:szCs w:val="20"/>
          <w:color w:val="auto"/>
        </w:rPr>
      </w:pPr>
    </w:p>
    <w:p>
      <w:pPr>
        <w:jc w:val="both"/>
        <w:ind w:left="10" w:firstLine="720"/>
        <w:spacing w:after="0" w:line="243" w:lineRule="auto"/>
        <w:rPr>
          <w:sz w:val="20"/>
          <w:szCs w:val="20"/>
          <w:color w:val="auto"/>
        </w:rPr>
      </w:pPr>
      <w:r>
        <w:rPr>
          <w:rFonts w:ascii="Times New Roman" w:cs="Times New Roman" w:eastAsia="Times New Roman" w:hAnsi="Times New Roman"/>
          <w:sz w:val="20"/>
          <w:szCs w:val="20"/>
          <w:color w:val="auto"/>
        </w:rPr>
        <w:t>On February 9, 2022, our board of directors adopted the Rhythm Pharmaceuticals, Inc. 2022 Employment Inducement Plan (the “2022 Inducement Plan”), which became effective on such date without stockholder approval pursuant to Rule 5635(c)(4) of the Nasdaq Stock Market LLC listing rules (“Rule 5635(c)(4)”). The 2022 Inducement Plan provides for the grant of non-qualified stock options, stock appreciation rights, performance units, restricted stock awards, restricted stock units and stock grants. In accordance with Rule 5635(c)(4), awards under the 2022 Inducement Plan may only be made to a newly hired employee who has not previously been a member of our board of directors, or an employee who is being rehired following a bona fide period of non-employment by the Company or a subsidiary, as a material inducement to the employee’s entering into employment with the Company or its subsidiary. An aggregate of 1,000,000 shares of our common stock have been reserved for issuance under the 2022 Inducement Plan.</w:t>
      </w:r>
    </w:p>
    <w:p>
      <w:pPr>
        <w:spacing w:after="0" w:line="214" w:lineRule="exact"/>
        <w:rPr>
          <w:sz w:val="20"/>
          <w:szCs w:val="20"/>
          <w:color w:val="auto"/>
        </w:rPr>
      </w:pPr>
    </w:p>
    <w:p>
      <w:pPr>
        <w:jc w:val="both"/>
        <w:ind w:left="10"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exercise price of stock options granted under the 2022 Inducement Plan will not be less than the fair market value of a share of our common stock on the grant date. Other terms of awards, including vesting requirements, are determined by our board of directors and are subject to the provisions of the 2022 Inducement Plan. Stock options granted to employees generally vest over a four-year period but may be granted with different vesting terms. Certain options may provide for accelerated vesting in the event of a change in control. Stock options granted under the 2022 Inducement Plan expire no more than 10 years from the date of grant. As of </w:t>
      </w:r>
      <w:r>
        <w:rPr>
          <w:rFonts w:ascii="Times New Roman" w:cs="Times New Roman" w:eastAsia="Times New Roman" w:hAnsi="Times New Roman"/>
          <w:sz w:val="20"/>
          <w:szCs w:val="20"/>
          <w:color w:val="121212"/>
        </w:rPr>
        <w:t>December 31, 2025</w:t>
      </w:r>
      <w:r>
        <w:rPr>
          <w:rFonts w:ascii="Times New Roman" w:cs="Times New Roman" w:eastAsia="Times New Roman" w:hAnsi="Times New Roman"/>
          <w:sz w:val="20"/>
          <w:szCs w:val="20"/>
          <w:color w:val="auto"/>
        </w:rPr>
        <w:t>, there were 371,148 stock option awards outstanding, 194,419 restricted stock unit awards outstanding and 59,067 shares of common stock available for future grant under the 2022 Inducement Plan.</w:t>
      </w:r>
    </w:p>
    <w:p>
      <w:pPr>
        <w:spacing w:after="0" w:line="210" w:lineRule="exact"/>
        <w:rPr>
          <w:sz w:val="20"/>
          <w:szCs w:val="20"/>
          <w:color w:val="auto"/>
        </w:rPr>
      </w:pPr>
    </w:p>
    <w:p>
      <w:pPr>
        <w:jc w:val="both"/>
        <w:ind w:left="10" w:right="20" w:firstLine="720"/>
        <w:spacing w:after="0" w:line="251" w:lineRule="auto"/>
        <w:rPr>
          <w:sz w:val="20"/>
          <w:szCs w:val="20"/>
          <w:color w:val="auto"/>
        </w:rPr>
      </w:pPr>
      <w:r>
        <w:rPr>
          <w:rFonts w:ascii="Times New Roman" w:cs="Times New Roman" w:eastAsia="Times New Roman" w:hAnsi="Times New Roman"/>
          <w:sz w:val="20"/>
          <w:szCs w:val="20"/>
          <w:color w:val="auto"/>
        </w:rPr>
        <w:t>We estimate the fair value of our stock option awards to employees and non-employees using the Black-Scholes option-pricing model, which requires the input of subjective assumptions, including (a) the expected volatility of our stock,</w:t>
      </w:r>
    </w:p>
    <w:p>
      <w:pPr>
        <w:spacing w:after="0" w:line="1" w:lineRule="exact"/>
        <w:rPr>
          <w:sz w:val="20"/>
          <w:szCs w:val="20"/>
          <w:color w:val="auto"/>
        </w:rPr>
      </w:pPr>
    </w:p>
    <w:p>
      <w:pPr>
        <w:jc w:val="both"/>
        <w:ind w:left="10" w:hanging="10"/>
        <w:spacing w:after="0"/>
        <w:tabs>
          <w:tab w:leader="none" w:pos="30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term of the award, (c) the risk-free interest rate, and (d) expected dividends. Due to the lack of a public market for the trading of our common stock and a lack of company-specific historical and implied volatility data, we previously based our estimate of expected volatility on the historical volatility of a group of companies in the pharmaceutical and biotechnology industries in a similar stage of development as us and that are publicly traded. For these analyses, we selected companies with comparable characteristics to ours including enterprise value, risk profiles and with historical share price information sufficient to meet the expected life of the stock-based awards. We computed the historical volatility data using the daily closing prices for the selected companies' shares during the equivalent period of the calculated expected term of our stock-based awards. We estimate volatility by using a blend of our stock price history for the length of time we have market data for our stock and the historical volatility of similar public companies for the expected term of each grant. We will continue to apply this process until a sufficient amount of historical information regarding the volatility of our own stock price becomes available.</w:t>
      </w:r>
    </w:p>
    <w:p>
      <w:pPr>
        <w:spacing w:after="0" w:line="218" w:lineRule="exact"/>
        <w:rPr>
          <w:sz w:val="20"/>
          <w:szCs w:val="20"/>
          <w:color w:val="auto"/>
        </w:rPr>
      </w:pPr>
    </w:p>
    <w:p>
      <w:pPr>
        <w:jc w:val="both"/>
        <w:ind w:left="10" w:right="20" w:firstLine="720"/>
        <w:spacing w:after="0" w:line="245" w:lineRule="auto"/>
        <w:rPr>
          <w:sz w:val="20"/>
          <w:szCs w:val="20"/>
          <w:color w:val="auto"/>
        </w:rPr>
      </w:pPr>
      <w:r>
        <w:rPr>
          <w:rFonts w:ascii="Times New Roman" w:cs="Times New Roman" w:eastAsia="Times New Roman" w:hAnsi="Times New Roman"/>
          <w:sz w:val="20"/>
          <w:szCs w:val="20"/>
          <w:color w:val="auto"/>
        </w:rPr>
        <w:t xml:space="preserve">We have estimated the expected life of our employee stock options using the "simplified" method, whereby, the expected life equals the average of the vesting term and the original contractual term of the option. The risk-free interest rates for periods within the expected life of the option are based on the U.S. Treasury yield curve in effect during the period the options were granted. We have elected to account for forfeitures as they occur. Upon adopting Accounting Standards Update 2018-07, </w:t>
      </w:r>
      <w:r>
        <w:rPr>
          <w:rFonts w:ascii="Times New Roman" w:cs="Times New Roman" w:eastAsia="Times New Roman" w:hAnsi="Times New Roman"/>
          <w:sz w:val="20"/>
          <w:szCs w:val="20"/>
          <w:b w:val="1"/>
          <w:bCs w:val="1"/>
          <w:i w:val="1"/>
          <w:iCs w:val="1"/>
          <w:color w:val="auto"/>
        </w:rPr>
        <w:t>Improvements to Nonemployee Share-Based Payment Accounting (Topic 718)</w:t>
      </w:r>
      <w:r>
        <w:rPr>
          <w:rFonts w:ascii="Times New Roman" w:cs="Times New Roman" w:eastAsia="Times New Roman" w:hAnsi="Times New Roman"/>
          <w:sz w:val="20"/>
          <w:szCs w:val="20"/>
          <w:color w:val="auto"/>
        </w:rPr>
        <w:t xml:space="preserve"> on July 1, 2018, we elected that unsettled equity-classified awards to nonemployees for which a measurement date has not been established be measured using the adoption date fair value.</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9" w:lineRule="exact"/>
        <w:rPr>
          <w:sz w:val="20"/>
          <w:szCs w:val="20"/>
          <w:color w:val="auto"/>
        </w:rPr>
      </w:pPr>
    </w:p>
    <w:p>
      <w:pPr>
        <w:jc w:val="both"/>
        <w:ind w:left="10" w:right="20" w:firstLine="720"/>
        <w:spacing w:after="0" w:line="250" w:lineRule="auto"/>
        <w:rPr>
          <w:sz w:val="20"/>
          <w:szCs w:val="20"/>
          <w:color w:val="auto"/>
        </w:rPr>
      </w:pPr>
      <w:r>
        <w:rPr>
          <w:rFonts w:ascii="Times New Roman" w:cs="Times New Roman" w:eastAsia="Times New Roman" w:hAnsi="Times New Roman"/>
          <w:sz w:val="20"/>
          <w:szCs w:val="20"/>
          <w:color w:val="auto"/>
        </w:rPr>
        <w:t xml:space="preserve">We account for uncertain tax positions in accordance with the provisions of Accounting Standards Codification, or ASC, Topic 740, </w:t>
      </w:r>
      <w:r>
        <w:rPr>
          <w:rFonts w:ascii="Times New Roman" w:cs="Times New Roman" w:eastAsia="Times New Roman" w:hAnsi="Times New Roman"/>
          <w:sz w:val="20"/>
          <w:szCs w:val="20"/>
          <w:b w:val="1"/>
          <w:bCs w:val="1"/>
          <w:i w:val="1"/>
          <w:iCs w:val="1"/>
          <w:color w:val="auto"/>
        </w:rPr>
        <w:t>Accounting for Income Taxes</w:t>
      </w:r>
      <w:r>
        <w:rPr>
          <w:rFonts w:ascii="Times New Roman" w:cs="Times New Roman" w:eastAsia="Times New Roman" w:hAnsi="Times New Roman"/>
          <w:sz w:val="20"/>
          <w:szCs w:val="20"/>
          <w:color w:val="auto"/>
        </w:rPr>
        <w:t>, or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10"/>
          </w:cols>
          <w:pgMar w:left="1170" w:top="829" w:right="1160" w:bottom="0" w:gutter="0" w:footer="0" w:header="0"/>
          <w:type w:val="continuous"/>
        </w:sectPr>
      </w:pPr>
    </w:p>
    <w:bookmarkStart w:id="130" w:name="page131"/>
    <w:bookmarkEnd w:id="130"/>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consideration of the available facts and circumstances. As of December 31, 2025, we did not have any uncertain tax positions.</w:t>
      </w:r>
    </w:p>
    <w:p>
      <w:pPr>
        <w:spacing w:after="0" w:line="181"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Income taxes are recorded in accordance with ASC 740, which provides for deferred taxes using an asset and liability approach. We recognize deferred tax assets and liabilities for the expected future tax consequences of events that have been included in the financial statements or tax returns. We determine our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07"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Utilization of the net operating loss and tax credit carryforwards may be subject to a substantial annual limitation due to ownership change limitations that have occurred previously or that could occur in the future, as provided by Section 382 of the Internal Revenue Code of 1986, as amended, or the Code, or Section 382, as well as similar state provisions and other provisions of the Code. Ownership changes may limit the amount of net operating losses and tax credit carryforwards that can be utilized annually to offset future taxable income and tax, respectively. In general, an ownership change, as defined by Section 382, occurs when there is a greater than 50% change in the ownership of stock among certain 5% shareholders over a three-year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24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together with the changes in those items in dollars and as a percentage: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9"/>
        </w:trPr>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Statement of Operations Data:</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4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Product revenue, net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194,771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64,645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303"/>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License revenue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8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189,757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Cost of sales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30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167,340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237,957</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(70,617)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3"/>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194,941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144,304</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50,637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8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 costs and expenses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381,773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395,629</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(192,016)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(265,503)</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73,487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5,247</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(9,273)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(196,042)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(260,256)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44 %</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(196,539)</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(260,602)</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64,063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-2850515</wp:posOffset>
            </wp:positionV>
            <wp:extent cx="6311900" cy="285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extLst>
                    </a:blip>
                    <a:srcRect/>
                    <a:stretch>
                      <a:fillRect/>
                    </a:stretch>
                  </pic:blipFill>
                  <pic:spPr bwMode="auto">
                    <a:xfrm>
                      <a:off x="0" y="0"/>
                      <a:ext cx="6311900" cy="2857500"/>
                    </a:xfrm>
                    <a:prstGeom prst="rect">
                      <a:avLst/>
                    </a:prstGeom>
                    <a:noFill/>
                  </pic:spPr>
                </pic:pic>
              </a:graphicData>
            </a:graphic>
          </wp:anchor>
        </w:drawing>
      </w:r>
    </w:p>
    <w:p>
      <w:pPr>
        <w:spacing w:after="0" w:line="225" w:lineRule="exact"/>
        <w:rPr>
          <w:sz w:val="20"/>
          <w:szCs w:val="20"/>
          <w:color w:val="auto"/>
        </w:rPr>
      </w:pPr>
    </w:p>
    <w:p>
      <w:pPr>
        <w:jc w:val="both"/>
        <w:ind w:right="20" w:firstLine="72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Product revenue, net </w:t>
      </w:r>
      <w:r>
        <w:rPr>
          <w:rFonts w:ascii="Times New Roman" w:cs="Times New Roman" w:eastAsia="Times New Roman" w:hAnsi="Times New Roman"/>
          <w:sz w:val="19"/>
          <w:szCs w:val="19"/>
          <w:color w:val="auto"/>
        </w:rPr>
        <w:t>increased by $64.6 million to $194.8 million in 2025 from $130.1 million in 2024,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increase of 50%, due primarily to higher volume of product sold both domestically and internationally. We expect our sales of IMCIVREE to continue to increase. We have achieved market access for IMCIVREE for BBS or POMC and LEPR deficiencies, or both, in more than 25 countries outside the United States, and we continue to collaborate with authorities to achieve access in additional markets. For the years ended December 31, 2025 and 2024, a substantial amount of our product revenue, or 69% and 74%, respectively, was generated from sales of our product to patients in the United States.</w:t>
      </w:r>
    </w:p>
    <w:p>
      <w:pPr>
        <w:spacing w:after="0" w:line="189" w:lineRule="exact"/>
        <w:rPr>
          <w:sz w:val="20"/>
          <w:szCs w:val="20"/>
          <w:color w:val="auto"/>
        </w:rPr>
      </w:pPr>
    </w:p>
    <w:p>
      <w:pPr>
        <w:jc w:val="both"/>
        <w:ind w:right="12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License revenue</w:t>
      </w:r>
      <w:r>
        <w:rPr>
          <w:rFonts w:ascii="Times New Roman" w:cs="Times New Roman" w:eastAsia="Times New Roman" w:hAnsi="Times New Roman"/>
          <w:sz w:val="20"/>
          <w:szCs w:val="20"/>
          <w:color w:val="auto"/>
        </w:rPr>
        <w:t>. During the year ended December 31, 2025, we recognized a reduction of previously recognized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license revenue of $5.0 million in connection with the termination of our exclusive license agreement with RareStone. See Note 10, </w:t>
      </w:r>
      <w:r>
        <w:rPr>
          <w:rFonts w:ascii="Times New Roman" w:cs="Times New Roman" w:eastAsia="Times New Roman" w:hAnsi="Times New Roman"/>
          <w:sz w:val="20"/>
          <w:szCs w:val="20"/>
          <w:b w:val="1"/>
          <w:bCs w:val="1"/>
          <w:i w:val="1"/>
          <w:iCs w:val="1"/>
          <w:color w:val="auto"/>
        </w:rPr>
        <w:t>Significant Agreements,</w:t>
      </w:r>
      <w:r>
        <w:rPr>
          <w:rFonts w:ascii="Times New Roman" w:cs="Times New Roman" w:eastAsia="Times New Roman" w:hAnsi="Times New Roman"/>
          <w:sz w:val="20"/>
          <w:szCs w:val="20"/>
          <w:color w:val="auto"/>
        </w:rPr>
        <w:t xml:space="preserve"> in the consolidated financial statements.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900"/>
          </w:cols>
          <w:pgMar w:left="1180" w:top="838" w:right="1160" w:bottom="0" w:gutter="0" w:footer="0" w:header="0"/>
          <w:type w:val="continuous"/>
        </w:sectPr>
      </w:pPr>
    </w:p>
    <w:bookmarkStart w:id="131" w:name="page132"/>
    <w:bookmarkEnd w:id="131"/>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sales. </w:t>
      </w:r>
      <w:r>
        <w:rPr>
          <w:rFonts w:ascii="Times New Roman" w:cs="Times New Roman" w:eastAsia="Times New Roman" w:hAnsi="Times New Roman"/>
          <w:sz w:val="20"/>
          <w:szCs w:val="20"/>
          <w:color w:val="auto"/>
        </w:rPr>
        <w:t>Cost of sales increased by $6.1 million to $19.5 million in 2025 from $13.4 million in 2024,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 of 46%, which was driven primarily by the increase in product revenue in 2025. Cost of sales is composed of royalty expense due to Ipsen on our net product sales, amortization of our capitalized sales-based milestone payment made to Ipsen, upon our first commercial sale in the United States and EU, the cost of product, as well as costs associated with our patient assistance programs. Specifically, the $6.1 million increase in cost of sales in 2025 was due to $3.2 million of additional royalties due to our growth in sales and $2.9 million due to higher product costs from higher net product revenue. We expect cost of sales as a percentage of product revenue, net to continue to be in a range of 10% to 12% in foreseeable future.</w:t>
      </w:r>
    </w:p>
    <w:p>
      <w:pPr>
        <w:spacing w:after="0" w:line="241" w:lineRule="exact"/>
        <w:rPr>
          <w:sz w:val="20"/>
          <w:szCs w:val="20"/>
          <w:color w:val="auto"/>
        </w:rPr>
      </w:pPr>
    </w:p>
    <w:p>
      <w:pPr>
        <w:jc w:val="both"/>
        <w:ind w:right="20" w:firstLine="7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expense. </w:t>
      </w:r>
      <w:r>
        <w:rPr>
          <w:rFonts w:ascii="Times New Roman" w:cs="Times New Roman" w:eastAsia="Times New Roman" w:hAnsi="Times New Roman"/>
          <w:sz w:val="20"/>
          <w:szCs w:val="20"/>
          <w:color w:val="auto"/>
        </w:rPr>
        <w:t>Research and development expense decreased by $70.6 million to $167.3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in 2025 from $238.0 million in 2024, a decrease of 30%. The net decrease was primarily due to the following:</w:t>
      </w:r>
    </w:p>
    <w:p>
      <w:pPr>
        <w:spacing w:after="0" w:line="178" w:lineRule="exact"/>
        <w:rPr>
          <w:sz w:val="20"/>
          <w:szCs w:val="20"/>
          <w:color w:val="auto"/>
        </w:rPr>
      </w:pPr>
    </w:p>
    <w:p>
      <w:pPr>
        <w:jc w:val="both"/>
        <w:ind w:left="720" w:right="20" w:hanging="370"/>
        <w:spacing w:after="0" w:line="266" w:lineRule="auto"/>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$92.4 million related to acquired In-Process Research and Development (“IPR&amp;D”) costs associated with the acquisition of LGC’s proprietary compound bivamelagon in the year ended December 31, 2024, which did not recur in 2025; and</w:t>
      </w:r>
    </w:p>
    <w:p>
      <w:pPr>
        <w:spacing w:after="0" w:line="19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 decrease of $6.7 million in our clinical trial costs due to the completion and/or wind down of various trials including our Setmelanotide long-term extension trial, DAYBREAK phase 2 trial, Phase 3 pediatrics trial, and Phase 3 HO Setmelanotide trial; partially offset with an increase in our Bivamelagon HO Phase 2 and Bivamelagon long-term extension trials, as well as our Prader-Willi Syndrome Setmelanotide trial.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above decreases were partially offset by:</w:t>
      </w:r>
    </w:p>
    <w:p>
      <w:pPr>
        <w:spacing w:after="0" w:line="250" w:lineRule="exact"/>
        <w:rPr>
          <w:sz w:val="20"/>
          <w:szCs w:val="20"/>
          <w:color w:val="auto"/>
        </w:rPr>
      </w:pPr>
    </w:p>
    <w:p>
      <w:pPr>
        <w:jc w:val="both"/>
        <w:ind w:left="720" w:right="20" w:hanging="370"/>
        <w:spacing w:after="0" w:line="260" w:lineRule="auto"/>
        <w:tabs>
          <w:tab w:leader="none" w:pos="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$8.0 million related to salaries, benefits and other compensation costs related to the hiring of additional full-time employees in order to support the growth of our research and development programs, as well as an increase of $9.3 million of stock-based compensation due to increases in stock price and headcount, as well as the achievement of certain clinical and/or regulatory milestones related to performance units, and</w:t>
      </w:r>
    </w:p>
    <w:p>
      <w:pPr>
        <w:spacing w:after="0" w:line="20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$7.2 million associated with chemistry, manufacturing, and controls (CMC) costs for drug formulation and autoinjector development to support RM-718 and our ongoing Phase 1 clinical trial of RM-718.</w:t>
      </w:r>
    </w:p>
    <w:p>
      <w:pPr>
        <w:spacing w:after="0" w:line="178"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Selling, general and administrative expense. </w:t>
      </w:r>
      <w:r>
        <w:rPr>
          <w:rFonts w:ascii="Times New Roman" w:cs="Times New Roman" w:eastAsia="Times New Roman" w:hAnsi="Times New Roman"/>
          <w:sz w:val="20"/>
          <w:szCs w:val="20"/>
          <w:color w:val="auto"/>
        </w:rPr>
        <w:t>Selling, general and administrative expense increased by $50.6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to $194.9 million in 2025 from $144.3 million in 2024, an increase of 35%. The increase was primarily due to the following:</w:t>
      </w:r>
    </w:p>
    <w:p>
      <w:pPr>
        <w:spacing w:after="0" w:line="208" w:lineRule="exact"/>
        <w:rPr>
          <w:sz w:val="20"/>
          <w:szCs w:val="20"/>
          <w:color w:val="auto"/>
        </w:rPr>
      </w:pPr>
    </w:p>
    <w:p>
      <w:pPr>
        <w:jc w:val="both"/>
        <w:ind w:left="1080" w:hanging="370"/>
        <w:spacing w:after="0" w:line="281" w:lineRule="auto"/>
        <w:tabs>
          <w:tab w:leader="none" w:pos="1080" w:val="left"/>
        </w:tabs>
        <w:numPr>
          <w:ilvl w:val="0"/>
          <w:numId w:val="8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an increase of $19.9 million increase in compensation and benefits-related costs associated with additional headcount to support our expanding business operations as well as to establish commercial operations in international regions; as well as an increase of $17.8 million of stock-based compensation due to increases in stock price and headcount, as well as the achievement of certain clinical and/or regulatory milestones related to performance units, and</w:t>
      </w:r>
    </w:p>
    <w:p>
      <w:pPr>
        <w:spacing w:after="0" w:line="183" w:lineRule="exact"/>
        <w:rPr>
          <w:rFonts w:ascii="Arial" w:cs="Arial" w:eastAsia="Arial" w:hAnsi="Arial"/>
          <w:sz w:val="24"/>
          <w:szCs w:val="24"/>
          <w:b w:val="1"/>
          <w:bCs w:val="1"/>
          <w:color w:val="auto"/>
        </w:rPr>
      </w:pPr>
    </w:p>
    <w:p>
      <w:pPr>
        <w:ind w:left="1080" w:hanging="370"/>
        <w:spacing w:after="0" w:line="281" w:lineRule="auto"/>
        <w:tabs>
          <w:tab w:leader="none" w:pos="10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$6.6 million related to increased marketing and promotion costs to support continued revenue growth, and our anticipated product launch for Hypothalamic Obesity.</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$4.2 million related to professional services costs, including legal, consulting and tax services.</w:t>
      </w:r>
    </w:p>
    <w:p>
      <w:pPr>
        <w:spacing w:after="0" w:line="246"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(expense), net. </w:t>
      </w:r>
      <w:r>
        <w:rPr>
          <w:rFonts w:ascii="Times New Roman" w:cs="Times New Roman" w:eastAsia="Times New Roman" w:hAnsi="Times New Roman"/>
          <w:sz w:val="20"/>
          <w:szCs w:val="20"/>
          <w:color w:val="auto"/>
        </w:rPr>
        <w:t>During the year ended December 31 2025, we incurred $(4.0) million in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compared to $5.2 million of other income in 2024. This change of $(9.3) million was due to the following:</w:t>
      </w:r>
    </w:p>
    <w:p>
      <w:pPr>
        <w:spacing w:after="0" w:line="177" w:lineRule="exact"/>
        <w:rPr>
          <w:sz w:val="20"/>
          <w:szCs w:val="20"/>
          <w:color w:val="auto"/>
        </w:rPr>
      </w:pPr>
    </w:p>
    <w:p>
      <w:pPr>
        <w:jc w:val="both"/>
        <w:ind w:left="1080" w:right="20" w:hanging="370"/>
        <w:spacing w:after="0" w:line="266" w:lineRule="auto"/>
        <w:tabs>
          <w:tab w:leader="none" w:pos="10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one-time gain of $8.9 million that was recognized for the settlement of a forward contract recorded with the issuance of Convertible Preferred Stock during the year ended December 31, 2024; which did not recur in 2025, and</w:t>
      </w:r>
    </w:p>
    <w:p>
      <w:pPr>
        <w:spacing w:after="0" w:line="19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other income of $0.9 million primarily due to the change in fair value of the embedded derivative on our deferred royalty obligation and less foreign exchange gains in 2025.</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0"/>
          </w:cols>
          <w:pgMar w:left="1180" w:top="834" w:right="116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our cash and cash equivalents and short-term investments were approximately $388.9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 for the years ended December 31, 2025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7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9"/>
                <w:szCs w:val="19"/>
                <w:color w:val="auto"/>
              </w:rPr>
              <w:t>Year Ended December 31,</w:t>
            </w:r>
          </w:p>
        </w:tc>
      </w:tr>
      <w:tr>
        <w:trPr>
          <w:trHeight w:val="265"/>
        </w:trPr>
        <w:tc>
          <w:tcPr>
            <w:tcW w:w="70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2"/>
        </w:trPr>
        <w:tc>
          <w:tcPr>
            <w:tcW w:w="7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60" w:type="dxa"/>
            <w:vAlign w:val="bottom"/>
            <w:gridSpan w:val="4"/>
          </w:tcPr>
          <w:p>
            <w:pPr>
              <w:jc w:val="right"/>
              <w:ind w:right="745"/>
              <w:spacing w:after="0"/>
              <w:rPr>
                <w:sz w:val="20"/>
                <w:szCs w:val="20"/>
                <w:color w:val="auto"/>
              </w:rPr>
            </w:pPr>
            <w:r>
              <w:rPr>
                <w:rFonts w:ascii="Times New Roman" w:cs="Times New Roman" w:eastAsia="Times New Roman" w:hAnsi="Times New Roman"/>
                <w:sz w:val="19"/>
                <w:szCs w:val="19"/>
                <w:b w:val="1"/>
                <w:bCs w:val="1"/>
                <w:color w:val="auto"/>
              </w:rPr>
              <w:t>(in thousands)</w:t>
            </w: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provided by:</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70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Operating activities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(115,675)</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(113,879)</w:t>
            </w:r>
          </w:p>
        </w:tc>
      </w:tr>
      <w:tr>
        <w:trPr>
          <w:trHeight w:val="285"/>
        </w:trPr>
        <w:tc>
          <w:tcPr>
            <w:tcW w:w="70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Investing activities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(137,153)</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(48,173)</w:t>
            </w:r>
          </w:p>
        </w:tc>
      </w:tr>
      <w:tr>
        <w:trPr>
          <w:trHeight w:val="285"/>
        </w:trPr>
        <w:tc>
          <w:tcPr>
            <w:tcW w:w="70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Financing activities</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217,963</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191,242</w:t>
            </w:r>
          </w:p>
        </w:tc>
      </w:tr>
      <w:tr>
        <w:trPr>
          <w:trHeight w:val="288"/>
        </w:trPr>
        <w:tc>
          <w:tcPr>
            <w:tcW w:w="70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Effect of exchange rates on cash</w:t>
            </w:r>
          </w:p>
        </w:tc>
        <w:tc>
          <w:tcPr>
            <w:tcW w:w="3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45"/>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(34,778)</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29,192</w:t>
            </w:r>
          </w:p>
        </w:tc>
      </w:tr>
      <w:tr>
        <w:trPr>
          <w:trHeight w:val="20"/>
        </w:trPr>
        <w:tc>
          <w:tcPr>
            <w:tcW w:w="7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11900" cy="130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extLst>
                    </a:blip>
                    <a:srcRect/>
                    <a:stretch>
                      <a:fillRect/>
                    </a:stretch>
                  </pic:blipFill>
                  <pic:spPr bwMode="auto">
                    <a:xfrm>
                      <a:off x="0" y="0"/>
                      <a:ext cx="6311900" cy="13049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p>
      <w:pPr>
        <w:spacing w:after="0" w:line="24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 xml:space="preserve">The use of cash in all periods resulted primarily from our net losses, adjusted for non-cash charges and changes in components of </w:t>
      </w:r>
      <w:r>
        <w:rPr>
          <w:rFonts w:ascii="Times New Roman" w:cs="Times New Roman" w:eastAsia="Times New Roman" w:hAnsi="Times New Roman"/>
          <w:sz w:val="20"/>
          <w:szCs w:val="20"/>
          <w:color w:val="121212"/>
        </w:rPr>
        <w:t>operating assets and liabilities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was $115.7 million for the year ended December 31, 2025, and consisted primarily of a net loss of $196.5 million adjusted for $81.8 million of non-cash charges, which consisted of stock-based compensation, depreciation and amortization, non-cash interest expense, non-cash accretion and amortization of short-term investments, non-cash rent expense, and the change in the fair value of our embedded derivative liability, which we expect to continue to have these add-backs to net income. Additionally, the change in operating assets and liabilities used net cash of approximately $1.0 million, and was primarily driven by total net increases of accounts receivable of $7.6 million, which corresponds to the increase in our revenue, $7.5 million increase in inventory as we work to build up our supply ahead of anticipated demand, and an increase of $6.3 million in prepaid expenses and other current assets due primarily to prepayments being reclassed from long-term to short-term, offset by total net increases to accounts payable and accrued expenses of $21.9 million primarily driven by the increase in our sales allowance for pricing rebates as our revenue continues to grow.</w:t>
      </w:r>
    </w:p>
    <w:p>
      <w:pPr>
        <w:spacing w:after="0" w:line="21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Net cash used in operating activities was $113.9 million for the year ended December 31, 2024, and consisted primarily of a net loss of $260.6 million adjusted for non-cash items of $43.8 million, which consisted of stock-based compensation, depreciation and amortization, non-cash interest expense, non-cash accretion and amortization of short-term investments, non-cash rent expense, gain on settlement of forward contract, and the change in the fair value of our embedded derivative liability. Our net loss also included $92.4 million of acquired In-Process Research and Development (IPR&amp;D) assets, which are classified as investing activities. The change in operating assets and liabilities provided net cash of approximately $10.6 million, primarily driven by increases to accounts payable and accrued expenses of $21.9 million, net decreases in long-term assets of $7.9 million, offset by net increases in accounts receivable and inventory of $13.8 million and net increases to prepaid expenses of $5.5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Net cash used in investing activities was $137.2 million for the year ended December 31, 2025 and related to purchases of short term investments for $348.7 million and cash used for the final payment we made in July 2025 for LGC’s proprietary compound bivamelagon for $40.0 million, offset by gross maturities and sales of short-term investments of $252.5 million.</w:t>
      </w:r>
    </w:p>
    <w:p>
      <w:pPr>
        <w:spacing w:after="0" w:line="202"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Net cash used in investing activities was $48.2 million for the year ended December 31, 2024 and related to purchases of short term investments for $268.3 million and cash used for the purchase of LGC’s proprietary compound bivamelagon for $40.0 million in January 2024, offset by gross maturities of short-term investments of $260.6 million.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180" w:top="831"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financing activities</w:t>
      </w:r>
    </w:p>
    <w:p>
      <w:pPr>
        <w:spacing w:after="0" w:line="249"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Net cash provided by financing activities was $218.0 million for the year ended December 31, 2025, which consisted of net proceeds of $188.7 million from a follow-on offering of our common stock in July 2025, and net proceeds from our ATM equity offering of $34.0 million. We also received proceeds of $15.2 million from the exercise of stock options and the issuance of common stock from our 2017 Employee Stock Purchase Plan. These proceeds were offset by $19.9 million of repayments of our deferred royalty obligation.</w:t>
      </w:r>
    </w:p>
    <w:p>
      <w:pPr>
        <w:spacing w:after="0" w:line="2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provided by financing activities was $191.2 million for the year ended December 31, 2024, and consisted of net proceeds of $147.8 million from the issuance of Convertible Preferred Stock as well as net proceeds from our ATM equity offering of $39.1 million. We also received proceeds of $17.2 million from the exercise of stock options and the issuance of common stock from our 2017 Employee Stock Purchase Plan. These proceeds were offset by $12.9 million of repayments of our deferred royalty obligation.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Interest Financing Agreement</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 xml:space="preserve">On June 16, 2022, we entered into the RIFA with HealthCare Royalty, for a total investment amount of up to $100 million. In exchange for the total investment amount to be received by us, HealthCare Royalty will receive a tiered royalty based on global net product sales generated by IMCIVREE. For additional information, see Note 11, </w:t>
      </w:r>
      <w:r>
        <w:rPr>
          <w:rFonts w:ascii="Times New Roman" w:cs="Times New Roman" w:eastAsia="Times New Roman" w:hAnsi="Times New Roman"/>
          <w:sz w:val="20"/>
          <w:szCs w:val="20"/>
          <w:b w:val="1"/>
          <w:bCs w:val="1"/>
          <w:i w:val="1"/>
          <w:iCs w:val="1"/>
          <w:color w:val="auto"/>
        </w:rPr>
        <w:t>Long-term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Obligations, </w:t>
      </w:r>
      <w:r>
        <w:rPr>
          <w:rFonts w:ascii="Times New Roman" w:cs="Times New Roman" w:eastAsia="Times New Roman" w:hAnsi="Times New Roman"/>
          <w:sz w:val="20"/>
          <w:szCs w:val="20"/>
          <w:color w:val="auto"/>
        </w:rPr>
        <w:t>to the consolidated financial statements included elsewhere in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49"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We expect our expenses to increase in connection with our ongoing activities, particularly as we continue the clinical development of and seek marketing approval for setmelanotide for future indications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spacing w:after="0" w:line="207" w:lineRule="exact"/>
        <w:rPr>
          <w:sz w:val="20"/>
          <w:szCs w:val="20"/>
          <w:color w:val="auto"/>
        </w:rPr>
      </w:pPr>
    </w:p>
    <w:p>
      <w:pPr>
        <w:jc w:val="both"/>
        <w:ind w:right="20" w:firstLine="720"/>
        <w:spacing w:after="0" w:line="241" w:lineRule="auto"/>
        <w:rPr>
          <w:sz w:val="20"/>
          <w:szCs w:val="20"/>
          <w:color w:val="auto"/>
        </w:rPr>
      </w:pPr>
      <w:r>
        <w:rPr>
          <w:rFonts w:ascii="Times New Roman" w:cs="Times New Roman" w:eastAsia="Times New Roman" w:hAnsi="Times New Roman"/>
          <w:sz w:val="20"/>
          <w:szCs w:val="20"/>
          <w:color w:val="auto"/>
        </w:rPr>
        <w:t>We expect that our existing cash and cash equivalents and short-term investments will be sufficient to fund our operations for at least 24 months from the date of filing of this Annual Report on Form 10-K.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spacing w:after="0" w:line="205"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240" w:lineRule="exact"/>
        <w:rPr>
          <w:sz w:val="20"/>
          <w:szCs w:val="20"/>
          <w:color w:val="auto"/>
        </w:rPr>
      </w:pPr>
    </w:p>
    <w:p>
      <w:pPr>
        <w:ind w:left="1080" w:right="20" w:hanging="370"/>
        <w:spacing w:after="0" w:line="271" w:lineRule="auto"/>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continue to commercialize setmelanotide, by growing our internal sales force or entering into collaborations with third parties and providing support services for patients;</w:t>
      </w:r>
    </w:p>
    <w:p>
      <w:pPr>
        <w:spacing w:after="0" w:line="18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clinical trials for our setmelanotide program, as well as for RM-718 and bivamelagon, and in connection with a therapeutic product candidate for CHI;</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our setmelanotide program; as well as for RM-718 and bivamelagon, and in connection with a therapeutic product candidate for CHI;</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owed to Ipsen, Camurus AB and LGC, pursuant to our license agreements;</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25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additional collaborations on favorable terms, if at all; and</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1180" w:top="829" w:right="1160" w:bottom="0" w:gutter="0" w:footer="0" w:header="0"/>
          <w:type w:val="continuous"/>
        </w:sectPr>
      </w:pPr>
    </w:p>
    <w:bookmarkStart w:id="134" w:name="page135"/>
    <w:bookmarkEnd w:id="134"/>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spacing w:after="0" w:line="206"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spacing w:after="0" w:line="20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revenues, we expect to finance our cash needs through a combination of equity offerings, debt financings, collaborations, strategic alliances and licensing arrangements.</w:t>
      </w:r>
    </w:p>
    <w:p>
      <w:pPr>
        <w:spacing w:after="0" w:line="181"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spacing w:after="0" w:line="207"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w:t>
      </w:r>
    </w:p>
    <w:p>
      <w:pPr>
        <w:spacing w:after="0" w:line="249"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On November 2, 2021, we entered into a Sales Agreement with Cowen and Company, LLC (“Cowen”), pursuant to which we may issue and sell shares of its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spacing w:after="0" w:line="207"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121212"/>
        </w:rPr>
        <w:t>On February 29, 2024, we and Cowen entered into Amendment No. 1 to Sales Agreement (the “Amendment”) to increase the aggregate offering price of the shares of common stock that may be issued and sold pursuant to the Sales Agreement to $200.0 million (excluding the aggregate offering price of shares of common stock issued and sold pursuant to the Sales Agreement prior to February 29, 2024). In connection with the Amendment, on February 29, 2024, we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207"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From December 10, 2024 to December 31, 2024, the Company sold 744,595 shares of common stock in the ATM Program for net proceeds of $41.2 million as of December 31, 2024. The Company sold an additional 587,510 shares of common stock in the ATM Program from January 1, 2025 through January 21, 2025 for net proceeds of approximately $32.1 million in the quarter ending March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funding</w:t>
      </w:r>
    </w:p>
    <w:p>
      <w:pPr>
        <w:spacing w:after="0" w:line="249"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On July 9, 2025, we entered into an underwriting agreement (the “Underwriting Agreement”) with Morgan Stanley &amp; Co. LLC and BofA Securities, Inc., as the representatives of the several underwriters named in the Underwriting Agreement (collectively, the “Underwriters”), in connection with a follow-on offering, issuance and sale by us of 2,058,824 shares of the Company’s common stock. The offering price of the shares of common stock to the public was $85.00 per share. In addition, under the terms of the Underwriting Agreement, we granted the Underwriters a 30-day option to purchase up to 308,823 additional shares of Common Stock, at the public offering price per share, less underwriting discounts and commissions. On July 10, 2025, the Underwriters exercised the option in full. The closing of</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838" w:right="1160" w:bottom="0" w:gutter="0" w:footer="0" w:header="0"/>
          <w:type w:val="continuous"/>
        </w:sectPr>
      </w:pPr>
    </w:p>
    <w:bookmarkStart w:id="135" w:name="page136"/>
    <w:bookmarkEnd w:id="135"/>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sale of the shares pursuant to the offering, including the shares sold pursuant to the exercise in full of the option, took place on July 11, 2025, resulting in net proceeds of approximately $188.7 million, net of $12.6 million of underwriting discounts and commissions, and other offering expenses that we incurred, for a total share issuance of 2,367,647.</w:t>
      </w:r>
    </w:p>
    <w:p>
      <w:pPr>
        <w:spacing w:after="0" w:line="197"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April 2024, we received $147.8 million in net proceeds under the Investment Agreement, with certain affiliates of Perceptive Advisors LLC, or Perceptive, and certain other investors, relating to the issuance and sale of 150,000 shares of a new series of the Company’s Convertible Preferred Stock for an aggregate purchase price of $150.0 million, or $1,000 per share - see Note 9 to our consolidated financial statements - </w:t>
      </w:r>
      <w:r>
        <w:rPr>
          <w:rFonts w:ascii="Times New Roman" w:cs="Times New Roman" w:eastAsia="Times New Roman" w:hAnsi="Times New Roman"/>
          <w:sz w:val="20"/>
          <w:szCs w:val="20"/>
          <w:b w:val="1"/>
          <w:bCs w:val="1"/>
          <w:i w:val="1"/>
          <w:iCs w:val="1"/>
          <w:color w:val="auto"/>
        </w:rPr>
        <w:t>Series A Convertible Preferred Stock</w:t>
      </w:r>
      <w:r>
        <w:rPr>
          <w:rFonts w:ascii="Times New Roman" w:cs="Times New Roman" w:eastAsia="Times New Roman" w:hAnsi="Times New Roman"/>
          <w:sz w:val="20"/>
          <w:szCs w:val="20"/>
          <w:color w:val="auto"/>
        </w:rPr>
        <w:t xml:space="preserve"> for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We enter into agreements in the normal course of business with CROs and CMOs for clinical trials and clinical supply manufacturing and with vendors for clinical research studies and other services and products for operating purposes. We do not classify these as contractual obligations where the contracts are cancelable at any time by us, generally upon 30 days' prior written notice to the vendor.</w:t>
      </w:r>
    </w:p>
    <w:p>
      <w:pPr>
        <w:spacing w:after="0" w:line="20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Future milestone and royalty payments associated with our license agreements with Ipsen, Camurus, and LG Chem, have not been included as contractual obligations as we cannot reasonably estimate if or when they will occur. Under the terms of the Ipsen license agreement, Ipsen may receive aggregate payments of up to $40.0 million upon the achievement of certain development and commercial milestones under the license agreement and royalties on future product sales and at December 31, 2025 there were $27.0 million of remaining milestones that may be achieved and due to Ipsen at a future date. We did not make milestone payments to Ipsen during 2023, 2024 or 2025.</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Under the terms of the Camurus license agreement, assuming that the weekly formulation of setmelanotide is successfully developed, receives regulatory approval and is commercialized, Camurus may receive aggregate payments of up to $64.8 million upon the achievement of certain development and commercial milestones under the license agreement and royalties on future product sales. As of December 31, 2025, there were $62.5 million of remaining milestones that may be achieved and for which Camurus would receive payment at a future date. We did not make milestone payments to Camurus during 2023, 2024 or 2025.</w:t>
      </w:r>
    </w:p>
    <w:p>
      <w:pPr>
        <w:spacing w:after="0" w:line="20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Under the terms of the LG Chem license agreement, we have paid LG Chem $80 million in cash and issued shares to them of our common stock with an aggregate value of $20 million. We have also agreed to pay LG Chem up to $205 million in cash upon achieving various regulatory milestones and sales milestones based on net sales of bivamelagon. In addition and subject to the completion of Phase 2 development of bivamelagon, the Company has agreed to pay LGC royalties of between low-to-mid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We entered into this agreement in 2024 and have not yet made any milestone payments.</w:t>
      </w:r>
    </w:p>
    <w:p>
      <w:pPr>
        <w:spacing w:after="0" w:line="211"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121212"/>
        </w:rPr>
        <w:t>Based on our current development plans as of December 31, 2025, we expect to make a $2.0 million milestone payment to the sellers of Xinvento upon the commencement of good laboratory practices toxicity trials (currently expected to begin in 2026). Milestones generally become due and payable upon achievement of such milestones or sales. When the achievement of these milestones or sales have not occurred, such contingencies are not recorded in our financial statements and are excluded from the table below.</w:t>
      </w:r>
    </w:p>
    <w:p>
      <w:pPr>
        <w:spacing w:after="0" w:line="20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121212"/>
        </w:rPr>
        <w:t xml:space="preserve">On May 2, 2024, we entered into an agreement to amend the current operating lease agreement for our head office facility </w:t>
      </w:r>
      <w:r>
        <w:rPr>
          <w:rFonts w:ascii="Times New Roman" w:cs="Times New Roman" w:eastAsia="Times New Roman" w:hAnsi="Times New Roman"/>
          <w:sz w:val="20"/>
          <w:szCs w:val="20"/>
          <w:color w:val="000000"/>
        </w:rPr>
        <w:t>in Boston, Massachusetts</w:t>
      </w:r>
      <w:r>
        <w:rPr>
          <w:rFonts w:ascii="Times New Roman" w:cs="Times New Roman" w:eastAsia="Times New Roman" w:hAnsi="Times New Roman"/>
          <w:sz w:val="20"/>
          <w:szCs w:val="20"/>
          <w:color w:val="121212"/>
        </w:rPr>
        <w:t xml:space="preserve">. Under the amendment, the current lease was extended for five years through July 31, 2030. </w:t>
      </w:r>
      <w:r>
        <w:rPr>
          <w:rFonts w:ascii="Times New Roman" w:cs="Times New Roman" w:eastAsia="Times New Roman" w:hAnsi="Times New Roman"/>
          <w:sz w:val="20"/>
          <w:szCs w:val="20"/>
          <w:color w:val="000000"/>
        </w:rPr>
        <w:t>The lease includes approximately 13,600 square feet of office space.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For a discussion of pending and recently adopted accounting pronouncements, see Note 2 to our audited consolidated financial statements included elsewhere in this Annual Report.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900"/>
          </w:cols>
          <w:pgMar w:left="1180" w:top="838"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7"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spacing w:after="0" w:line="20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are also exposed to market risks related to fluctuations in foreign currency exchange rates. These risks arise primarily from our international operations, including foreign currency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denominated revenues, expenses, assets, liabilities, and intercompany transactions. Changes in exchange rates can impact our results of operations, financial position, and cash flows, as well as the U.S. dollar value of our foreign currency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denominated balances. Our exposure to foreign currency risk is not material for the year ended December 31, 2025; we consider this exposure as part of our overall risk management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the consolidated financial statements filed as part of this Annual Report as listed under Item 15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247"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2025, our disclosure controls and procedures were effective at the reasonable assurance level.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7"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 15(f) of the Exchange Act). Our management assessed the effectiveness of our internal control over financial reporting as of December 31, 2024. In making this assessment, it used the criteria established in Internal Control—Integrated Framework (2013) issued by the Committee of Sponsoring Organizations of the Treadway Commission (COSO).</w:t>
      </w:r>
    </w:p>
    <w:p>
      <w:pPr>
        <w:spacing w:after="0" w:line="20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Based upon such assessment, our management concluded that our internal control over financial reporting was effective as of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hanges in Internal Control Over Financial Reporting</w:t>
      </w:r>
    </w:p>
    <w:p>
      <w:pPr>
        <w:spacing w:after="0" w:line="24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 15(f) under the Exchange Act) that occurred during the fourth quarter of 2025 that have materially affected, or are reasonably likely to materially affect, our internal control over financial reporting.</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180" w:top="831" w:right="116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Attestation of Independent Registered Public Accounting Firm</w:t>
      </w:r>
    </w:p>
    <w:p>
      <w:pPr>
        <w:spacing w:after="0" w:line="247"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Ernst &amp; Young LLP, our independent registered public accounting firm, has issued an attestation report on our internal control over financial reporting, which is included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Rhythm Pharmaceuticals,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Rhythm Pharmaceuticals, Inc.’s internal control over financial reporting as of December 31, 2025, based on criteria established in Internal Control—Integrated Framework issued by the Committee of Sponsoring Organizations of the Treadway Commission (2013 framework) (the COSO criteria). In our opinion, Rhythm Pharmaceuticals, Inc. (the Company) maintained, in all material respects, effective internal control over financial reporting as of December 31, 2025, based on the COSO criteria.</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convertible preferred stock &amp; stockholders’ equity and cash flows for each of the three years in the period ended December 31, 2025, and the related notes and our report dated February 26, 2026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831"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43"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7" w:lineRule="exact"/>
        <w:rPr>
          <w:sz w:val="20"/>
          <w:szCs w:val="20"/>
          <w:color w:val="auto"/>
        </w:rPr>
      </w:pPr>
    </w:p>
    <w:p>
      <w:pPr>
        <w:ind w:left="1080" w:right="3640" w:hanging="370"/>
        <w:spacing w:after="0" w:line="495" w:lineRule="auto"/>
        <w:tabs>
          <w:tab w:leader="none" w:pos="10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in lieu of reporting on a Current Report on Form 8-K. None.</w:t>
      </w:r>
    </w:p>
    <w:p>
      <w:pPr>
        <w:spacing w:after="0" w:line="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Trading Arrangements and Policies.</w:t>
      </w:r>
    </w:p>
    <w:p>
      <w:pPr>
        <w:spacing w:after="0" w:line="240" w:lineRule="exact"/>
        <w:rPr>
          <w:sz w:val="20"/>
          <w:szCs w:val="20"/>
          <w:color w:val="auto"/>
        </w:rPr>
      </w:pPr>
    </w:p>
    <w:p>
      <w:pPr>
        <w:jc w:val="both"/>
        <w:ind w:left="1080" w:right="20" w:firstLine="360"/>
        <w:spacing w:after="0" w:line="255" w:lineRule="auto"/>
        <w:rPr>
          <w:sz w:val="20"/>
          <w:szCs w:val="20"/>
          <w:color w:val="auto"/>
        </w:rPr>
      </w:pPr>
      <w:r>
        <w:rPr>
          <w:rFonts w:ascii="Times New Roman" w:cs="Times New Roman" w:eastAsia="Times New Roman" w:hAnsi="Times New Roman"/>
          <w:sz w:val="20"/>
          <w:szCs w:val="20"/>
          <w:color w:val="auto"/>
        </w:rPr>
        <w:t>On December 15, 2025, Pamela Cramer, the Company's Chief Human Resources Officer, adopted a trading plan intended to satisfy the affirmative defense conditions of Rule 10b5-1(c) under the Exchange Act for the sale of up to 52,617 shares of the Company's common stock until March 15, 2027.</w:t>
      </w:r>
    </w:p>
    <w:p>
      <w:pPr>
        <w:spacing w:after="0" w:line="197" w:lineRule="exact"/>
        <w:rPr>
          <w:sz w:val="20"/>
          <w:szCs w:val="20"/>
          <w:color w:val="auto"/>
        </w:rPr>
      </w:pPr>
    </w:p>
    <w:p>
      <w:pPr>
        <w:jc w:val="both"/>
        <w:ind w:left="1080" w:right="20" w:firstLine="360"/>
        <w:spacing w:after="0" w:line="255" w:lineRule="auto"/>
        <w:rPr>
          <w:sz w:val="20"/>
          <w:szCs w:val="20"/>
          <w:color w:val="auto"/>
        </w:rPr>
      </w:pPr>
      <w:r>
        <w:rPr>
          <w:rFonts w:ascii="Times New Roman" w:cs="Times New Roman" w:eastAsia="Times New Roman" w:hAnsi="Times New Roman"/>
          <w:sz w:val="20"/>
          <w:szCs w:val="20"/>
          <w:color w:val="auto"/>
        </w:rPr>
        <w:t>On December 15, 2025, Jennifer Lee, the Company's EVP, Head of North America, adopted a trading plan intended to satisfy the affirmative defense conditions of Rule 10b5-1(c) under the Exchange Act for the sale of up to 62,459 shares of the Company's common stock until October 1, 2026.</w:t>
      </w:r>
    </w:p>
    <w:p>
      <w:pPr>
        <w:spacing w:after="0" w:line="197" w:lineRule="exact"/>
        <w:rPr>
          <w:sz w:val="20"/>
          <w:szCs w:val="20"/>
          <w:color w:val="auto"/>
        </w:rPr>
      </w:pPr>
    </w:p>
    <w:p>
      <w:pPr>
        <w:jc w:val="both"/>
        <w:ind w:left="1080" w:firstLine="360"/>
        <w:spacing w:after="0" w:line="255" w:lineRule="auto"/>
        <w:rPr>
          <w:sz w:val="20"/>
          <w:szCs w:val="20"/>
          <w:color w:val="auto"/>
        </w:rPr>
      </w:pPr>
      <w:r>
        <w:rPr>
          <w:rFonts w:ascii="Times New Roman" w:cs="Times New Roman" w:eastAsia="Times New Roman" w:hAnsi="Times New Roman"/>
          <w:sz w:val="20"/>
          <w:szCs w:val="20"/>
          <w:color w:val="auto"/>
        </w:rPr>
        <w:t>On December 15, 2025, Joseph Shulman, the Company's Chief Technical Officer, adopted a trading plan intended to satisfy the affirmative defense conditions of Rule 10b5-1(c) under the Exchange Act for the sale of up to 66,910 shares of the Company's common stock until March 12, 2027.</w:t>
      </w:r>
    </w:p>
    <w:p>
      <w:pPr>
        <w:spacing w:after="0" w:line="197" w:lineRule="exact"/>
        <w:rPr>
          <w:sz w:val="20"/>
          <w:szCs w:val="20"/>
          <w:color w:val="auto"/>
        </w:rPr>
      </w:pPr>
    </w:p>
    <w:p>
      <w:pPr>
        <w:jc w:val="both"/>
        <w:ind w:left="1080" w:right="20" w:firstLine="360"/>
        <w:spacing w:after="0" w:line="255" w:lineRule="auto"/>
        <w:rPr>
          <w:sz w:val="20"/>
          <w:szCs w:val="20"/>
          <w:color w:val="auto"/>
        </w:rPr>
      </w:pPr>
      <w:r>
        <w:rPr>
          <w:rFonts w:ascii="Times New Roman" w:cs="Times New Roman" w:eastAsia="Times New Roman" w:hAnsi="Times New Roman"/>
          <w:sz w:val="20"/>
          <w:szCs w:val="20"/>
          <w:color w:val="auto"/>
        </w:rPr>
        <w:t>On December 15, 2025, Lynn Tetrault, a member of the Company's Board of Directors, adopted a trading plan intended to satisfy the affirmative defense conditions of Rule 10b5-1(c) under the Exchange Act for the sale of up to 55,000 shares of the Company's common stock until September 16, 2026.</w:t>
      </w:r>
    </w:p>
    <w:p>
      <w:pPr>
        <w:spacing w:after="0" w:line="197" w:lineRule="exact"/>
        <w:rPr>
          <w:sz w:val="20"/>
          <w:szCs w:val="20"/>
          <w:color w:val="auto"/>
        </w:rPr>
      </w:pPr>
    </w:p>
    <w:p>
      <w:pPr>
        <w:jc w:val="both"/>
        <w:ind w:left="1080" w:right="20" w:firstLine="360"/>
        <w:spacing w:after="0" w:line="255" w:lineRule="auto"/>
        <w:rPr>
          <w:sz w:val="20"/>
          <w:szCs w:val="20"/>
          <w:color w:val="auto"/>
        </w:rPr>
      </w:pPr>
      <w:r>
        <w:rPr>
          <w:rFonts w:ascii="Times New Roman" w:cs="Times New Roman" w:eastAsia="Times New Roman" w:hAnsi="Times New Roman"/>
          <w:sz w:val="20"/>
          <w:szCs w:val="20"/>
          <w:color w:val="auto"/>
        </w:rPr>
        <w:t>Other than as disclosed above, during the three months ended December 31, 2025, no director or officer of the Company adopted or terminated a “Rule 10b5-1 trading arrangement” or “non-Rule 10b5-1 trading arrangement,” as each term is defined in Item 408(a) of Regulation 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7" w:lineRule="exact"/>
        <w:rPr>
          <w:sz w:val="20"/>
          <w:szCs w:val="20"/>
          <w:color w:val="auto"/>
        </w:rPr>
      </w:pPr>
    </w:p>
    <w:p>
      <w:pPr>
        <w:jc w:val="both"/>
        <w:ind w:right="20" w:firstLine="720"/>
        <w:spacing w:after="0" w:line="244"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for all of our directors, officers and employees, including our principal executive officer, principal financial officer, principal accounting officer or controller, or persons performing similar functions. We have posted a current copy of our Code of Business Conduct and Ethics on our website at </w:t>
      </w:r>
      <w:r>
        <w:rPr>
          <w:rFonts w:ascii="Times New Roman" w:cs="Times New Roman" w:eastAsia="Times New Roman" w:hAnsi="Times New Roman"/>
          <w:sz w:val="20"/>
          <w:szCs w:val="20"/>
          <w:b w:val="1"/>
          <w:bCs w:val="1"/>
          <w:i w:val="1"/>
          <w:iCs w:val="1"/>
          <w:color w:val="auto"/>
        </w:rPr>
        <w:t xml:space="preserve">www.rhythmtx.com </w:t>
      </w:r>
      <w:r>
        <w:rPr>
          <w:rFonts w:ascii="Times New Roman" w:cs="Times New Roman" w:eastAsia="Times New Roman" w:hAnsi="Times New Roman"/>
          <w:sz w:val="20"/>
          <w:szCs w:val="20"/>
          <w:color w:val="auto"/>
        </w:rPr>
        <w:t>in the “Investors &amp; Media” section under “Corporate Governance.” We intend to disclose on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website any amendments to, or waivers from, our Code of Business Conduct and Ethics that are required to be disclosed pursuant to the rules of the SEC, as well as Nasdaq’s requirement to disclose waivers with respect to directors and executive officers. The information contained on our website is not considered part of, or incorporated by reference into, this Annual Report or any other filing that we make with the SEC.</w:t>
      </w:r>
    </w:p>
    <w:p>
      <w:pPr>
        <w:spacing w:after="0" w:line="21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remaining information required under this item is incorporated herein by reference to our definitive proxy statement for our 2026 annual meeting of stockholders, which proxy statement will be filed with the Securities and Exchange Commission not later than 120 days after the close of our fiscal year ended December 31, 2025.</w:t>
      </w:r>
    </w:p>
    <w:p>
      <w:pPr>
        <w:sectPr>
          <w:pgSz w:w="12240" w:h="15840" w:orient="portrait"/>
          <w:cols w:equalWidth="0" w:num="1">
            <w:col w:w="9900"/>
          </w:cols>
          <w:pgMar w:left="1180" w:top="13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1318" w:right="1160" w:bottom="0" w:gutter="0" w:footer="0" w:header="0"/>
          <w:type w:val="continuous"/>
        </w:sectPr>
      </w:pPr>
    </w:p>
    <w:bookmarkStart w:id="139" w:name="page140"/>
    <w:bookmarkEnd w:id="139"/>
    <w:p>
      <w:pPr>
        <w:ind w:left="1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7"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for our 2026 annual meeting of stockholders, which proxy statement will be filed with the Securities and Exchange commission not later than 120 days after the close of our fiscal year ended December 31, 2025.</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47"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regarding our common stock that may be issued under (1) the 2017 Plan; (2) our 2017 Employee Stock Purchase Plan, (the 2017 ESPP); and (3) the 2022 Inducement Plan.</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Plan Category:</w:t>
      </w:r>
    </w:p>
    <w:p>
      <w:pPr>
        <w:spacing w:after="0" w:line="7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Equity compensation plans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102350" cy="990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extLst>
                        <a:ext uri="{28A0092B-C50C-407E-A947-70E740481C1C}"/>
                      </a:extLst>
                    </a:blip>
                    <a:srcRect/>
                    <a:stretch>
                      <a:fillRect/>
                    </a:stretch>
                  </pic:blipFill>
                  <pic:spPr bwMode="auto">
                    <a:xfrm>
                      <a:off x="0" y="0"/>
                      <a:ext cx="6102350" cy="990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to be Issued Upon</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Available for</w:t>
            </w: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Future</w:t>
            </w:r>
          </w:p>
        </w:tc>
        <w:tc>
          <w:tcPr>
            <w:tcW w:w="0" w:type="dxa"/>
            <w:vAlign w:val="bottom"/>
          </w:tcPr>
          <w:p>
            <w:pPr>
              <w:spacing w:after="0"/>
              <w:rPr>
                <w:sz w:val="1"/>
                <w:szCs w:val="1"/>
                <w:color w:val="auto"/>
              </w:rPr>
            </w:pPr>
          </w:p>
        </w:tc>
      </w:tr>
      <w:tr>
        <w:trPr>
          <w:trHeight w:val="160"/>
        </w:trPr>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Restricted Stock</w:t>
            </w: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Issuance Under</w:t>
            </w:r>
          </w:p>
        </w:tc>
        <w:tc>
          <w:tcPr>
            <w:tcW w:w="0" w:type="dxa"/>
            <w:vAlign w:val="bottom"/>
          </w:tcPr>
          <w:p>
            <w:pPr>
              <w:spacing w:after="0"/>
              <w:rPr>
                <w:sz w:val="1"/>
                <w:szCs w:val="1"/>
                <w:color w:val="auto"/>
              </w:rPr>
            </w:pPr>
          </w:p>
        </w:tc>
      </w:tr>
      <w:tr>
        <w:trPr>
          <w:trHeight w:val="211"/>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69"/>
        </w:trPr>
        <w:tc>
          <w:tcPr>
            <w:tcW w:w="14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Warrants and</w:t>
            </w:r>
          </w:p>
        </w:tc>
        <w:tc>
          <w:tcPr>
            <w:tcW w:w="60" w:type="dxa"/>
            <w:vAlign w:val="bottom"/>
          </w:tcPr>
          <w:p>
            <w:pPr>
              <w:spacing w:after="0"/>
              <w:rPr>
                <w:sz w:val="14"/>
                <w:szCs w:val="14"/>
                <w:color w:val="auto"/>
              </w:rPr>
            </w:pPr>
          </w:p>
        </w:tc>
        <w:tc>
          <w:tcPr>
            <w:tcW w:w="138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Warrants and</w:t>
            </w:r>
          </w:p>
        </w:tc>
        <w:tc>
          <w:tcPr>
            <w:tcW w:w="60" w:type="dxa"/>
            <w:vAlign w:val="bottom"/>
          </w:tcPr>
          <w:p>
            <w:pPr>
              <w:spacing w:after="0"/>
              <w:rPr>
                <w:sz w:val="14"/>
                <w:szCs w:val="14"/>
                <w:color w:val="auto"/>
              </w:rPr>
            </w:pPr>
          </w:p>
        </w:tc>
        <w:tc>
          <w:tcPr>
            <w:tcW w:w="14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14"/>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0" w:type="dxa"/>
            <w:vAlign w:val="bottom"/>
          </w:tcPr>
          <w:p>
            <w:pPr>
              <w:spacing w:after="0"/>
              <w:rPr>
                <w:sz w:val="1"/>
                <w:szCs w:val="1"/>
                <w:color w:val="auto"/>
              </w:rPr>
            </w:pPr>
          </w:p>
        </w:tc>
      </w:tr>
    </w:tbl>
    <w:p>
      <w:pPr>
        <w:spacing w:after="0" w:line="316" w:lineRule="exact"/>
        <w:rPr>
          <w:sz w:val="20"/>
          <w:szCs w:val="20"/>
          <w:color w:val="auto"/>
        </w:rPr>
      </w:pPr>
    </w:p>
    <w:p>
      <w:pPr>
        <w:sectPr>
          <w:pgSz w:w="12240" w:h="15840" w:orient="portrait"/>
          <w:cols w:equalWidth="0" w:num="2">
            <w:col w:w="4550" w:space="720"/>
            <w:col w:w="4640"/>
          </w:cols>
          <w:pgMar w:left="1170" w:top="831" w:right="1160" w:bottom="0" w:gutter="0" w:footer="0" w:header="0"/>
          <w:type w:val="continuous"/>
        </w:sectPr>
      </w:pPr>
    </w:p>
    <w:tbl>
      <w:tblPr>
        <w:tblLayout w:type="fixed"/>
        <w:tblInd w:w="50" w:type="dxa"/>
        <w:tblCellMar>
          <w:top w:w="0" w:type="dxa"/>
          <w:left w:w="0" w:type="dxa"/>
          <w:bottom w:w="0" w:type="dxa"/>
          <w:right w:w="0" w:type="dxa"/>
        </w:tblCellMar>
      </w:tblPr>
      <w:tr>
        <w:trPr>
          <w:trHeight w:val="260"/>
        </w:trPr>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2017</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Plan</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9,080,190</w:t>
            </w:r>
          </w:p>
        </w:tc>
        <w:tc>
          <w:tcPr>
            <w:tcW w:w="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28.45</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4,636,850</w:t>
            </w:r>
          </w:p>
        </w:tc>
      </w:tr>
      <w:tr>
        <w:trPr>
          <w:trHeight w:val="300"/>
        </w:trPr>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2017 ESPP</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1,240,958</w:t>
            </w:r>
          </w:p>
        </w:tc>
      </w:tr>
      <w:tr>
        <w:trPr>
          <w:trHeight w:val="30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stockholders</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3"/>
        </w:trPr>
        <w:tc>
          <w:tcPr>
            <w:tcW w:w="5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2022</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Inducement Plan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565,567</w:t>
            </w:r>
          </w:p>
        </w:tc>
        <w:tc>
          <w:tcPr>
            <w:tcW w:w="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23.25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59,067</w:t>
            </w:r>
          </w:p>
        </w:tc>
      </w:tr>
      <w:tr>
        <w:trPr>
          <w:trHeight w:val="26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7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9,645,757</w:t>
            </w:r>
          </w:p>
        </w:tc>
        <w:tc>
          <w:tcPr>
            <w:tcW w:w="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28.15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5,936,875</w:t>
            </w:r>
          </w:p>
        </w:tc>
      </w:tr>
      <w:tr>
        <w:trPr>
          <w:trHeight w:val="20"/>
        </w:trPr>
        <w:tc>
          <w:tcPr>
            <w:tcW w:w="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270" w:hanging="270"/>
        <w:spacing w:after="0" w:line="266" w:lineRule="auto"/>
        <w:tabs>
          <w:tab w:leader="none" w:pos="2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2017 Plan provides for an annual increase on each January 1 commencing in 2018 and ending in 2027, by an amount equal to 4% of the number of shares of common stock outstanding as of the end of the immediately preceding fiscal year, provided that the Board may provide for no increase or that the increase will be a lesser number of shares.</w:t>
      </w:r>
    </w:p>
    <w:p>
      <w:pPr>
        <w:spacing w:after="0" w:line="204" w:lineRule="exact"/>
        <w:rPr>
          <w:rFonts w:ascii="Times New Roman" w:cs="Times New Roman" w:eastAsia="Times New Roman" w:hAnsi="Times New Roman"/>
          <w:sz w:val="16"/>
          <w:szCs w:val="16"/>
          <w:color w:val="auto"/>
        </w:rPr>
      </w:pPr>
    </w:p>
    <w:p>
      <w:pPr>
        <w:jc w:val="both"/>
        <w:ind w:left="270" w:hanging="270"/>
        <w:spacing w:after="0" w:line="266" w:lineRule="auto"/>
        <w:tabs>
          <w:tab w:leader="none" w:pos="2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2017 ESPP provides for an annual increase on each January 1 commencing in 2018 and ending in 2027, by an amount equal to the lesser of (i) 1% of the number of shares of common stock outstanding as of the end of the immediately preceding fiscal year or (ii) 682,102, provided that the Board may provide for no increase or that the increase will be a lesser number of shares.</w:t>
      </w:r>
    </w:p>
    <w:p>
      <w:pPr>
        <w:spacing w:after="0" w:line="204" w:lineRule="exact"/>
        <w:rPr>
          <w:rFonts w:ascii="Times New Roman" w:cs="Times New Roman" w:eastAsia="Times New Roman" w:hAnsi="Times New Roman"/>
          <w:sz w:val="16"/>
          <w:szCs w:val="16"/>
          <w:color w:val="auto"/>
        </w:rPr>
      </w:pPr>
    </w:p>
    <w:p>
      <w:pPr>
        <w:jc w:val="both"/>
        <w:ind w:left="270" w:hanging="270"/>
        <w:spacing w:after="0" w:line="258" w:lineRule="auto"/>
        <w:tabs>
          <w:tab w:leader="none" w:pos="2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2022 Inducement Plan adopted on February 9, 2022. Awards issued under the 2022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were reserved for issuance under the 2022 Inducement Plan. The material terms of the 2022 Inducement Plan are described in Note 9 to the consolidated financial statements included herein.</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Other</w:t>
      </w:r>
    </w:p>
    <w:p>
      <w:pPr>
        <w:spacing w:after="0" w:line="247"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remaining information required under this item is incorporated herein by reference to our definitive proxy statement for our 2026 annual meeting of stockholders, which proxy statement will be filed with the Securities and Exchange Commission not later than 120 days after the close of our fiscal year ended December 31, 2025.</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7"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for our 2026 annual meeting of stockholders, which proxy statement will be filed with the Securities and Exchange Commission not later than 120 days after the close of our fiscal year ended December 31, 2025.</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7"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for our 2026 annual meeting of stockholders, which proxy statement will be filed with the Securities and Exchange Commission not later than 120 days after the close of our fiscal year ended December 31, 2025.</w:t>
      </w:r>
    </w:p>
    <w:p>
      <w:pPr>
        <w:sectPr>
          <w:pgSz w:w="12240" w:h="15840" w:orient="portrait"/>
          <w:cols w:equalWidth="0" w:num="1">
            <w:col w:w="9910"/>
          </w:cols>
          <w:pgMar w:left="1170" w:top="831" w:right="1160" w:bottom="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10"/>
          </w:cols>
          <w:pgMar w:left="1170" w:top="831" w:right="1160" w:bottom="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1. Consolidated Financial Statements.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a list of the consolidated financial statements included herein, see Index on page F-1 of this report.</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2. Financial Statement Schedules.</w:t>
      </w:r>
    </w:p>
    <w:p>
      <w:pPr>
        <w:spacing w:after="0" w:line="247" w:lineRule="exact"/>
        <w:rPr>
          <w:sz w:val="20"/>
          <w:szCs w:val="20"/>
          <w:color w:val="auto"/>
        </w:rPr>
      </w:pPr>
    </w:p>
    <w:p>
      <w:pPr>
        <w:ind w:left="720"/>
        <w:spacing w:after="0" w:line="271"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 required information is either presented in the consolidated financial statements or the notes thereto or is not applicable or required.</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3. List of Exhibits.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list of exhibits filed as part of this Annual Report.</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880"/>
          </w:cols>
          <w:pgMar w:left="1180" w:top="831" w:right="118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30"/>
          </w:tcPr>
          <w:p>
            <w:pPr>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583"/>
        </w:trPr>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r>
      <w:tr>
        <w:trPr>
          <w:trHeight w:val="265"/>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gridSpan w:val="34"/>
          </w:tcPr>
          <w:p>
            <w:pPr>
              <w:ind w:left="34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Date</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Number</w:t>
            </w:r>
          </w:p>
        </w:tc>
      </w:tr>
      <w:tr>
        <w:trPr>
          <w:trHeight w:val="220"/>
        </w:trPr>
        <w:tc>
          <w:tcPr>
            <w:tcW w:w="15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40" w:type="dxa"/>
            <w:vAlign w:val="bottom"/>
            <w:tcBorders>
              <w:bottom w:val="single" w:sz="8" w:color="282828"/>
            </w:tcBorders>
            <w:gridSpan w:val="29"/>
          </w:tcPr>
          <w:p>
            <w:pPr>
              <w:spacing w:after="0" w:line="220" w:lineRule="exact"/>
              <w:rPr>
                <w:sz w:val="20"/>
                <w:szCs w:val="20"/>
                <w:color w:val="auto"/>
              </w:rPr>
            </w:pPr>
            <w:r>
              <w:rPr>
                <w:rFonts w:ascii="Times New Roman" w:cs="Times New Roman" w:eastAsia="Times New Roman" w:hAnsi="Times New Roman"/>
                <w:sz w:val="20"/>
                <w:szCs w:val="20"/>
                <w:color w:val="282828"/>
              </w:rPr>
              <w:t>Asset Purchase Agreement, dated January 5, 2021, between the</w:t>
            </w:r>
          </w:p>
        </w:tc>
        <w:tc>
          <w:tcPr>
            <w:tcW w:w="280" w:type="dxa"/>
            <w:vAlign w:val="bottom"/>
            <w:gridSpan w:val="9"/>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1/5/2021</w:t>
            </w:r>
          </w:p>
        </w:tc>
        <w:tc>
          <w:tcPr>
            <w:tcW w:w="86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tcBorders>
              <w:bottom w:val="single" w:sz="8" w:color="282828"/>
            </w:tcBorders>
            <w:gridSpan w:val="14"/>
          </w:tcPr>
          <w:p>
            <w:pPr>
              <w:spacing w:after="0" w:line="210" w:lineRule="exact"/>
              <w:rPr>
                <w:sz w:val="20"/>
                <w:szCs w:val="20"/>
                <w:color w:val="auto"/>
              </w:rPr>
            </w:pPr>
            <w:r>
              <w:rPr>
                <w:rFonts w:ascii="Times New Roman" w:cs="Times New Roman" w:eastAsia="Times New Roman" w:hAnsi="Times New Roman"/>
                <w:sz w:val="20"/>
                <w:szCs w:val="20"/>
                <w:color w:val="282828"/>
                <w:w w:val="99"/>
              </w:rPr>
              <w:t>Registrant and Alexion Pharmaceuticals, Inc.</w:t>
            </w:r>
          </w:p>
        </w:tc>
        <w:tc>
          <w:tcPr>
            <w:tcW w:w="1800" w:type="dxa"/>
            <w:vAlign w:val="bottom"/>
            <w:gridSpan w:val="24"/>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8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Share Purchase Agreement, by and between Rhythm</w:t>
            </w:r>
          </w:p>
        </w:tc>
        <w:tc>
          <w:tcPr>
            <w:tcW w:w="1140" w:type="dxa"/>
            <w:vAlign w:val="bottom"/>
            <w:gridSpan w:val="17"/>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3/1/2023</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2.2</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Borders>
              <w:bottom w:val="single" w:sz="8" w:color="282828"/>
            </w:tcBorders>
            <w:gridSpan w:val="27"/>
          </w:tcPr>
          <w:p>
            <w:pPr>
              <w:spacing w:after="0" w:line="210" w:lineRule="exact"/>
              <w:rPr>
                <w:sz w:val="20"/>
                <w:szCs w:val="20"/>
                <w:color w:val="auto"/>
              </w:rPr>
            </w:pPr>
            <w:r>
              <w:rPr>
                <w:rFonts w:ascii="Times New Roman" w:cs="Times New Roman" w:eastAsia="Times New Roman" w:hAnsi="Times New Roman"/>
                <w:sz w:val="20"/>
                <w:szCs w:val="20"/>
                <w:color w:val="282828"/>
              </w:rPr>
              <w:t>Pharmaceuticals Netherlands B.V. and Xinvento B.V., dated</w:t>
            </w:r>
          </w:p>
        </w:tc>
        <w:tc>
          <w:tcPr>
            <w:tcW w:w="520" w:type="dxa"/>
            <w:vAlign w:val="bottom"/>
            <w:gridSpan w:val="11"/>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Borders>
              <w:bottom w:val="single" w:sz="8" w:color="282828"/>
            </w:tcBorders>
            <w:gridSpan w:val="4"/>
          </w:tcPr>
          <w:p>
            <w:pPr>
              <w:spacing w:after="0" w:line="210" w:lineRule="exact"/>
              <w:rPr>
                <w:sz w:val="20"/>
                <w:szCs w:val="20"/>
                <w:color w:val="auto"/>
              </w:rPr>
            </w:pPr>
            <w:r>
              <w:rPr>
                <w:rFonts w:ascii="Times New Roman" w:cs="Times New Roman" w:eastAsia="Times New Roman" w:hAnsi="Times New Roman"/>
                <w:sz w:val="20"/>
                <w:szCs w:val="20"/>
                <w:color w:val="282828"/>
                <w:w w:val="99"/>
              </w:rPr>
              <w:t>February 27, 2023.</w:t>
            </w:r>
          </w:p>
        </w:tc>
        <w:tc>
          <w:tcPr>
            <w:tcW w:w="3880" w:type="dxa"/>
            <w:vAlign w:val="bottom"/>
            <w:gridSpan w:val="34"/>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8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w w:val="99"/>
              </w:rPr>
              <w:t>Amended and Restated Certificate of Incorporation.</w:t>
            </w:r>
          </w:p>
        </w:tc>
        <w:tc>
          <w:tcPr>
            <w:tcW w:w="1260" w:type="dxa"/>
            <w:vAlign w:val="bottom"/>
            <w:gridSpan w:val="19"/>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6/26/2025</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w:t>
            </w:r>
          </w:p>
        </w:tc>
      </w:tr>
      <w:tr>
        <w:trPr>
          <w:trHeight w:val="28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Borders>
              <w:bottom w:val="single" w:sz="8" w:color="282828"/>
            </w:tcBorders>
            <w:gridSpan w:val="6"/>
          </w:tcPr>
          <w:p>
            <w:pPr>
              <w:spacing w:after="0"/>
              <w:rPr>
                <w:sz w:val="20"/>
                <w:szCs w:val="20"/>
                <w:color w:val="auto"/>
              </w:rPr>
            </w:pPr>
            <w:r>
              <w:rPr>
                <w:rFonts w:ascii="Times New Roman" w:cs="Times New Roman" w:eastAsia="Times New Roman" w:hAnsi="Times New Roman"/>
                <w:sz w:val="20"/>
                <w:szCs w:val="20"/>
                <w:color w:val="282828"/>
                <w:w w:val="99"/>
              </w:rPr>
              <w:t>Amended and Restated Bylaws.</w:t>
            </w:r>
          </w:p>
        </w:tc>
        <w:tc>
          <w:tcPr>
            <w:tcW w:w="2860" w:type="dxa"/>
            <w:vAlign w:val="bottom"/>
            <w:gridSpan w:val="32"/>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12/18/2023</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w:t>
            </w:r>
          </w:p>
        </w:tc>
      </w:tr>
      <w:tr>
        <w:trPr>
          <w:trHeight w:val="28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w w:val="99"/>
              </w:rPr>
              <w:t>Amended and Restated Certificate of Designations</w:t>
            </w:r>
          </w:p>
        </w:tc>
        <w:tc>
          <w:tcPr>
            <w:tcW w:w="1360" w:type="dxa"/>
            <w:vAlign w:val="bottom"/>
            <w:gridSpan w:val="21"/>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05/07/2024</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3.4</w:t>
            </w:r>
          </w:p>
        </w:tc>
      </w:tr>
      <w:tr>
        <w:trPr>
          <w:trHeight w:val="28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Borders>
              <w:bottom w:val="single" w:sz="8" w:color="282828"/>
            </w:tcBorders>
            <w:gridSpan w:val="10"/>
          </w:tcPr>
          <w:p>
            <w:pPr>
              <w:spacing w:after="0"/>
              <w:rPr>
                <w:sz w:val="20"/>
                <w:szCs w:val="20"/>
                <w:color w:val="auto"/>
              </w:rPr>
            </w:pPr>
            <w:r>
              <w:rPr>
                <w:rFonts w:ascii="Times New Roman" w:cs="Times New Roman" w:eastAsia="Times New Roman" w:hAnsi="Times New Roman"/>
                <w:sz w:val="20"/>
                <w:szCs w:val="20"/>
                <w:color w:val="282828"/>
                <w:w w:val="99"/>
              </w:rPr>
              <w:t>Form of Common Stock Certificate.</w:t>
            </w:r>
          </w:p>
        </w:tc>
        <w:tc>
          <w:tcPr>
            <w:tcW w:w="2520" w:type="dxa"/>
            <w:vAlign w:val="bottom"/>
            <w:gridSpan w:val="28"/>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9/25/2017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4.1</w:t>
            </w:r>
          </w:p>
        </w:tc>
      </w:tr>
      <w:tr>
        <w:trPr>
          <w:trHeight w:val="28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tcBorders>
              <w:bottom w:val="single" w:sz="8" w:color="282828"/>
            </w:tcBorders>
            <w:gridSpan w:val="35"/>
          </w:tcPr>
          <w:p>
            <w:pPr>
              <w:spacing w:after="0"/>
              <w:rPr>
                <w:sz w:val="20"/>
                <w:szCs w:val="20"/>
                <w:color w:val="auto"/>
              </w:rPr>
            </w:pPr>
            <w:r>
              <w:rPr>
                <w:rFonts w:ascii="Times New Roman" w:cs="Times New Roman" w:eastAsia="Times New Roman" w:hAnsi="Times New Roman"/>
                <w:sz w:val="20"/>
                <w:szCs w:val="20"/>
                <w:color w:val="282828"/>
              </w:rPr>
              <w:t>Form of Indenture to be entered into between the Registrant and a</w:t>
            </w:r>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S-3</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11/2/2021</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4.3</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282828"/>
              </w:rPr>
              <w:t>trustee acceptable to the registrant.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tcBorders>
              <w:top w:val="single" w:sz="8" w:color="282828"/>
              <w:bottom w:val="single" w:sz="8" w:color="282828"/>
            </w:tcBorders>
            <w:gridSpan w:val="3"/>
          </w:tcPr>
          <w:p>
            <w:pPr>
              <w:spacing w:after="0"/>
              <w:rPr>
                <w:sz w:val="20"/>
                <w:szCs w:val="20"/>
                <w:color w:val="auto"/>
              </w:rPr>
            </w:pPr>
            <w:r>
              <w:rPr>
                <w:rFonts w:ascii="Times New Roman" w:cs="Times New Roman" w:eastAsia="Times New Roman" w:hAnsi="Times New Roman"/>
                <w:sz w:val="20"/>
                <w:szCs w:val="20"/>
                <w:color w:val="282828"/>
                <w:w w:val="98"/>
              </w:rPr>
              <w:t>Form of Indenture.</w:t>
            </w:r>
          </w:p>
        </w:tc>
        <w:tc>
          <w:tcPr>
            <w:tcW w:w="1260" w:type="dxa"/>
            <w:vAlign w:val="bottom"/>
            <w:tcBorders>
              <w:top w:val="single" w:sz="8" w:color="282828"/>
            </w:tcBorders>
            <w:gridSpan w:val="6"/>
          </w:tcPr>
          <w:p>
            <w:pPr>
              <w:spacing w:after="0"/>
              <w:rPr>
                <w:sz w:val="23"/>
                <w:szCs w:val="23"/>
                <w:color w:val="auto"/>
              </w:rPr>
            </w:pPr>
          </w:p>
        </w:tc>
        <w:tc>
          <w:tcPr>
            <w:tcW w:w="2640" w:type="dxa"/>
            <w:vAlign w:val="bottom"/>
            <w:gridSpan w:val="29"/>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S-3ASR</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3/2/2023</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4.1</w:t>
            </w:r>
          </w:p>
        </w:tc>
      </w:tr>
      <w:tr>
        <w:trPr>
          <w:trHeight w:val="280"/>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282828"/>
            </w:tcBorders>
            <w:gridSpan w:val="29"/>
          </w:tcPr>
          <w:p>
            <w:pPr>
              <w:spacing w:after="0"/>
              <w:rPr>
                <w:sz w:val="20"/>
                <w:szCs w:val="20"/>
                <w:color w:val="auto"/>
              </w:rPr>
            </w:pPr>
            <w:r>
              <w:rPr>
                <w:rFonts w:ascii="Times New Roman" w:cs="Times New Roman" w:eastAsia="Times New Roman" w:hAnsi="Times New Roman"/>
                <w:sz w:val="20"/>
                <w:szCs w:val="20"/>
                <w:color w:val="282828"/>
              </w:rPr>
              <w:t>Description of the Registrant’s Securities registered pursuant to</w:t>
            </w:r>
          </w:p>
        </w:tc>
        <w:tc>
          <w:tcPr>
            <w:tcW w:w="28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3/1/2023</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4.3</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Borders>
              <w:bottom w:val="single" w:sz="8" w:color="282828"/>
            </w:tcBorders>
            <w:gridSpan w:val="18"/>
          </w:tcPr>
          <w:p>
            <w:pPr>
              <w:spacing w:after="0" w:line="210" w:lineRule="exact"/>
              <w:rPr>
                <w:sz w:val="20"/>
                <w:szCs w:val="20"/>
                <w:color w:val="auto"/>
              </w:rPr>
            </w:pPr>
            <w:r>
              <w:rPr>
                <w:rFonts w:ascii="Times New Roman" w:cs="Times New Roman" w:eastAsia="Times New Roman" w:hAnsi="Times New Roman"/>
                <w:sz w:val="20"/>
                <w:szCs w:val="20"/>
                <w:color w:val="282828"/>
                <w:w w:val="99"/>
              </w:rPr>
              <w:t>Section 12 of the Securities Exchange Act of 1934.</w:t>
            </w:r>
          </w:p>
        </w:tc>
        <w:tc>
          <w:tcPr>
            <w:tcW w:w="1320" w:type="dxa"/>
            <w:vAlign w:val="bottom"/>
            <w:gridSpan w:val="20"/>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5420" w:type="dxa"/>
            <w:vAlign w:val="bottom"/>
            <w:gridSpan w:val="38"/>
          </w:tcPr>
          <w:p>
            <w:pPr>
              <w:spacing w:after="0"/>
              <w:rPr>
                <w:sz w:val="20"/>
                <w:szCs w:val="20"/>
                <w:color w:val="auto"/>
              </w:rPr>
            </w:pPr>
            <w:r>
              <w:rPr>
                <w:rFonts w:ascii="Times New Roman" w:cs="Times New Roman" w:eastAsia="Times New Roman" w:hAnsi="Times New Roman"/>
                <w:sz w:val="20"/>
                <w:szCs w:val="20"/>
                <w:color w:val="282828"/>
              </w:rPr>
              <w:t>Form of Indemnification Agreement.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9/25/2017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640" w:type="dxa"/>
            <w:vAlign w:val="bottom"/>
            <w:gridSpan w:val="2"/>
            <w:shd w:val="clear" w:color="auto" w:fill="282828"/>
          </w:tcPr>
          <w:p>
            <w:pPr>
              <w:spacing w:after="0" w:line="20" w:lineRule="exact"/>
              <w:rPr>
                <w:sz w:val="1"/>
                <w:szCs w:val="1"/>
                <w:color w:val="auto"/>
              </w:rPr>
            </w:pPr>
          </w:p>
        </w:tc>
        <w:tc>
          <w:tcPr>
            <w:tcW w:w="780" w:type="dxa"/>
            <w:vAlign w:val="bottom"/>
            <w:shd w:val="clear" w:color="auto" w:fill="282828"/>
          </w:tcPr>
          <w:p>
            <w:pPr>
              <w:spacing w:after="0" w:line="20" w:lineRule="exact"/>
              <w:rPr>
                <w:sz w:val="1"/>
                <w:szCs w:val="1"/>
                <w:color w:val="auto"/>
              </w:rPr>
            </w:pPr>
          </w:p>
        </w:tc>
        <w:tc>
          <w:tcPr>
            <w:tcW w:w="320" w:type="dxa"/>
            <w:vAlign w:val="bottom"/>
            <w:gridSpan w:val="2"/>
            <w:shd w:val="clear" w:color="auto" w:fill="282828"/>
          </w:tcPr>
          <w:p>
            <w:pPr>
              <w:spacing w:after="0" w:line="20" w:lineRule="exact"/>
              <w:rPr>
                <w:sz w:val="1"/>
                <w:szCs w:val="1"/>
                <w:color w:val="auto"/>
              </w:rPr>
            </w:pPr>
          </w:p>
        </w:tc>
        <w:tc>
          <w:tcPr>
            <w:tcW w:w="300" w:type="dxa"/>
            <w:vAlign w:val="bottom"/>
            <w:gridSpan w:val="4"/>
            <w:shd w:val="clear" w:color="auto" w:fill="282828"/>
          </w:tcPr>
          <w:p>
            <w:pPr>
              <w:spacing w:after="0" w:line="20" w:lineRule="exact"/>
              <w:rPr>
                <w:sz w:val="1"/>
                <w:szCs w:val="1"/>
                <w:color w:val="auto"/>
              </w:rPr>
            </w:pPr>
          </w:p>
        </w:tc>
        <w:tc>
          <w:tcPr>
            <w:tcW w:w="420" w:type="dxa"/>
            <w:vAlign w:val="bottom"/>
            <w:tcBorders>
              <w:left w:val="single" w:sz="8" w:color="28282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5160" w:type="dxa"/>
            <w:vAlign w:val="bottom"/>
            <w:tcBorders>
              <w:bottom w:val="single" w:sz="8" w:color="282828"/>
            </w:tcBorders>
            <w:gridSpan w:val="30"/>
          </w:tcPr>
          <w:p>
            <w:pPr>
              <w:spacing w:after="0"/>
              <w:rPr>
                <w:sz w:val="20"/>
                <w:szCs w:val="20"/>
                <w:color w:val="auto"/>
              </w:rPr>
            </w:pPr>
            <w:r>
              <w:rPr>
                <w:rFonts w:ascii="Times New Roman" w:cs="Times New Roman" w:eastAsia="Times New Roman" w:hAnsi="Times New Roman"/>
                <w:sz w:val="20"/>
                <w:szCs w:val="20"/>
                <w:color w:val="282828"/>
              </w:rPr>
              <w:t>2015 Equity Incentive Plan and Form of Option Agreement and</w:t>
            </w:r>
          </w:p>
        </w:tc>
        <w:tc>
          <w:tcPr>
            <w:tcW w:w="260" w:type="dxa"/>
            <w:vAlign w:val="bottom"/>
            <w:gridSpan w:val="8"/>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S-1/A</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9/25/2017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10.21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Borders>
              <w:bottom w:val="single" w:sz="8" w:color="282828"/>
            </w:tcBorders>
            <w:gridSpan w:val="4"/>
          </w:tcPr>
          <w:p>
            <w:pPr>
              <w:spacing w:after="0" w:line="210" w:lineRule="exact"/>
              <w:rPr>
                <w:sz w:val="20"/>
                <w:szCs w:val="20"/>
                <w:color w:val="auto"/>
              </w:rPr>
            </w:pPr>
            <w:r>
              <w:rPr>
                <w:rFonts w:ascii="Times New Roman" w:cs="Times New Roman" w:eastAsia="Times New Roman" w:hAnsi="Times New Roman"/>
                <w:sz w:val="20"/>
                <w:szCs w:val="20"/>
                <w:color w:val="282828"/>
                <w:w w:val="98"/>
              </w:rPr>
              <w:t>Notice of Exercise.</w:t>
            </w:r>
          </w:p>
        </w:tc>
        <w:tc>
          <w:tcPr>
            <w:tcW w:w="3880" w:type="dxa"/>
            <w:vAlign w:val="bottom"/>
            <w:gridSpan w:val="34"/>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5160" w:type="dxa"/>
            <w:vAlign w:val="bottom"/>
            <w:tcBorders>
              <w:bottom w:val="single" w:sz="8" w:color="282828"/>
            </w:tcBorders>
            <w:gridSpan w:val="30"/>
          </w:tcPr>
          <w:p>
            <w:pPr>
              <w:spacing w:after="0"/>
              <w:rPr>
                <w:sz w:val="20"/>
                <w:szCs w:val="20"/>
                <w:color w:val="auto"/>
              </w:rPr>
            </w:pPr>
            <w:r>
              <w:rPr>
                <w:rFonts w:ascii="Times New Roman" w:cs="Times New Roman" w:eastAsia="Times New Roman" w:hAnsi="Times New Roman"/>
                <w:sz w:val="20"/>
                <w:szCs w:val="20"/>
                <w:color w:val="282828"/>
              </w:rPr>
              <w:t>2017 Equity Incentive Plan and Form of Option Agreement and</w:t>
            </w:r>
          </w:p>
        </w:tc>
        <w:tc>
          <w:tcPr>
            <w:tcW w:w="260" w:type="dxa"/>
            <w:vAlign w:val="bottom"/>
            <w:gridSpan w:val="8"/>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11/14/2017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10.2</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Borders>
              <w:bottom w:val="single" w:sz="8" w:color="282828"/>
            </w:tcBorders>
            <w:gridSpan w:val="4"/>
          </w:tcPr>
          <w:p>
            <w:pPr>
              <w:spacing w:after="0" w:line="210" w:lineRule="exact"/>
              <w:rPr>
                <w:sz w:val="20"/>
                <w:szCs w:val="20"/>
                <w:color w:val="auto"/>
              </w:rPr>
            </w:pPr>
            <w:r>
              <w:rPr>
                <w:rFonts w:ascii="Times New Roman" w:cs="Times New Roman" w:eastAsia="Times New Roman" w:hAnsi="Times New Roman"/>
                <w:sz w:val="20"/>
                <w:szCs w:val="20"/>
                <w:color w:val="282828"/>
                <w:w w:val="98"/>
              </w:rPr>
              <w:t>Notice of Exercise.</w:t>
            </w:r>
          </w:p>
        </w:tc>
        <w:tc>
          <w:tcPr>
            <w:tcW w:w="3880" w:type="dxa"/>
            <w:vAlign w:val="bottom"/>
            <w:gridSpan w:val="34"/>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10.3.2†</w:t>
            </w:r>
          </w:p>
        </w:tc>
        <w:tc>
          <w:tcPr>
            <w:tcW w:w="4620" w:type="dxa"/>
            <w:vAlign w:val="bottom"/>
            <w:tcBorders>
              <w:bottom w:val="single" w:sz="8" w:color="282828"/>
            </w:tcBorders>
            <w:gridSpan w:val="24"/>
          </w:tcPr>
          <w:p>
            <w:pPr>
              <w:spacing w:after="0"/>
              <w:rPr>
                <w:sz w:val="20"/>
                <w:szCs w:val="20"/>
                <w:color w:val="auto"/>
              </w:rPr>
            </w:pPr>
            <w:r>
              <w:rPr>
                <w:rFonts w:ascii="Times New Roman" w:cs="Times New Roman" w:eastAsia="Times New Roman" w:hAnsi="Times New Roman"/>
                <w:sz w:val="20"/>
                <w:szCs w:val="20"/>
                <w:color w:val="282828"/>
              </w:rPr>
              <w:t>2017 Equity Incentive Plan Restricted Stock Unit Award</w:t>
            </w:r>
          </w:p>
        </w:tc>
        <w:tc>
          <w:tcPr>
            <w:tcW w:w="800" w:type="dxa"/>
            <w:vAlign w:val="bottom"/>
            <w:gridSpan w:val="14"/>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3/2/2020</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10.18</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282828"/>
            </w:tcBorders>
            <w:gridSpan w:val="2"/>
          </w:tcPr>
          <w:p>
            <w:pPr>
              <w:spacing w:after="0" w:line="210" w:lineRule="exact"/>
              <w:rPr>
                <w:sz w:val="20"/>
                <w:szCs w:val="20"/>
                <w:color w:val="auto"/>
              </w:rPr>
            </w:pPr>
            <w:r>
              <w:rPr>
                <w:rFonts w:ascii="Times New Roman" w:cs="Times New Roman" w:eastAsia="Times New Roman" w:hAnsi="Times New Roman"/>
                <w:sz w:val="20"/>
                <w:szCs w:val="20"/>
                <w:color w:val="282828"/>
                <w:w w:val="98"/>
              </w:rPr>
              <w:t>Agreement</w:t>
            </w:r>
          </w:p>
        </w:tc>
        <w:tc>
          <w:tcPr>
            <w:tcW w:w="4520" w:type="dxa"/>
            <w:vAlign w:val="bottom"/>
            <w:gridSpan w:val="36"/>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10.3.3†</w:t>
            </w:r>
          </w:p>
        </w:tc>
        <w:tc>
          <w:tcPr>
            <w:tcW w:w="460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w w:val="99"/>
              </w:rPr>
              <w:t>2017 Equity Incentive Plan Performance Unit Agreement</w:t>
            </w:r>
          </w:p>
        </w:tc>
        <w:tc>
          <w:tcPr>
            <w:tcW w:w="820" w:type="dxa"/>
            <w:vAlign w:val="bottom"/>
            <w:gridSpan w:val="15"/>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05/07/2024</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10.4</w:t>
            </w: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10.4.1†</w:t>
            </w:r>
          </w:p>
        </w:tc>
        <w:tc>
          <w:tcPr>
            <w:tcW w:w="5420" w:type="dxa"/>
            <w:vAlign w:val="bottom"/>
            <w:gridSpan w:val="38"/>
          </w:tcPr>
          <w:p>
            <w:pPr>
              <w:spacing w:after="0"/>
              <w:rPr>
                <w:sz w:val="20"/>
                <w:szCs w:val="20"/>
                <w:color w:val="auto"/>
              </w:rPr>
            </w:pPr>
            <w:r>
              <w:rPr>
                <w:rFonts w:ascii="Times New Roman" w:cs="Times New Roman" w:eastAsia="Times New Roman" w:hAnsi="Times New Roman"/>
                <w:sz w:val="20"/>
                <w:szCs w:val="20"/>
                <w:color w:val="282828"/>
              </w:rPr>
              <w:t>2017 Employee Stock Purchase Plan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11/14/2017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10.10</w:t>
            </w: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282828"/>
          </w:tcPr>
          <w:p>
            <w:pPr>
              <w:spacing w:after="0" w:line="20" w:lineRule="exact"/>
              <w:rPr>
                <w:sz w:val="1"/>
                <w:szCs w:val="1"/>
                <w:color w:val="auto"/>
              </w:rPr>
            </w:pPr>
          </w:p>
        </w:tc>
        <w:tc>
          <w:tcPr>
            <w:tcW w:w="1440" w:type="dxa"/>
            <w:vAlign w:val="bottom"/>
            <w:gridSpan w:val="4"/>
            <w:shd w:val="clear" w:color="auto" w:fill="282828"/>
          </w:tcPr>
          <w:p>
            <w:pPr>
              <w:spacing w:after="0" w:line="20" w:lineRule="exact"/>
              <w:rPr>
                <w:sz w:val="1"/>
                <w:szCs w:val="1"/>
                <w:color w:val="auto"/>
              </w:rPr>
            </w:pPr>
          </w:p>
        </w:tc>
        <w:tc>
          <w:tcPr>
            <w:tcW w:w="320" w:type="dxa"/>
            <w:vAlign w:val="bottom"/>
            <w:gridSpan w:val="2"/>
            <w:shd w:val="clear" w:color="auto" w:fill="282828"/>
          </w:tcPr>
          <w:p>
            <w:pPr>
              <w:spacing w:after="0" w:line="20" w:lineRule="exact"/>
              <w:rPr>
                <w:sz w:val="1"/>
                <w:szCs w:val="1"/>
                <w:color w:val="auto"/>
              </w:rPr>
            </w:pPr>
          </w:p>
        </w:tc>
        <w:tc>
          <w:tcPr>
            <w:tcW w:w="300" w:type="dxa"/>
            <w:vAlign w:val="bottom"/>
            <w:gridSpan w:val="4"/>
            <w:shd w:val="clear" w:color="auto" w:fill="28282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10.4.2†</w:t>
            </w:r>
          </w:p>
        </w:tc>
        <w:tc>
          <w:tcPr>
            <w:tcW w:w="4900" w:type="dxa"/>
            <w:vAlign w:val="bottom"/>
            <w:tcBorders>
              <w:bottom w:val="single" w:sz="8" w:color="282828"/>
            </w:tcBorders>
            <w:gridSpan w:val="27"/>
          </w:tcPr>
          <w:p>
            <w:pPr>
              <w:spacing w:after="0"/>
              <w:rPr>
                <w:sz w:val="20"/>
                <w:szCs w:val="20"/>
                <w:color w:val="auto"/>
              </w:rPr>
            </w:pPr>
            <w:r>
              <w:rPr>
                <w:rFonts w:ascii="Times New Roman" w:cs="Times New Roman" w:eastAsia="Times New Roman" w:hAnsi="Times New Roman"/>
                <w:sz w:val="20"/>
                <w:szCs w:val="20"/>
                <w:color w:val="282828"/>
                <w:w w:val="99"/>
              </w:rPr>
              <w:t>First Amendment to the 2017 Employee Stock Purchase Plan</w:t>
            </w:r>
          </w:p>
        </w:tc>
        <w:tc>
          <w:tcPr>
            <w:tcW w:w="520" w:type="dxa"/>
            <w:vAlign w:val="bottom"/>
            <w:gridSpan w:val="11"/>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6/18/2018</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10.17</w:t>
            </w: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10.5.1†</w:t>
            </w:r>
          </w:p>
        </w:tc>
        <w:tc>
          <w:tcPr>
            <w:tcW w:w="458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rPr>
              <w:t>2022 Employment Inducement Plan and Form of Option</w:t>
            </w:r>
          </w:p>
        </w:tc>
        <w:tc>
          <w:tcPr>
            <w:tcW w:w="840" w:type="dxa"/>
            <w:vAlign w:val="bottom"/>
            <w:gridSpan w:val="16"/>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3/1/2022</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10.5.1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282828"/>
            </w:tcBorders>
            <w:gridSpan w:val="2"/>
          </w:tcPr>
          <w:p>
            <w:pPr>
              <w:spacing w:after="0" w:line="210" w:lineRule="exact"/>
              <w:rPr>
                <w:sz w:val="20"/>
                <w:szCs w:val="20"/>
                <w:color w:val="auto"/>
              </w:rPr>
            </w:pPr>
            <w:r>
              <w:rPr>
                <w:rFonts w:ascii="Times New Roman" w:cs="Times New Roman" w:eastAsia="Times New Roman" w:hAnsi="Times New Roman"/>
                <w:sz w:val="20"/>
                <w:szCs w:val="20"/>
                <w:color w:val="282828"/>
                <w:w w:val="98"/>
              </w:rPr>
              <w:t>Agreement</w:t>
            </w:r>
          </w:p>
        </w:tc>
        <w:tc>
          <w:tcPr>
            <w:tcW w:w="4520" w:type="dxa"/>
            <w:vAlign w:val="bottom"/>
            <w:gridSpan w:val="36"/>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10.5.2†</w:t>
            </w:r>
          </w:p>
        </w:tc>
        <w:tc>
          <w:tcPr>
            <w:tcW w:w="5400" w:type="dxa"/>
            <w:vAlign w:val="bottom"/>
            <w:tcBorders>
              <w:bottom w:val="single" w:sz="8" w:color="282828"/>
            </w:tcBorders>
            <w:gridSpan w:val="37"/>
          </w:tcPr>
          <w:p>
            <w:pPr>
              <w:spacing w:after="0"/>
              <w:rPr>
                <w:sz w:val="20"/>
                <w:szCs w:val="20"/>
                <w:color w:val="auto"/>
              </w:rPr>
            </w:pPr>
            <w:r>
              <w:rPr>
                <w:rFonts w:ascii="Times New Roman" w:cs="Times New Roman" w:eastAsia="Times New Roman" w:hAnsi="Times New Roman"/>
                <w:sz w:val="20"/>
                <w:szCs w:val="20"/>
                <w:color w:val="282828"/>
              </w:rPr>
              <w:t>2022 Employment Inducement Plan Form of Restricted Stock Unit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3/1/2022</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10.5.2</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282828"/>
            </w:tcBorders>
            <w:gridSpan w:val="2"/>
          </w:tcPr>
          <w:p>
            <w:pPr>
              <w:spacing w:after="0" w:line="210" w:lineRule="exact"/>
              <w:rPr>
                <w:sz w:val="20"/>
                <w:szCs w:val="20"/>
                <w:color w:val="auto"/>
              </w:rPr>
            </w:pPr>
            <w:r>
              <w:rPr>
                <w:rFonts w:ascii="Times New Roman" w:cs="Times New Roman" w:eastAsia="Times New Roman" w:hAnsi="Times New Roman"/>
                <w:sz w:val="20"/>
                <w:szCs w:val="20"/>
                <w:color w:val="282828"/>
                <w:w w:val="98"/>
              </w:rPr>
              <w:t>Agreement</w:t>
            </w:r>
          </w:p>
        </w:tc>
        <w:tc>
          <w:tcPr>
            <w:tcW w:w="4520" w:type="dxa"/>
            <w:vAlign w:val="bottom"/>
            <w:gridSpan w:val="36"/>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5420" w:type="dxa"/>
            <w:vAlign w:val="bottom"/>
            <w:gridSpan w:val="38"/>
          </w:tcPr>
          <w:p>
            <w:pPr>
              <w:spacing w:after="0"/>
              <w:rPr>
                <w:sz w:val="20"/>
                <w:szCs w:val="20"/>
                <w:color w:val="auto"/>
              </w:rPr>
            </w:pPr>
            <w:r>
              <w:rPr>
                <w:rFonts w:ascii="Times New Roman" w:cs="Times New Roman" w:eastAsia="Times New Roman" w:hAnsi="Times New Roman"/>
                <w:sz w:val="20"/>
                <w:szCs w:val="20"/>
                <w:color w:val="282828"/>
              </w:rPr>
              <w:t>Non-Employee Director Compensation Program</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8/5/2025</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10.7†</w:t>
            </w:r>
          </w:p>
        </w:tc>
        <w:tc>
          <w:tcPr>
            <w:tcW w:w="3400" w:type="dxa"/>
            <w:vAlign w:val="bottom"/>
            <w:tcBorders>
              <w:top w:val="single" w:sz="8" w:color="282828"/>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w w:val="99"/>
              </w:rPr>
              <w:t>Deferred Compensation Plan (Employees)</w:t>
            </w:r>
          </w:p>
        </w:tc>
        <w:tc>
          <w:tcPr>
            <w:tcW w:w="480" w:type="dxa"/>
            <w:vAlign w:val="bottom"/>
            <w:tcBorders>
              <w:top w:val="single" w:sz="8" w:color="282828"/>
            </w:tcBorders>
            <w:gridSpan w:val="2"/>
          </w:tcPr>
          <w:p>
            <w:pPr>
              <w:spacing w:after="0"/>
              <w:rPr>
                <w:sz w:val="24"/>
                <w:szCs w:val="24"/>
                <w:color w:val="auto"/>
              </w:rPr>
            </w:pPr>
          </w:p>
        </w:tc>
        <w:tc>
          <w:tcPr>
            <w:tcW w:w="1540" w:type="dxa"/>
            <w:vAlign w:val="bottom"/>
            <w:gridSpan w:val="23"/>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S-8</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1/16/2026</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99.1</w:t>
            </w:r>
          </w:p>
        </w:tc>
      </w:tr>
      <w:tr>
        <w:trPr>
          <w:trHeight w:val="280"/>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10.8‡</w:t>
            </w:r>
          </w:p>
        </w:tc>
        <w:tc>
          <w:tcPr>
            <w:tcW w:w="5120" w:type="dxa"/>
            <w:vAlign w:val="bottom"/>
            <w:tcBorders>
              <w:bottom w:val="single" w:sz="8" w:color="282828"/>
            </w:tcBorders>
            <w:gridSpan w:val="28"/>
          </w:tcPr>
          <w:p>
            <w:pPr>
              <w:spacing w:after="0"/>
              <w:rPr>
                <w:sz w:val="20"/>
                <w:szCs w:val="20"/>
                <w:color w:val="auto"/>
              </w:rPr>
            </w:pPr>
            <w:r>
              <w:rPr>
                <w:rFonts w:ascii="Times New Roman" w:cs="Times New Roman" w:eastAsia="Times New Roman" w:hAnsi="Times New Roman"/>
                <w:sz w:val="20"/>
                <w:szCs w:val="20"/>
                <w:color w:val="282828"/>
              </w:rPr>
              <w:t>License Agreement, dated March 21, 2013, by and between the</w:t>
            </w:r>
          </w:p>
        </w:tc>
        <w:tc>
          <w:tcPr>
            <w:tcW w:w="3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10.6</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282828"/>
              </w:rPr>
              <w:t>Registrant (f/k/a Rhythm Metabolic, Inc.) and Ipsen Pharma S.A.S.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5120" w:type="dxa"/>
            <w:vAlign w:val="bottom"/>
            <w:tcBorders>
              <w:top w:val="single" w:sz="8" w:color="282828"/>
              <w:bottom w:val="single" w:sz="8" w:color="282828"/>
            </w:tcBorders>
            <w:gridSpan w:val="28"/>
          </w:tcPr>
          <w:p>
            <w:pPr>
              <w:spacing w:after="0"/>
              <w:rPr>
                <w:sz w:val="20"/>
                <w:szCs w:val="20"/>
                <w:color w:val="auto"/>
              </w:rPr>
            </w:pPr>
            <w:r>
              <w:rPr>
                <w:rFonts w:ascii="Times New Roman" w:cs="Times New Roman" w:eastAsia="Times New Roman" w:hAnsi="Times New Roman"/>
                <w:sz w:val="20"/>
                <w:szCs w:val="20"/>
                <w:color w:val="282828"/>
              </w:rPr>
              <w:t>License Agreement, dated January 4, 2016, by and between the</w:t>
            </w:r>
          </w:p>
        </w:tc>
        <w:tc>
          <w:tcPr>
            <w:tcW w:w="260" w:type="dxa"/>
            <w:vAlign w:val="bottom"/>
            <w:tcBorders>
              <w:top w:val="single" w:sz="8" w:color="282828"/>
            </w:tcBorders>
            <w:gridSpan w:val="8"/>
          </w:tcPr>
          <w:p>
            <w:pPr>
              <w:spacing w:after="0"/>
              <w:rPr>
                <w:sz w:val="23"/>
                <w:szCs w:val="23"/>
                <w:color w:val="auto"/>
              </w:rPr>
            </w:pPr>
          </w:p>
        </w:tc>
        <w:tc>
          <w:tcPr>
            <w:tcW w:w="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10.8</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tcBorders>
              <w:bottom w:val="single" w:sz="8" w:color="282828"/>
            </w:tcBorders>
            <w:gridSpan w:val="5"/>
          </w:tcPr>
          <w:p>
            <w:pPr>
              <w:spacing w:after="0" w:line="210" w:lineRule="exact"/>
              <w:rPr>
                <w:sz w:val="20"/>
                <w:szCs w:val="20"/>
                <w:color w:val="auto"/>
              </w:rPr>
            </w:pPr>
            <w:r>
              <w:rPr>
                <w:rFonts w:ascii="Times New Roman" w:cs="Times New Roman" w:eastAsia="Times New Roman" w:hAnsi="Times New Roman"/>
                <w:sz w:val="20"/>
                <w:szCs w:val="20"/>
                <w:color w:val="282828"/>
                <w:w w:val="99"/>
              </w:rPr>
              <w:t>Registrant and Camurus AB.</w:t>
            </w:r>
          </w:p>
        </w:tc>
        <w:tc>
          <w:tcPr>
            <w:tcW w:w="3100" w:type="dxa"/>
            <w:vAlign w:val="bottom"/>
            <w:gridSpan w:val="33"/>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20" w:type="dxa"/>
            <w:vAlign w:val="bottom"/>
            <w:tcBorders>
              <w:bottom w:val="single" w:sz="8" w:color="282828"/>
            </w:tcBorders>
            <w:gridSpan w:val="31"/>
          </w:tcPr>
          <w:p>
            <w:pPr>
              <w:spacing w:after="0"/>
              <w:rPr>
                <w:sz w:val="20"/>
                <w:szCs w:val="20"/>
                <w:color w:val="auto"/>
              </w:rPr>
            </w:pPr>
            <w:r>
              <w:rPr>
                <w:rFonts w:ascii="Times New Roman" w:cs="Times New Roman" w:eastAsia="Times New Roman" w:hAnsi="Times New Roman"/>
                <w:sz w:val="20"/>
                <w:szCs w:val="20"/>
                <w:color w:val="282828"/>
              </w:rPr>
              <w:t>Lease, dated November 25, 2015, by and between the Registrant</w:t>
            </w:r>
          </w:p>
        </w:tc>
        <w:tc>
          <w:tcPr>
            <w:tcW w:w="200" w:type="dxa"/>
            <w:vAlign w:val="bottom"/>
            <w:gridSpan w:val="7"/>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S-1</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9/5/2017</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282828"/>
              </w:rPr>
              <w:t>and 500 Boylston &amp; 222 Berkeley Owner (DE) LLC.</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282828"/>
          </w:tcPr>
          <w:p>
            <w:pPr>
              <w:spacing w:after="0" w:line="20" w:lineRule="exact"/>
              <w:rPr>
                <w:sz w:val="1"/>
                <w:szCs w:val="1"/>
                <w:color w:val="auto"/>
              </w:rPr>
            </w:pPr>
          </w:p>
        </w:tc>
        <w:tc>
          <w:tcPr>
            <w:tcW w:w="1760" w:type="dxa"/>
            <w:vAlign w:val="bottom"/>
            <w:gridSpan w:val="6"/>
            <w:shd w:val="clear" w:color="auto" w:fill="282828"/>
          </w:tcPr>
          <w:p>
            <w:pPr>
              <w:spacing w:after="0" w:line="20" w:lineRule="exact"/>
              <w:rPr>
                <w:sz w:val="1"/>
                <w:szCs w:val="1"/>
                <w:color w:val="auto"/>
              </w:rPr>
            </w:pPr>
          </w:p>
        </w:tc>
        <w:tc>
          <w:tcPr>
            <w:tcW w:w="720" w:type="dxa"/>
            <w:vAlign w:val="bottom"/>
            <w:gridSpan w:val="5"/>
            <w:shd w:val="clear" w:color="auto" w:fill="282828"/>
          </w:tcPr>
          <w:p>
            <w:pPr>
              <w:spacing w:after="0" w:line="20" w:lineRule="exact"/>
              <w:rPr>
                <w:sz w:val="1"/>
                <w:szCs w:val="1"/>
                <w:color w:val="auto"/>
              </w:rPr>
            </w:pPr>
          </w:p>
        </w:tc>
        <w:tc>
          <w:tcPr>
            <w:tcW w:w="900" w:type="dxa"/>
            <w:vAlign w:val="bottom"/>
            <w:gridSpan w:val="8"/>
            <w:shd w:val="clear" w:color="auto" w:fill="282828"/>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80" w:type="dxa"/>
            <w:vAlign w:val="bottom"/>
            <w:tcBorders>
              <w:bottom w:val="single" w:sz="8" w:color="282828"/>
            </w:tcBorders>
            <w:gridSpan w:val="34"/>
          </w:tcPr>
          <w:p>
            <w:pPr>
              <w:spacing w:after="0"/>
              <w:rPr>
                <w:sz w:val="20"/>
                <w:szCs w:val="20"/>
                <w:color w:val="auto"/>
              </w:rPr>
            </w:pPr>
            <w:r>
              <w:rPr>
                <w:rFonts w:ascii="Times New Roman" w:cs="Times New Roman" w:eastAsia="Times New Roman" w:hAnsi="Times New Roman"/>
                <w:sz w:val="20"/>
                <w:szCs w:val="20"/>
                <w:color w:val="282828"/>
              </w:rPr>
              <w:t>First Amendment to Lease, dated April 15, 2016, by and between</w:t>
            </w:r>
          </w:p>
        </w:tc>
        <w:tc>
          <w:tcPr>
            <w:tcW w:w="140" w:type="dxa"/>
            <w:vAlign w:val="bottom"/>
            <w:gridSpan w:val="4"/>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3/8/2019</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10.9</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tcBorders>
              <w:bottom w:val="single" w:sz="8" w:color="282828"/>
            </w:tcBorders>
            <w:gridSpan w:val="38"/>
          </w:tcPr>
          <w:p>
            <w:pPr>
              <w:spacing w:after="0" w:line="210" w:lineRule="exact"/>
              <w:rPr>
                <w:sz w:val="20"/>
                <w:szCs w:val="20"/>
                <w:color w:val="auto"/>
              </w:rPr>
            </w:pPr>
            <w:r>
              <w:rPr>
                <w:rFonts w:ascii="Times New Roman" w:cs="Times New Roman" w:eastAsia="Times New Roman" w:hAnsi="Times New Roman"/>
                <w:sz w:val="20"/>
                <w:szCs w:val="20"/>
                <w:color w:val="282828"/>
                <w:w w:val="99"/>
              </w:rPr>
              <w:t>the Registrant and 500 Boylston &amp; 222 Berkeley Owner (DE) LLC.</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4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Second Amendment to Lease, dated August 6, 2018, by and</w:t>
            </w:r>
          </w:p>
        </w:tc>
        <w:tc>
          <w:tcPr>
            <w:tcW w:w="580" w:type="dxa"/>
            <w:vAlign w:val="bottom"/>
            <w:gridSpan w:val="12"/>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8/9/2018</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bottom w:val="single" w:sz="8" w:color="282828"/>
            </w:tcBorders>
            <w:gridSpan w:val="33"/>
          </w:tcPr>
          <w:p>
            <w:pPr>
              <w:spacing w:after="0" w:line="210" w:lineRule="exact"/>
              <w:rPr>
                <w:sz w:val="20"/>
                <w:szCs w:val="20"/>
                <w:color w:val="auto"/>
              </w:rPr>
            </w:pPr>
            <w:r>
              <w:rPr>
                <w:rFonts w:ascii="Times New Roman" w:cs="Times New Roman" w:eastAsia="Times New Roman" w:hAnsi="Times New Roman"/>
                <w:sz w:val="20"/>
                <w:szCs w:val="20"/>
                <w:color w:val="282828"/>
              </w:rPr>
              <w:t>between the Registrant and 500 Boylston &amp; 222 Berkeley Owner</w:t>
            </w:r>
          </w:p>
        </w:tc>
        <w:tc>
          <w:tcPr>
            <w:tcW w:w="160" w:type="dxa"/>
            <w:vAlign w:val="bottom"/>
            <w:gridSpan w:val="5"/>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282828"/>
            </w:tcBorders>
          </w:tcPr>
          <w:p>
            <w:pPr>
              <w:spacing w:after="0" w:line="210" w:lineRule="exact"/>
              <w:rPr>
                <w:sz w:val="20"/>
                <w:szCs w:val="20"/>
                <w:color w:val="auto"/>
              </w:rPr>
            </w:pPr>
            <w:r>
              <w:rPr>
                <w:rFonts w:ascii="Times New Roman" w:cs="Times New Roman" w:eastAsia="Times New Roman" w:hAnsi="Times New Roman"/>
                <w:sz w:val="20"/>
                <w:szCs w:val="20"/>
                <w:color w:val="282828"/>
                <w:w w:val="97"/>
              </w:rPr>
              <w:t>(DE) LLC.</w:t>
            </w:r>
          </w:p>
        </w:tc>
        <w:tc>
          <w:tcPr>
            <w:tcW w:w="4540" w:type="dxa"/>
            <w:vAlign w:val="bottom"/>
            <w:gridSpan w:val="37"/>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85"/>
        </w:trPr>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tcBorders>
              <w:bottom w:val="single" w:sz="8" w:color="282828"/>
            </w:tcBorders>
            <w:gridSpan w:val="38"/>
          </w:tcPr>
          <w:p>
            <w:pPr>
              <w:spacing w:after="0"/>
              <w:rPr>
                <w:sz w:val="20"/>
                <w:szCs w:val="20"/>
                <w:color w:val="auto"/>
              </w:rPr>
            </w:pPr>
            <w:r>
              <w:rPr>
                <w:rFonts w:ascii="Times New Roman" w:cs="Times New Roman" w:eastAsia="Times New Roman" w:hAnsi="Times New Roman"/>
                <w:sz w:val="20"/>
                <w:szCs w:val="20"/>
                <w:color w:val="282828"/>
              </w:rPr>
              <w:t>Third Amendment to Lease, dated August 6, 2018, by and between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05/07/2024</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10.5</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tcBorders>
              <w:bottom w:val="single" w:sz="8" w:color="282828"/>
            </w:tcBorders>
            <w:gridSpan w:val="38"/>
          </w:tcPr>
          <w:p>
            <w:pPr>
              <w:spacing w:after="0" w:line="210" w:lineRule="exact"/>
              <w:rPr>
                <w:sz w:val="20"/>
                <w:szCs w:val="20"/>
                <w:color w:val="auto"/>
              </w:rPr>
            </w:pPr>
            <w:r>
              <w:rPr>
                <w:rFonts w:ascii="Times New Roman" w:cs="Times New Roman" w:eastAsia="Times New Roman" w:hAnsi="Times New Roman"/>
                <w:sz w:val="20"/>
                <w:szCs w:val="20"/>
                <w:color w:val="282828"/>
                <w:w w:val="99"/>
              </w:rPr>
              <w:t>the Registrant and 500 Boylston &amp; 222 Berkeley Owner (DE) LLC.</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5240" w:type="dxa"/>
            <w:vAlign w:val="bottom"/>
            <w:tcBorders>
              <w:bottom w:val="single" w:sz="8" w:color="282828"/>
            </w:tcBorders>
            <w:gridSpan w:val="32"/>
          </w:tcPr>
          <w:p>
            <w:pPr>
              <w:spacing w:after="0"/>
              <w:rPr>
                <w:sz w:val="20"/>
                <w:szCs w:val="20"/>
                <w:color w:val="auto"/>
              </w:rPr>
            </w:pPr>
            <w:r>
              <w:rPr>
                <w:rFonts w:ascii="Times New Roman" w:cs="Times New Roman" w:eastAsia="Times New Roman" w:hAnsi="Times New Roman"/>
                <w:sz w:val="20"/>
                <w:szCs w:val="20"/>
                <w:color w:val="282828"/>
              </w:rPr>
              <w:t>Amended &amp; Restated Offer Letter, dated August 3, 2023, by and</w:t>
            </w:r>
          </w:p>
        </w:tc>
        <w:tc>
          <w:tcPr>
            <w:tcW w:w="180" w:type="dxa"/>
            <w:vAlign w:val="bottom"/>
            <w:gridSpan w:val="6"/>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8/3/2023</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10.4</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60" w:type="dxa"/>
            <w:vAlign w:val="bottom"/>
            <w:tcBorders>
              <w:bottom w:val="single" w:sz="8" w:color="282828"/>
            </w:tcBorders>
            <w:gridSpan w:val="12"/>
          </w:tcPr>
          <w:p>
            <w:pPr>
              <w:spacing w:after="0" w:line="210" w:lineRule="exact"/>
              <w:rPr>
                <w:sz w:val="20"/>
                <w:szCs w:val="20"/>
                <w:color w:val="auto"/>
              </w:rPr>
            </w:pPr>
            <w:r>
              <w:rPr>
                <w:rFonts w:ascii="Times New Roman" w:cs="Times New Roman" w:eastAsia="Times New Roman" w:hAnsi="Times New Roman"/>
                <w:sz w:val="20"/>
                <w:szCs w:val="20"/>
                <w:color w:val="282828"/>
                <w:w w:val="99"/>
              </w:rPr>
              <w:t>between the Registrant and Hunter Smith.</w:t>
            </w:r>
          </w:p>
        </w:tc>
        <w:tc>
          <w:tcPr>
            <w:tcW w:w="2060" w:type="dxa"/>
            <w:vAlign w:val="bottom"/>
            <w:gridSpan w:val="26"/>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474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Offer Letter, dated September 4, 2020, by and between the</w:t>
            </w:r>
          </w:p>
        </w:tc>
        <w:tc>
          <w:tcPr>
            <w:tcW w:w="680" w:type="dxa"/>
            <w:vAlign w:val="bottom"/>
            <w:gridSpan w:val="13"/>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11/2/2020</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282828"/>
              </w:rPr>
              <w:t>Registrant and Yann Mazabraud.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780" w:type="dxa"/>
            <w:vAlign w:val="bottom"/>
            <w:shd w:val="clear" w:color="auto" w:fill="282828"/>
          </w:tcPr>
          <w:p>
            <w:pPr>
              <w:spacing w:after="0" w:line="20" w:lineRule="exact"/>
              <w:rPr>
                <w:sz w:val="1"/>
                <w:szCs w:val="1"/>
                <w:color w:val="auto"/>
              </w:rPr>
            </w:pPr>
          </w:p>
        </w:tc>
        <w:tc>
          <w:tcPr>
            <w:tcW w:w="24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822" w:right="116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900"/>
          </w:cols>
          <w:pgMar w:left="1180" w:top="822" w:right="1160" w:bottom="0" w:gutter="0" w:footer="0" w:header="0"/>
          <w:type w:val="continuous"/>
        </w:sectPr>
      </w:pPr>
    </w:p>
    <w:bookmarkStart w:id="142" w:name="page143"/>
    <w:bookmarkEnd w:id="142"/>
    <w:tbl>
      <w:tblPr>
        <w:tblLayout w:type="fixed"/>
        <w:tblInd w:w="5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508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rPr>
              <w:t>Amended &amp; Restated Offer Letter, dated July 28, 2023, by and</w:t>
            </w:r>
          </w:p>
        </w:tc>
        <w:tc>
          <w:tcPr>
            <w:tcW w:w="360" w:type="dxa"/>
            <w:vAlign w:val="bottom"/>
            <w:gridSpan w:val="8"/>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8/3/2023</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10.2</w:t>
            </w:r>
          </w:p>
        </w:tc>
      </w:tr>
      <w:tr>
        <w:trPr>
          <w:trHeight w:val="210"/>
        </w:trPr>
        <w:tc>
          <w:tcPr>
            <w:tcW w:w="1560" w:type="dxa"/>
            <w:vAlign w:val="bottom"/>
          </w:tcPr>
          <w:p>
            <w:pPr>
              <w:spacing w:after="0"/>
              <w:rPr>
                <w:sz w:val="18"/>
                <w:szCs w:val="18"/>
                <w:color w:val="auto"/>
              </w:rPr>
            </w:pPr>
          </w:p>
        </w:tc>
        <w:tc>
          <w:tcPr>
            <w:tcW w:w="3580" w:type="dxa"/>
            <w:vAlign w:val="bottom"/>
            <w:tcBorders>
              <w:bottom w:val="single" w:sz="8" w:color="282828"/>
            </w:tcBorders>
            <w:gridSpan w:val="9"/>
          </w:tcPr>
          <w:p>
            <w:pPr>
              <w:spacing w:after="0" w:line="210" w:lineRule="exact"/>
              <w:rPr>
                <w:sz w:val="20"/>
                <w:szCs w:val="20"/>
                <w:color w:val="auto"/>
              </w:rPr>
            </w:pPr>
            <w:r>
              <w:rPr>
                <w:rFonts w:ascii="Times New Roman" w:cs="Times New Roman" w:eastAsia="Times New Roman" w:hAnsi="Times New Roman"/>
                <w:sz w:val="20"/>
                <w:szCs w:val="20"/>
                <w:color w:val="282828"/>
                <w:w w:val="99"/>
              </w:rPr>
              <w:t>between the Registrant and Joseph Shulman.</w:t>
            </w:r>
          </w:p>
        </w:tc>
        <w:tc>
          <w:tcPr>
            <w:tcW w:w="186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526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Amended &amp; Restated Offer Letter, dated August 3, 2023, by and</w:t>
            </w:r>
          </w:p>
        </w:tc>
        <w:tc>
          <w:tcPr>
            <w:tcW w:w="180" w:type="dxa"/>
            <w:vAlign w:val="bottom"/>
            <w:gridSpan w:val="3"/>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8/3/2023</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10.3</w:t>
            </w:r>
          </w:p>
        </w:tc>
      </w:tr>
      <w:tr>
        <w:trPr>
          <w:trHeight w:val="210"/>
        </w:trPr>
        <w:tc>
          <w:tcPr>
            <w:tcW w:w="1560" w:type="dxa"/>
            <w:vAlign w:val="bottom"/>
          </w:tcPr>
          <w:p>
            <w:pPr>
              <w:spacing w:after="0"/>
              <w:rPr>
                <w:sz w:val="18"/>
                <w:szCs w:val="18"/>
                <w:color w:val="auto"/>
              </w:rPr>
            </w:pPr>
          </w:p>
        </w:tc>
        <w:tc>
          <w:tcPr>
            <w:tcW w:w="544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282828"/>
              </w:rPr>
              <w:t>between the Registrant and Jennifer Chien.</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1560" w:type="dxa"/>
            <w:vAlign w:val="bottom"/>
          </w:tcPr>
          <w:p>
            <w:pPr>
              <w:spacing w:after="0" w:line="20" w:lineRule="exact"/>
              <w:rPr>
                <w:sz w:val="1"/>
                <w:szCs w:val="1"/>
                <w:color w:val="auto"/>
              </w:rPr>
            </w:pPr>
          </w:p>
        </w:tc>
        <w:tc>
          <w:tcPr>
            <w:tcW w:w="1240" w:type="dxa"/>
            <w:vAlign w:val="bottom"/>
            <w:shd w:val="clear" w:color="auto" w:fill="282828"/>
          </w:tcPr>
          <w:p>
            <w:pPr>
              <w:spacing w:after="0" w:line="20" w:lineRule="exact"/>
              <w:rPr>
                <w:sz w:val="1"/>
                <w:szCs w:val="1"/>
                <w:color w:val="auto"/>
              </w:rPr>
            </w:pPr>
          </w:p>
        </w:tc>
        <w:tc>
          <w:tcPr>
            <w:tcW w:w="140" w:type="dxa"/>
            <w:vAlign w:val="bottom"/>
            <w:shd w:val="clear" w:color="auto" w:fill="282828"/>
          </w:tcPr>
          <w:p>
            <w:pPr>
              <w:spacing w:after="0" w:line="20" w:lineRule="exact"/>
              <w:rPr>
                <w:sz w:val="1"/>
                <w:szCs w:val="1"/>
                <w:color w:val="auto"/>
              </w:rPr>
            </w:pPr>
          </w:p>
        </w:tc>
        <w:tc>
          <w:tcPr>
            <w:tcW w:w="180" w:type="dxa"/>
            <w:vAlign w:val="bottom"/>
            <w:shd w:val="clear" w:color="auto" w:fill="282828"/>
          </w:tcPr>
          <w:p>
            <w:pPr>
              <w:spacing w:after="0" w:line="20" w:lineRule="exact"/>
              <w:rPr>
                <w:sz w:val="1"/>
                <w:szCs w:val="1"/>
                <w:color w:val="auto"/>
              </w:rPr>
            </w:pPr>
          </w:p>
        </w:tc>
        <w:tc>
          <w:tcPr>
            <w:tcW w:w="180" w:type="dxa"/>
            <w:vAlign w:val="bottom"/>
            <w:shd w:val="clear" w:color="auto" w:fill="282828"/>
          </w:tcPr>
          <w:p>
            <w:pPr>
              <w:spacing w:after="0" w:line="20" w:lineRule="exact"/>
              <w:rPr>
                <w:sz w:val="1"/>
                <w:szCs w:val="1"/>
                <w:color w:val="auto"/>
              </w:rPr>
            </w:pPr>
          </w:p>
        </w:tc>
        <w:tc>
          <w:tcPr>
            <w:tcW w:w="460" w:type="dxa"/>
            <w:vAlign w:val="bottom"/>
            <w:shd w:val="clear" w:color="auto" w:fill="282828"/>
          </w:tcPr>
          <w:p>
            <w:pPr>
              <w:spacing w:after="0" w:line="20" w:lineRule="exact"/>
              <w:rPr>
                <w:sz w:val="1"/>
                <w:szCs w:val="1"/>
                <w:color w:val="auto"/>
              </w:rPr>
            </w:pPr>
          </w:p>
        </w:tc>
        <w:tc>
          <w:tcPr>
            <w:tcW w:w="880" w:type="dxa"/>
            <w:vAlign w:val="bottom"/>
            <w:shd w:val="clear" w:color="auto" w:fill="282828"/>
          </w:tcPr>
          <w:p>
            <w:pPr>
              <w:spacing w:after="0" w:line="20" w:lineRule="exact"/>
              <w:rPr>
                <w:sz w:val="1"/>
                <w:szCs w:val="1"/>
                <w:color w:val="auto"/>
              </w:rPr>
            </w:pPr>
          </w:p>
        </w:tc>
        <w:tc>
          <w:tcPr>
            <w:tcW w:w="28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508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rPr>
              <w:t>Amended &amp; Restated Offer Letter, dated July 28, 2023, by and</w:t>
            </w:r>
          </w:p>
        </w:tc>
        <w:tc>
          <w:tcPr>
            <w:tcW w:w="360" w:type="dxa"/>
            <w:vAlign w:val="bottom"/>
            <w:gridSpan w:val="8"/>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8/3/2023</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60" w:type="dxa"/>
            <w:vAlign w:val="bottom"/>
          </w:tcPr>
          <w:p>
            <w:pPr>
              <w:spacing w:after="0"/>
              <w:rPr>
                <w:sz w:val="18"/>
                <w:szCs w:val="18"/>
                <w:color w:val="auto"/>
              </w:rPr>
            </w:pPr>
          </w:p>
        </w:tc>
        <w:tc>
          <w:tcPr>
            <w:tcW w:w="3640" w:type="dxa"/>
            <w:vAlign w:val="bottom"/>
            <w:tcBorders>
              <w:bottom w:val="single" w:sz="8" w:color="282828"/>
            </w:tcBorders>
            <w:gridSpan w:val="10"/>
          </w:tcPr>
          <w:p>
            <w:pPr>
              <w:spacing w:after="0" w:line="210" w:lineRule="exact"/>
              <w:rPr>
                <w:sz w:val="20"/>
                <w:szCs w:val="20"/>
                <w:color w:val="auto"/>
              </w:rPr>
            </w:pPr>
            <w:r>
              <w:rPr>
                <w:rFonts w:ascii="Times New Roman" w:cs="Times New Roman" w:eastAsia="Times New Roman" w:hAnsi="Times New Roman"/>
                <w:sz w:val="20"/>
                <w:szCs w:val="20"/>
                <w:color w:val="282828"/>
                <w:w w:val="99"/>
              </w:rPr>
              <w:t>between the Registrant and David P. Meeker.</w:t>
            </w:r>
          </w:p>
        </w:tc>
        <w:tc>
          <w:tcPr>
            <w:tcW w:w="1800" w:type="dxa"/>
            <w:vAlign w:val="bottom"/>
            <w:gridSpan w:val="14"/>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5440" w:type="dxa"/>
            <w:vAlign w:val="bottom"/>
            <w:tcBorders>
              <w:bottom w:val="single" w:sz="8" w:color="282828"/>
            </w:tcBorders>
            <w:gridSpan w:val="24"/>
          </w:tcPr>
          <w:p>
            <w:pPr>
              <w:spacing w:after="0"/>
              <w:rPr>
                <w:sz w:val="20"/>
                <w:szCs w:val="20"/>
                <w:color w:val="auto"/>
              </w:rPr>
            </w:pPr>
            <w:r>
              <w:rPr>
                <w:rFonts w:ascii="Times New Roman" w:cs="Times New Roman" w:eastAsia="Times New Roman" w:hAnsi="Times New Roman"/>
                <w:sz w:val="20"/>
                <w:szCs w:val="20"/>
                <w:color w:val="282828"/>
              </w:rPr>
              <w:t>Offer Letter, dated July 9, 2021, by and between the Registrant and</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10-Q</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8/3/2021</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60" w:type="dxa"/>
            <w:vAlign w:val="bottom"/>
          </w:tcPr>
          <w:p>
            <w:pPr>
              <w:spacing w:after="0"/>
              <w:rPr>
                <w:sz w:val="18"/>
                <w:szCs w:val="18"/>
                <w:color w:val="auto"/>
              </w:rPr>
            </w:pPr>
          </w:p>
        </w:tc>
        <w:tc>
          <w:tcPr>
            <w:tcW w:w="1240" w:type="dxa"/>
            <w:vAlign w:val="bottom"/>
            <w:tcBorders>
              <w:bottom w:val="single" w:sz="8" w:color="282828"/>
            </w:tcBorders>
          </w:tcPr>
          <w:p>
            <w:pPr>
              <w:spacing w:after="0" w:line="210" w:lineRule="exact"/>
              <w:rPr>
                <w:sz w:val="20"/>
                <w:szCs w:val="20"/>
                <w:color w:val="auto"/>
              </w:rPr>
            </w:pPr>
            <w:r>
              <w:rPr>
                <w:rFonts w:ascii="Times New Roman" w:cs="Times New Roman" w:eastAsia="Times New Roman" w:hAnsi="Times New Roman"/>
                <w:sz w:val="20"/>
                <w:szCs w:val="20"/>
                <w:color w:val="282828"/>
                <w:w w:val="98"/>
              </w:rPr>
              <w:t>Pamela Cramer</w:t>
            </w:r>
          </w:p>
        </w:tc>
        <w:tc>
          <w:tcPr>
            <w:tcW w:w="4200" w:type="dxa"/>
            <w:vAlign w:val="bottom"/>
            <w:gridSpan w:val="23"/>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524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Offer Letter, dated May 20, 2024, by and between the Registrant</w:t>
            </w:r>
          </w:p>
        </w:tc>
        <w:tc>
          <w:tcPr>
            <w:tcW w:w="200" w:type="dxa"/>
            <w:vAlign w:val="bottom"/>
            <w:gridSpan w:val="4"/>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20"/>
        </w:trPr>
        <w:tc>
          <w:tcPr>
            <w:tcW w:w="1560" w:type="dxa"/>
            <w:vAlign w:val="bottom"/>
          </w:tcPr>
          <w:p>
            <w:pPr>
              <w:spacing w:after="0"/>
              <w:rPr>
                <w:sz w:val="19"/>
                <w:szCs w:val="19"/>
                <w:color w:val="auto"/>
              </w:rPr>
            </w:pPr>
          </w:p>
        </w:tc>
        <w:tc>
          <w:tcPr>
            <w:tcW w:w="174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8"/>
              </w:rPr>
              <w:t>and Alastair Garfield.</w:t>
            </w:r>
          </w:p>
        </w:tc>
        <w:tc>
          <w:tcPr>
            <w:tcW w:w="3700" w:type="dxa"/>
            <w:vAlign w:val="bottom"/>
            <w:gridSpan w:val="20"/>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518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rPr>
              <w:t>Revenue Interest Financing Agreement, dated June 16, 2022, by</w:t>
            </w:r>
          </w:p>
        </w:tc>
        <w:tc>
          <w:tcPr>
            <w:tcW w:w="260" w:type="dxa"/>
            <w:vAlign w:val="bottom"/>
            <w:gridSpan w:val="5"/>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10-Q</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8/03/2022</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60" w:type="dxa"/>
            <w:vAlign w:val="bottom"/>
          </w:tcPr>
          <w:p>
            <w:pPr>
              <w:spacing w:after="0"/>
              <w:rPr>
                <w:sz w:val="18"/>
                <w:szCs w:val="18"/>
                <w:color w:val="auto"/>
              </w:rPr>
            </w:pPr>
          </w:p>
        </w:tc>
        <w:tc>
          <w:tcPr>
            <w:tcW w:w="5120" w:type="dxa"/>
            <w:vAlign w:val="bottom"/>
            <w:tcBorders>
              <w:bottom w:val="single" w:sz="8" w:color="282828"/>
            </w:tcBorders>
            <w:gridSpan w:val="17"/>
          </w:tcPr>
          <w:p>
            <w:pPr>
              <w:spacing w:after="0" w:line="210" w:lineRule="exact"/>
              <w:rPr>
                <w:sz w:val="20"/>
                <w:szCs w:val="20"/>
                <w:color w:val="auto"/>
              </w:rPr>
            </w:pPr>
            <w:r>
              <w:rPr>
                <w:rFonts w:ascii="Times New Roman" w:cs="Times New Roman" w:eastAsia="Times New Roman" w:hAnsi="Times New Roman"/>
                <w:sz w:val="20"/>
                <w:szCs w:val="20"/>
                <w:color w:val="282828"/>
              </w:rPr>
              <w:t>and between the Company and entities managed by HealthCare</w:t>
            </w:r>
          </w:p>
        </w:tc>
        <w:tc>
          <w:tcPr>
            <w:tcW w:w="320" w:type="dxa"/>
            <w:vAlign w:val="bottom"/>
            <w:gridSpan w:val="7"/>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1560" w:type="dxa"/>
            <w:vAlign w:val="bottom"/>
          </w:tcPr>
          <w:p>
            <w:pPr>
              <w:spacing w:after="0"/>
              <w:rPr>
                <w:sz w:val="18"/>
                <w:szCs w:val="18"/>
                <w:color w:val="auto"/>
              </w:rPr>
            </w:pPr>
          </w:p>
        </w:tc>
        <w:tc>
          <w:tcPr>
            <w:tcW w:w="544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282828"/>
              </w:rPr>
              <w:t>Royalty Management, LLC</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1560" w:type="dxa"/>
            <w:vAlign w:val="bottom"/>
          </w:tcPr>
          <w:p>
            <w:pPr>
              <w:spacing w:after="0" w:line="20" w:lineRule="exact"/>
              <w:rPr>
                <w:sz w:val="1"/>
                <w:szCs w:val="1"/>
                <w:color w:val="auto"/>
              </w:rPr>
            </w:pPr>
          </w:p>
        </w:tc>
        <w:tc>
          <w:tcPr>
            <w:tcW w:w="1380" w:type="dxa"/>
            <w:vAlign w:val="bottom"/>
            <w:gridSpan w:val="2"/>
            <w:shd w:val="clear" w:color="auto" w:fill="282828"/>
          </w:tcPr>
          <w:p>
            <w:pPr>
              <w:spacing w:after="0" w:line="20" w:lineRule="exact"/>
              <w:rPr>
                <w:sz w:val="1"/>
                <w:szCs w:val="1"/>
                <w:color w:val="auto"/>
              </w:rPr>
            </w:pPr>
          </w:p>
        </w:tc>
        <w:tc>
          <w:tcPr>
            <w:tcW w:w="180" w:type="dxa"/>
            <w:vAlign w:val="bottom"/>
            <w:shd w:val="clear" w:color="auto" w:fill="282828"/>
          </w:tcPr>
          <w:p>
            <w:pPr>
              <w:spacing w:after="0" w:line="20" w:lineRule="exact"/>
              <w:rPr>
                <w:sz w:val="1"/>
                <w:szCs w:val="1"/>
                <w:color w:val="auto"/>
              </w:rPr>
            </w:pPr>
          </w:p>
        </w:tc>
        <w:tc>
          <w:tcPr>
            <w:tcW w:w="640" w:type="dxa"/>
            <w:vAlign w:val="bottom"/>
            <w:gridSpan w:val="2"/>
            <w:shd w:val="clear" w:color="auto" w:fill="28282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8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4940" w:type="dxa"/>
            <w:vAlign w:val="bottom"/>
            <w:tcBorders>
              <w:bottom w:val="single" w:sz="8" w:color="282828"/>
            </w:tcBorders>
            <w:gridSpan w:val="14"/>
          </w:tcPr>
          <w:p>
            <w:pPr>
              <w:spacing w:after="0"/>
              <w:rPr>
                <w:sz w:val="20"/>
                <w:szCs w:val="20"/>
                <w:color w:val="auto"/>
              </w:rPr>
            </w:pPr>
            <w:r>
              <w:rPr>
                <w:rFonts w:ascii="Times New Roman" w:cs="Times New Roman" w:eastAsia="Times New Roman" w:hAnsi="Times New Roman"/>
                <w:sz w:val="20"/>
                <w:szCs w:val="20"/>
                <w:color w:val="282828"/>
              </w:rPr>
              <w:t>Exclusive License Agreement, dated January 4, 2024, by and</w:t>
            </w:r>
          </w:p>
        </w:tc>
        <w:tc>
          <w:tcPr>
            <w:tcW w:w="500" w:type="dxa"/>
            <w:vAlign w:val="bottom"/>
            <w:gridSpan w:val="10"/>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2/29/2024</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3"/>
              </w:rPr>
              <w:t>10.25</w:t>
            </w:r>
          </w:p>
        </w:tc>
      </w:tr>
      <w:tr>
        <w:trPr>
          <w:trHeight w:val="210"/>
        </w:trPr>
        <w:tc>
          <w:tcPr>
            <w:tcW w:w="1560" w:type="dxa"/>
            <w:vAlign w:val="bottom"/>
          </w:tcPr>
          <w:p>
            <w:pPr>
              <w:spacing w:after="0"/>
              <w:rPr>
                <w:sz w:val="18"/>
                <w:szCs w:val="18"/>
                <w:color w:val="auto"/>
              </w:rPr>
            </w:pPr>
          </w:p>
        </w:tc>
        <w:tc>
          <w:tcPr>
            <w:tcW w:w="4740" w:type="dxa"/>
            <w:vAlign w:val="bottom"/>
            <w:tcBorders>
              <w:bottom w:val="single" w:sz="8" w:color="282828"/>
            </w:tcBorders>
            <w:gridSpan w:val="12"/>
          </w:tcPr>
          <w:p>
            <w:pPr>
              <w:spacing w:after="0" w:line="210" w:lineRule="exact"/>
              <w:rPr>
                <w:sz w:val="20"/>
                <w:szCs w:val="20"/>
                <w:color w:val="auto"/>
              </w:rPr>
            </w:pPr>
            <w:r>
              <w:rPr>
                <w:rFonts w:ascii="Times New Roman" w:cs="Times New Roman" w:eastAsia="Times New Roman" w:hAnsi="Times New Roman"/>
                <w:sz w:val="20"/>
                <w:szCs w:val="20"/>
                <w:color w:val="282828"/>
                <w:w w:val="99"/>
              </w:rPr>
              <w:t>between Rhythm Pharmaceuticals, Inc. and LG Chem, Ltd.</w:t>
            </w:r>
          </w:p>
        </w:tc>
        <w:tc>
          <w:tcPr>
            <w:tcW w:w="70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484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rPr>
              <w:t>Investment Agreement dated April 1, 2024, by and between</w:t>
            </w:r>
          </w:p>
        </w:tc>
        <w:tc>
          <w:tcPr>
            <w:tcW w:w="600" w:type="dxa"/>
            <w:vAlign w:val="bottom"/>
            <w:gridSpan w:val="11"/>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04/01/2024</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r>
      <w:tr>
        <w:trPr>
          <w:trHeight w:val="210"/>
        </w:trPr>
        <w:tc>
          <w:tcPr>
            <w:tcW w:w="1560" w:type="dxa"/>
            <w:vAlign w:val="bottom"/>
          </w:tcPr>
          <w:p>
            <w:pPr>
              <w:spacing w:after="0"/>
              <w:rPr>
                <w:sz w:val="18"/>
                <w:szCs w:val="18"/>
                <w:color w:val="auto"/>
              </w:rPr>
            </w:pPr>
          </w:p>
        </w:tc>
        <w:tc>
          <w:tcPr>
            <w:tcW w:w="4960" w:type="dxa"/>
            <w:vAlign w:val="bottom"/>
            <w:tcBorders>
              <w:bottom w:val="single" w:sz="8" w:color="282828"/>
            </w:tcBorders>
            <w:gridSpan w:val="15"/>
          </w:tcPr>
          <w:p>
            <w:pPr>
              <w:spacing w:after="0" w:line="210" w:lineRule="exact"/>
              <w:rPr>
                <w:sz w:val="20"/>
                <w:szCs w:val="20"/>
                <w:color w:val="auto"/>
              </w:rPr>
            </w:pPr>
            <w:r>
              <w:rPr>
                <w:rFonts w:ascii="Times New Roman" w:cs="Times New Roman" w:eastAsia="Times New Roman" w:hAnsi="Times New Roman"/>
                <w:sz w:val="20"/>
                <w:szCs w:val="20"/>
                <w:color w:val="282828"/>
              </w:rPr>
              <w:t>Rhythm Pharmaceuticals, Inc., certain affiliates of Perceptive</w:t>
            </w:r>
          </w:p>
        </w:tc>
        <w:tc>
          <w:tcPr>
            <w:tcW w:w="48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1560" w:type="dxa"/>
            <w:vAlign w:val="bottom"/>
          </w:tcPr>
          <w:p>
            <w:pPr>
              <w:spacing w:after="0"/>
              <w:rPr>
                <w:sz w:val="18"/>
                <w:szCs w:val="18"/>
                <w:color w:val="auto"/>
              </w:rPr>
            </w:pPr>
          </w:p>
        </w:tc>
        <w:tc>
          <w:tcPr>
            <w:tcW w:w="544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282828"/>
              </w:rPr>
              <w:t>Advisors LLC, and certain other investors</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8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19.0</w:t>
            </w:r>
          </w:p>
        </w:tc>
        <w:tc>
          <w:tcPr>
            <w:tcW w:w="3360" w:type="dxa"/>
            <w:vAlign w:val="bottom"/>
            <w:tcBorders>
              <w:top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rPr>
              <w:t>Rhythm Global Insider Trading Policy</w:t>
            </w:r>
          </w:p>
        </w:tc>
        <w:tc>
          <w:tcPr>
            <w:tcW w:w="2080" w:type="dxa"/>
            <w:vAlign w:val="bottom"/>
            <w:gridSpan w:val="17"/>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02/28/2025</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19.0</w:t>
            </w:r>
          </w:p>
        </w:tc>
      </w:tr>
      <w:tr>
        <w:trPr>
          <w:trHeight w:val="29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560" w:type="dxa"/>
            <w:vAlign w:val="bottom"/>
            <w:tcBorders>
              <w:top w:val="single" w:sz="8" w:color="282828"/>
              <w:bottom w:val="single" w:sz="8" w:color="282828"/>
            </w:tcBorders>
            <w:gridSpan w:val="3"/>
          </w:tcPr>
          <w:p>
            <w:pPr>
              <w:spacing w:after="0"/>
              <w:rPr>
                <w:sz w:val="20"/>
                <w:szCs w:val="20"/>
                <w:color w:val="auto"/>
              </w:rPr>
            </w:pPr>
            <w:r>
              <w:rPr>
                <w:rFonts w:ascii="Times New Roman" w:cs="Times New Roman" w:eastAsia="Times New Roman" w:hAnsi="Times New Roman"/>
                <w:sz w:val="20"/>
                <w:szCs w:val="20"/>
                <w:color w:val="282828"/>
                <w:w w:val="98"/>
              </w:rPr>
              <w:t>List of Subsidiaries</w:t>
            </w:r>
          </w:p>
        </w:tc>
        <w:tc>
          <w:tcPr>
            <w:tcW w:w="1520" w:type="dxa"/>
            <w:vAlign w:val="bottom"/>
            <w:tcBorders>
              <w:top w:val="single" w:sz="8" w:color="282828"/>
            </w:tcBorders>
            <w:gridSpan w:val="3"/>
          </w:tcPr>
          <w:p>
            <w:pPr>
              <w:spacing w:after="0"/>
              <w:rPr>
                <w:sz w:val="24"/>
                <w:szCs w:val="24"/>
                <w:color w:val="auto"/>
              </w:rPr>
            </w:pPr>
          </w:p>
        </w:tc>
        <w:tc>
          <w:tcPr>
            <w:tcW w:w="2360" w:type="dxa"/>
            <w:vAlign w:val="bottom"/>
            <w:gridSpan w:val="18"/>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7"/>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516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rPr>
              <w:t>Consent of Ernst &amp; Young LLP, Independent Registered Public</w:t>
            </w:r>
          </w:p>
        </w:tc>
        <w:tc>
          <w:tcPr>
            <w:tcW w:w="280" w:type="dxa"/>
            <w:vAlign w:val="bottom"/>
            <w:gridSpan w:val="6"/>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1560" w:type="dxa"/>
            <w:vAlign w:val="bottom"/>
          </w:tcPr>
          <w:p>
            <w:pPr>
              <w:spacing w:after="0"/>
              <w:rPr>
                <w:sz w:val="18"/>
                <w:szCs w:val="18"/>
                <w:color w:val="auto"/>
              </w:rPr>
            </w:pPr>
          </w:p>
        </w:tc>
        <w:tc>
          <w:tcPr>
            <w:tcW w:w="1380" w:type="dxa"/>
            <w:vAlign w:val="bottom"/>
            <w:tcBorders>
              <w:bottom w:val="single" w:sz="8" w:color="282828"/>
            </w:tcBorders>
            <w:gridSpan w:val="2"/>
          </w:tcPr>
          <w:p>
            <w:pPr>
              <w:spacing w:after="0" w:line="210" w:lineRule="exact"/>
              <w:rPr>
                <w:sz w:val="20"/>
                <w:szCs w:val="20"/>
                <w:color w:val="auto"/>
              </w:rPr>
            </w:pPr>
            <w:r>
              <w:rPr>
                <w:rFonts w:ascii="Times New Roman" w:cs="Times New Roman" w:eastAsia="Times New Roman" w:hAnsi="Times New Roman"/>
                <w:sz w:val="20"/>
                <w:szCs w:val="20"/>
                <w:color w:val="282828"/>
                <w:w w:val="99"/>
              </w:rPr>
              <w:t>Accounting Firm</w:t>
            </w:r>
          </w:p>
        </w:tc>
        <w:tc>
          <w:tcPr>
            <w:tcW w:w="4060" w:type="dxa"/>
            <w:vAlign w:val="bottom"/>
            <w:gridSpan w:val="22"/>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542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Certification of the Chief Executive Officer, as required by Section</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1560" w:type="dxa"/>
            <w:vAlign w:val="bottom"/>
          </w:tcPr>
          <w:p>
            <w:pPr>
              <w:spacing w:after="0"/>
              <w:rPr>
                <w:sz w:val="18"/>
                <w:szCs w:val="18"/>
                <w:color w:val="auto"/>
              </w:rPr>
            </w:pPr>
          </w:p>
        </w:tc>
        <w:tc>
          <w:tcPr>
            <w:tcW w:w="4620" w:type="dxa"/>
            <w:vAlign w:val="bottom"/>
            <w:tcBorders>
              <w:bottom w:val="single" w:sz="8" w:color="282828"/>
            </w:tcBorders>
            <w:gridSpan w:val="11"/>
          </w:tcPr>
          <w:p>
            <w:pPr>
              <w:spacing w:after="0" w:line="210" w:lineRule="exact"/>
              <w:rPr>
                <w:sz w:val="20"/>
                <w:szCs w:val="20"/>
                <w:color w:val="auto"/>
              </w:rPr>
            </w:pPr>
            <w:r>
              <w:rPr>
                <w:rFonts w:ascii="Times New Roman" w:cs="Times New Roman" w:eastAsia="Times New Roman" w:hAnsi="Times New Roman"/>
                <w:sz w:val="20"/>
                <w:szCs w:val="20"/>
                <w:color w:val="282828"/>
                <w:w w:val="99"/>
              </w:rPr>
              <w:t>302 of the Sarbanes-Oxley Act of 2002 (18 U.S.C. 1350).</w:t>
            </w:r>
          </w:p>
        </w:tc>
        <w:tc>
          <w:tcPr>
            <w:tcW w:w="8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536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rPr>
              <w:t>Certification of the Chief Financial Officer, as required by Section</w:t>
            </w:r>
          </w:p>
        </w:tc>
        <w:tc>
          <w:tcPr>
            <w:tcW w:w="8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1560" w:type="dxa"/>
            <w:vAlign w:val="bottom"/>
          </w:tcPr>
          <w:p>
            <w:pPr>
              <w:spacing w:after="0"/>
              <w:rPr>
                <w:sz w:val="18"/>
                <w:szCs w:val="18"/>
                <w:color w:val="auto"/>
              </w:rPr>
            </w:pPr>
          </w:p>
        </w:tc>
        <w:tc>
          <w:tcPr>
            <w:tcW w:w="4620" w:type="dxa"/>
            <w:vAlign w:val="bottom"/>
            <w:tcBorders>
              <w:bottom w:val="single" w:sz="8" w:color="282828"/>
            </w:tcBorders>
            <w:gridSpan w:val="11"/>
          </w:tcPr>
          <w:p>
            <w:pPr>
              <w:spacing w:after="0" w:line="210" w:lineRule="exact"/>
              <w:rPr>
                <w:sz w:val="20"/>
                <w:szCs w:val="20"/>
                <w:color w:val="auto"/>
              </w:rPr>
            </w:pPr>
            <w:r>
              <w:rPr>
                <w:rFonts w:ascii="Times New Roman" w:cs="Times New Roman" w:eastAsia="Times New Roman" w:hAnsi="Times New Roman"/>
                <w:sz w:val="20"/>
                <w:szCs w:val="20"/>
                <w:color w:val="282828"/>
                <w:w w:val="99"/>
              </w:rPr>
              <w:t>302 of the Sarbanes-Oxley Act of 2002 (18 U.S.C. 1350).</w:t>
            </w:r>
          </w:p>
        </w:tc>
        <w:tc>
          <w:tcPr>
            <w:tcW w:w="8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542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Certification of the Chief Executive Officer, as required by Section</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1560" w:type="dxa"/>
            <w:vAlign w:val="bottom"/>
          </w:tcPr>
          <w:p>
            <w:pPr>
              <w:spacing w:after="0"/>
              <w:rPr>
                <w:sz w:val="18"/>
                <w:szCs w:val="18"/>
                <w:color w:val="auto"/>
              </w:rPr>
            </w:pPr>
          </w:p>
        </w:tc>
        <w:tc>
          <w:tcPr>
            <w:tcW w:w="4620" w:type="dxa"/>
            <w:vAlign w:val="bottom"/>
            <w:tcBorders>
              <w:bottom w:val="single" w:sz="8" w:color="282828"/>
            </w:tcBorders>
            <w:gridSpan w:val="11"/>
          </w:tcPr>
          <w:p>
            <w:pPr>
              <w:spacing w:after="0" w:line="210" w:lineRule="exact"/>
              <w:rPr>
                <w:sz w:val="20"/>
                <w:szCs w:val="20"/>
                <w:color w:val="auto"/>
              </w:rPr>
            </w:pPr>
            <w:r>
              <w:rPr>
                <w:rFonts w:ascii="Times New Roman" w:cs="Times New Roman" w:eastAsia="Times New Roman" w:hAnsi="Times New Roman"/>
                <w:sz w:val="20"/>
                <w:szCs w:val="20"/>
                <w:color w:val="282828"/>
                <w:w w:val="99"/>
              </w:rPr>
              <w:t>906 of the Sarbanes-Oxley Act of 2002 (18 U.S.C. 1350).</w:t>
            </w:r>
          </w:p>
        </w:tc>
        <w:tc>
          <w:tcPr>
            <w:tcW w:w="8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536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rPr>
              <w:t>Certification of the Chief Financial Officer, as required by Section</w:t>
            </w:r>
          </w:p>
        </w:tc>
        <w:tc>
          <w:tcPr>
            <w:tcW w:w="8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1560" w:type="dxa"/>
            <w:vAlign w:val="bottom"/>
          </w:tcPr>
          <w:p>
            <w:pPr>
              <w:spacing w:after="0"/>
              <w:rPr>
                <w:sz w:val="18"/>
                <w:szCs w:val="18"/>
                <w:color w:val="auto"/>
              </w:rPr>
            </w:pPr>
          </w:p>
        </w:tc>
        <w:tc>
          <w:tcPr>
            <w:tcW w:w="4620" w:type="dxa"/>
            <w:vAlign w:val="bottom"/>
            <w:tcBorders>
              <w:bottom w:val="single" w:sz="8" w:color="282828"/>
            </w:tcBorders>
            <w:gridSpan w:val="11"/>
          </w:tcPr>
          <w:p>
            <w:pPr>
              <w:spacing w:after="0" w:line="210" w:lineRule="exact"/>
              <w:rPr>
                <w:sz w:val="20"/>
                <w:szCs w:val="20"/>
                <w:color w:val="auto"/>
              </w:rPr>
            </w:pPr>
            <w:r>
              <w:rPr>
                <w:rFonts w:ascii="Times New Roman" w:cs="Times New Roman" w:eastAsia="Times New Roman" w:hAnsi="Times New Roman"/>
                <w:sz w:val="20"/>
                <w:szCs w:val="20"/>
                <w:color w:val="282828"/>
                <w:w w:val="99"/>
              </w:rPr>
              <w:t>906 of the Sarbanes-Oxley Act of 2002 (18 U.S.C. 1350).</w:t>
            </w:r>
          </w:p>
        </w:tc>
        <w:tc>
          <w:tcPr>
            <w:tcW w:w="8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5"/>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5440" w:type="dxa"/>
            <w:vAlign w:val="bottom"/>
            <w:gridSpan w:val="24"/>
          </w:tcPr>
          <w:p>
            <w:pPr>
              <w:spacing w:after="0"/>
              <w:rPr>
                <w:sz w:val="20"/>
                <w:szCs w:val="20"/>
                <w:color w:val="auto"/>
              </w:rPr>
            </w:pPr>
            <w:r>
              <w:rPr>
                <w:rFonts w:ascii="Times New Roman" w:cs="Times New Roman" w:eastAsia="Times New Roman" w:hAnsi="Times New Roman"/>
                <w:sz w:val="20"/>
                <w:szCs w:val="20"/>
                <w:color w:val="282828"/>
              </w:rPr>
              <w:t>Policy for Recovery of Erroneously Awarded Compensation</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2/29/2024</w:t>
            </w:r>
          </w:p>
        </w:tc>
        <w:tc>
          <w:tcPr>
            <w:tcW w:w="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97</w:t>
            </w:r>
          </w:p>
        </w:tc>
      </w:tr>
      <w:tr>
        <w:trPr>
          <w:trHeight w:val="20"/>
        </w:trPr>
        <w:tc>
          <w:tcPr>
            <w:tcW w:w="1560" w:type="dxa"/>
            <w:vAlign w:val="bottom"/>
          </w:tcPr>
          <w:p>
            <w:pPr>
              <w:spacing w:after="0" w:line="20" w:lineRule="exact"/>
              <w:rPr>
                <w:sz w:val="1"/>
                <w:szCs w:val="1"/>
                <w:color w:val="auto"/>
              </w:rPr>
            </w:pPr>
          </w:p>
        </w:tc>
        <w:tc>
          <w:tcPr>
            <w:tcW w:w="4840" w:type="dxa"/>
            <w:vAlign w:val="bottom"/>
            <w:gridSpan w:val="13"/>
            <w:shd w:val="clear" w:color="auto" w:fill="282828"/>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44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1560" w:type="dxa"/>
            <w:vAlign w:val="bottom"/>
          </w:tcPr>
          <w:p>
            <w:pPr>
              <w:spacing w:after="0"/>
              <w:rPr>
                <w:sz w:val="19"/>
                <w:szCs w:val="19"/>
                <w:color w:val="auto"/>
              </w:rPr>
            </w:pPr>
          </w:p>
        </w:tc>
        <w:tc>
          <w:tcPr>
            <w:tcW w:w="5440" w:type="dxa"/>
            <w:vAlign w:val="bottom"/>
            <w:gridSpan w:val="24"/>
          </w:tcPr>
          <w:p>
            <w:pPr>
              <w:spacing w:after="0" w:line="228" w:lineRule="exact"/>
              <w:rPr>
                <w:sz w:val="20"/>
                <w:szCs w:val="20"/>
                <w:color w:val="auto"/>
              </w:rPr>
            </w:pPr>
            <w:r>
              <w:rPr>
                <w:rFonts w:ascii="Times New Roman" w:cs="Times New Roman" w:eastAsia="Times New Roman" w:hAnsi="Times New Roman"/>
                <w:sz w:val="20"/>
                <w:szCs w:val="20"/>
                <w:color w:val="auto"/>
              </w:rPr>
              <w:t>appear in the interactive data file because its XBRL tags are</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60"/>
        </w:trPr>
        <w:tc>
          <w:tcPr>
            <w:tcW w:w="1560" w:type="dxa"/>
            <w:vAlign w:val="bottom"/>
          </w:tcPr>
          <w:p>
            <w:pPr>
              <w:spacing w:after="0"/>
              <w:rPr>
                <w:sz w:val="22"/>
                <w:szCs w:val="22"/>
                <w:color w:val="auto"/>
              </w:rPr>
            </w:pPr>
          </w:p>
        </w:tc>
        <w:tc>
          <w:tcPr>
            <w:tcW w:w="544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embedded within the Inline XBRL document.</w:t>
            </w:r>
          </w:p>
        </w:tc>
        <w:tc>
          <w:tcPr>
            <w:tcW w:w="7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49" w:lineRule="exact"/>
        <w:rPr>
          <w:sz w:val="20"/>
          <w:szCs w:val="20"/>
          <w:color w:val="auto"/>
        </w:rPr>
      </w:pPr>
    </w:p>
    <w:p>
      <w:pPr>
        <w:sectPr>
          <w:pgSz w:w="12240" w:h="15840" w:orient="portrait"/>
          <w:cols w:equalWidth="0" w:num="1">
            <w:col w:w="9890"/>
          </w:cols>
          <w:pgMar w:left="1170" w:top="900" w:right="1180" w:bottom="0" w:gutter="0" w:footer="0" w:header="0"/>
        </w:sectPr>
      </w:pPr>
    </w:p>
    <w:p>
      <w:pPr>
        <w:ind w:left="50"/>
        <w:spacing w:after="0"/>
        <w:rPr>
          <w:sz w:val="20"/>
          <w:szCs w:val="20"/>
          <w:color w:val="auto"/>
        </w:rPr>
      </w:pPr>
      <w:r>
        <w:rPr>
          <w:rFonts w:ascii="Times New Roman" w:cs="Times New Roman" w:eastAsia="Times New Roman" w:hAnsi="Times New Roman"/>
          <w:sz w:val="20"/>
          <w:szCs w:val="20"/>
          <w:color w:val="auto"/>
        </w:rPr>
        <w:t>101.SCH*</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101.CAL*</w:t>
      </w:r>
    </w:p>
    <w:p>
      <w:pPr>
        <w:spacing w:after="0" w:line="29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101.DEF*</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101.LAB*</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101.PRE*</w:t>
      </w:r>
    </w:p>
    <w:p>
      <w:pPr>
        <w:spacing w:after="0" w:line="29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p>
      <w:pPr>
        <w:spacing w:after="0" w:line="67" w:lineRule="exact"/>
        <w:rPr>
          <w:sz w:val="20"/>
          <w:szCs w:val="20"/>
          <w:color w:val="auto"/>
        </w:rPr>
      </w:pPr>
    </w:p>
    <w:p>
      <w:pPr>
        <w:ind w:right="3720"/>
        <w:spacing w:after="0" w:line="269" w:lineRule="auto"/>
        <w:rPr>
          <w:sz w:val="20"/>
          <w:szCs w:val="20"/>
          <w:color w:val="auto"/>
        </w:rPr>
      </w:pPr>
      <w:r>
        <w:rPr>
          <w:rFonts w:ascii="Times New Roman" w:cs="Times New Roman" w:eastAsia="Times New Roman" w:hAnsi="Times New Roman"/>
          <w:sz w:val="20"/>
          <w:szCs w:val="20"/>
          <w:color w:val="auto"/>
        </w:rPr>
        <w:t>Inline XBRL Taxonomy Extension Calculation Linkbase Document.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p>
      <w:pPr>
        <w:spacing w:after="0" w:line="67" w:lineRule="exact"/>
        <w:rPr>
          <w:sz w:val="20"/>
          <w:szCs w:val="20"/>
          <w:color w:val="auto"/>
        </w:rPr>
      </w:pPr>
    </w:p>
    <w:p>
      <w:pPr>
        <w:ind w:right="3640"/>
        <w:spacing w:after="0" w:line="269" w:lineRule="auto"/>
        <w:rPr>
          <w:sz w:val="20"/>
          <w:szCs w:val="20"/>
          <w:color w:val="auto"/>
        </w:rPr>
      </w:pPr>
      <w:r>
        <w:rPr>
          <w:rFonts w:ascii="Times New Roman" w:cs="Times New Roman" w:eastAsia="Times New Roman" w:hAnsi="Times New Roman"/>
          <w:sz w:val="20"/>
          <w:szCs w:val="20"/>
          <w:color w:val="auto"/>
        </w:rPr>
        <w:t>Inline XBRL Taxonomy Extension Presentation Linkbase Document.</w:t>
      </w:r>
    </w:p>
    <w:p>
      <w:pPr>
        <w:spacing w:after="0" w:line="9" w:lineRule="exact"/>
        <w:rPr>
          <w:sz w:val="20"/>
          <w:szCs w:val="20"/>
          <w:color w:val="auto"/>
        </w:rPr>
      </w:pPr>
    </w:p>
    <w:p>
      <w:pPr>
        <w:ind w:right="3120"/>
        <w:spacing w:after="0" w:line="269" w:lineRule="auto"/>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4" w:lineRule="exact"/>
        <w:rPr>
          <w:sz w:val="20"/>
          <w:szCs w:val="20"/>
          <w:color w:val="auto"/>
        </w:rPr>
      </w:pPr>
    </w:p>
    <w:p>
      <w:pPr>
        <w:sectPr>
          <w:pgSz w:w="12240" w:h="15840" w:orient="portrait"/>
          <w:cols w:equalWidth="0" w:num="2">
            <w:col w:w="910" w:space="700"/>
            <w:col w:w="8280"/>
          </w:cols>
          <w:pgMar w:left="1170" w:top="900" w:right="118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w:t>
      </w:r>
    </w:p>
    <w:p>
      <w:pPr>
        <w:spacing w:after="0" w:line="70" w:lineRule="exact"/>
        <w:rPr>
          <w:sz w:val="20"/>
          <w:szCs w:val="20"/>
          <w:color w:val="auto"/>
        </w:rPr>
      </w:pPr>
    </w:p>
    <w:p>
      <w:pPr>
        <w:ind w:left="730" w:hanging="730"/>
        <w:spacing w:after="0"/>
        <w:tabs>
          <w:tab w:leader="none" w:pos="73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30" w:lineRule="exact"/>
        <w:rPr>
          <w:sz w:val="20"/>
          <w:szCs w:val="20"/>
          <w:color w:val="auto"/>
        </w:rPr>
      </w:pPr>
    </w:p>
    <w:p>
      <w:pPr>
        <w:ind w:left="730" w:hanging="730"/>
        <w:spacing w:after="0"/>
        <w:tabs>
          <w:tab w:leader="none" w:pos="73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not filed herewith.</w:t>
      </w:r>
    </w:p>
    <w:p>
      <w:pPr>
        <w:spacing w:after="0" w:line="10" w:lineRule="exact"/>
        <w:rPr>
          <w:sz w:val="20"/>
          <w:szCs w:val="20"/>
          <w:color w:val="auto"/>
        </w:rPr>
      </w:pPr>
    </w:p>
    <w:p>
      <w:pPr>
        <w:ind w:left="730" w:hanging="730"/>
        <w:spacing w:after="0"/>
        <w:tabs>
          <w:tab w:leader="none" w:pos="73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10" w:lineRule="exact"/>
        <w:rPr>
          <w:sz w:val="20"/>
          <w:szCs w:val="20"/>
          <w:color w:val="auto"/>
        </w:rPr>
      </w:pPr>
    </w:p>
    <w:p>
      <w:pPr>
        <w:ind w:left="730" w:hanging="730"/>
        <w:spacing w:after="0" w:line="250" w:lineRule="auto"/>
        <w:tabs>
          <w:tab w:leader="none" w:pos="73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confidential treatment has been requested with respect to specific portions of this exhibit. Omitted portions have been filed with the SEC pursuant to Rule 406 of the Securities Act.</w:t>
      </w:r>
    </w:p>
    <w:p>
      <w:pPr>
        <w:spacing w:after="0" w:line="1" w:lineRule="exact"/>
        <w:rPr>
          <w:sz w:val="20"/>
          <w:szCs w:val="20"/>
          <w:color w:val="auto"/>
        </w:rPr>
      </w:pPr>
    </w:p>
    <w:p>
      <w:pPr>
        <w:jc w:val="both"/>
        <w:ind w:left="730" w:hanging="730"/>
        <w:spacing w:after="0" w:line="255" w:lineRule="auto"/>
        <w:tabs>
          <w:tab w:leader="none" w:pos="73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portions of this exhibit (indicated by asterisks) have been omitted pursuant to Regulation S-K, Item 601(b)(10). Such omitted information is not material and the registrant customarily and actually treats such information as private or confidential.</w:t>
      </w:r>
    </w:p>
    <w:p>
      <w:pPr>
        <w:sectPr>
          <w:pgSz w:w="12240" w:h="15840" w:orient="portrait"/>
          <w:cols w:equalWidth="0" w:num="1">
            <w:col w:w="9890"/>
          </w:cols>
          <w:pgMar w:left="1170" w:top="900"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890"/>
          </w:cols>
          <w:pgMar w:left="1170" w:top="900" w:right="118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620"/>
          </w:cols>
          <w:pgMar w:left="1180" w:top="831" w:right="1440" w:bottom="0" w:gutter="0" w:footer="0" w:header="0"/>
        </w:sectPr>
      </w:pP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620"/>
          </w:cols>
          <w:pgMar w:left="1180" w:top="8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620"/>
          </w:cols>
          <w:pgMar w:left="1180" w:top="831" w:right="1440" w:bottom="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47" w:lineRule="exact"/>
        <w:rPr>
          <w:sz w:val="20"/>
          <w:szCs w:val="20"/>
          <w:color w:val="auto"/>
        </w:rPr>
      </w:pPr>
    </w:p>
    <w:p>
      <w:pPr>
        <w:ind w:right="20" w:firstLine="720"/>
        <w:spacing w:after="0" w:line="27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Act of 1934, the registrant has duly caused this report to be signed on its behalf by the undersigned, thereunto duly authorized.</w:t>
      </w:r>
    </w:p>
    <w:p>
      <w:pPr>
        <w:spacing w:after="0" w:line="2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2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By: /s/ David P. Meeker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3260725</wp:posOffset>
                </wp:positionH>
                <wp:positionV relativeFrom="paragraph">
                  <wp:posOffset>27305</wp:posOffset>
                </wp:positionV>
                <wp:extent cx="30099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2.15pt" to="493.75pt,2.15pt" o:allowincell="f" strokecolor="#000000" strokeweight="1pt"/>
            </w:pict>
          </mc:Fallback>
        </mc:AlternateConten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David P. Meeker M.D.</w:t>
      </w:r>
    </w:p>
    <w:p>
      <w:pPr>
        <w:spacing w:after="0" w:line="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i w:val="1"/>
          <w:iCs w:val="1"/>
          <w:color w:val="auto"/>
        </w:rPr>
        <w:t>President and Chief Executive Officer</w:t>
      </w:r>
    </w:p>
    <w:p>
      <w:pPr>
        <w:spacing w:after="0" w:line="339" w:lineRule="exact"/>
        <w:rPr>
          <w:sz w:val="20"/>
          <w:szCs w:val="20"/>
          <w:color w:val="auto"/>
        </w:rPr>
      </w:pPr>
    </w:p>
    <w:p>
      <w:pPr>
        <w:ind w:right="20" w:firstLine="720"/>
        <w:spacing w:after="0" w:line="271" w:lineRule="auto"/>
        <w:rPr>
          <w:sz w:val="20"/>
          <w:szCs w:val="20"/>
          <w:color w:val="auto"/>
        </w:rPr>
      </w:pPr>
      <w:r>
        <w:rPr>
          <w:rFonts w:ascii="Times New Roman" w:cs="Times New Roman" w:eastAsia="Times New Roman" w:hAnsi="Times New Roman"/>
          <w:sz w:val="20"/>
          <w:szCs w:val="20"/>
          <w:color w:val="auto"/>
        </w:rPr>
        <w:t>Pursuant to the requirements of the Securities Act of 1934, this report has been signed below by the following persons on behalf of the registrant and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8"/>
          </w:tcPr>
          <w:p>
            <w:pPr>
              <w:ind w:left="11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18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34"/>
        </w:trPr>
        <w:tc>
          <w:tcPr>
            <w:tcW w:w="40" w:type="dxa"/>
            <w:vAlign w:val="bottom"/>
          </w:tcPr>
          <w:p>
            <w:pPr>
              <w:spacing w:after="0"/>
              <w:rPr>
                <w:sz w:val="24"/>
                <w:szCs w:val="24"/>
                <w:color w:val="auto"/>
              </w:rPr>
            </w:pPr>
          </w:p>
        </w:tc>
        <w:tc>
          <w:tcPr>
            <w:tcW w:w="20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9"/>
              </w:rPr>
              <w:t>/s/ David P. Meeker M.D.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Director, Chairman of the Board</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0"/>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David P. Meeker M.D.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 Hunter Smith</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Hunter Smith</w:t>
            </w:r>
          </w:p>
        </w:tc>
        <w:tc>
          <w:tcPr>
            <w:tcW w:w="76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8"/>
              </w:rPr>
              <w:t>/s/ Christopher P. German</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Controller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Christopher P. German</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 Edward T. Mathers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Lead 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17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Edward T. Mathers</w:t>
            </w:r>
          </w:p>
        </w:tc>
        <w:tc>
          <w:tcPr>
            <w:tcW w:w="3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/s/ Stuart Arbuckle</w:t>
            </w:r>
          </w:p>
        </w:tc>
        <w:tc>
          <w:tcPr>
            <w:tcW w:w="56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Stuart Arbuckle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 Jennifer L. Good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1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Jennifer L. Good</w:t>
            </w:r>
          </w:p>
        </w:tc>
        <w:tc>
          <w:tcPr>
            <w:tcW w:w="48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9"/>
              </w:rPr>
              <w:t>/s/ Christophe R. Jean</w:t>
            </w:r>
          </w:p>
        </w:tc>
        <w:tc>
          <w:tcPr>
            <w:tcW w:w="3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Christophe R. Jean</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 David W. J. McGirr</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18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rPr>
              <w:t>David W. J. McGirr</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 Lynn A. Tetrault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26, 2026</w:t>
            </w:r>
          </w:p>
        </w:tc>
      </w:tr>
      <w:tr>
        <w:trPr>
          <w:trHeight w:val="317"/>
        </w:trPr>
        <w:tc>
          <w:tcPr>
            <w:tcW w:w="40" w:type="dxa"/>
            <w:vAlign w:val="bottom"/>
          </w:tcPr>
          <w:p>
            <w:pPr>
              <w:spacing w:after="0"/>
              <w:rPr>
                <w:sz w:val="24"/>
                <w:szCs w:val="24"/>
                <w:color w:val="auto"/>
              </w:rPr>
            </w:pPr>
          </w:p>
        </w:tc>
        <w:tc>
          <w:tcPr>
            <w:tcW w:w="1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Lynn A. Tetrault</w:t>
            </w:r>
          </w:p>
        </w:tc>
        <w:tc>
          <w:tcPr>
            <w:tcW w:w="50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900"/>
          </w:cols>
          <w:pgMar w:left="1180" w:top="831" w:right="1160" w:bottom="0" w:gutter="0" w:footer="0" w:header="0"/>
          <w:type w:val="continuous"/>
        </w:sectPr>
      </w:pPr>
    </w:p>
    <w:bookmarkStart w:id="145" w:name="page146"/>
    <w:bookmarkEnd w:id="145"/>
    <w:p>
      <w:pPr>
        <w:jc w:val="center"/>
        <w:ind w:left="134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240"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Report of Independent Registered Public Accounting Firm</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00000"/>
        </w:rPr>
        <w:t>(PCAOB ID No. 42)</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Consolidated Statements of Operations and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Consolidated Statements of Convertible Preferred Stock &amp; Stockholders’ Equity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Consolidated Statements of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4572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33.5pt,2.1pt" o:allowincell="f" strokecolor="#000000" strokeweight="1pt"/>
            </w:pict>
          </mc:Fallback>
        </mc:AlternateConten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F-9</w:t>
      </w:r>
    </w:p>
    <w:p>
      <w:pPr>
        <w:spacing w:after="0" w:line="200" w:lineRule="exact"/>
        <w:rPr>
          <w:sz w:val="20"/>
          <w:szCs w:val="20"/>
          <w:color w:val="auto"/>
        </w:rPr>
      </w:pPr>
    </w:p>
    <w:p>
      <w:pPr>
        <w:sectPr>
          <w:pgSz w:w="12240" w:h="15840" w:orient="portrait"/>
          <w:cols w:equalWidth="0" w:num="2">
            <w:col w:w="8460" w:space="720"/>
            <w:col w:w="620"/>
          </w:cols>
          <w:pgMar w:left="122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800"/>
          </w:cols>
          <w:pgMar w:left="1220" w:top="831" w:right="1220" w:bottom="0" w:gutter="0" w:footer="0" w:header="0"/>
          <w:type w:val="continuous"/>
        </w:sectPr>
      </w:pPr>
    </w:p>
    <w:bookmarkStart w:id="146" w:name="page147"/>
    <w:bookmarkEnd w:id="146"/>
    <w:p>
      <w:pPr>
        <w:ind w:left="1380"/>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 the Stockholders and the Board of Directors of Rhythm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Opinion on the Financial Statements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We have audited the accompanying consolidated balance sheets of Rhythm Pharmaceuticals, Inc. (the Company) as of December 31, 2025 and 2024, the related consolidated statements of operations and comprehensive loss, convertible preferred stock &amp;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for Opinion</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Audit Matter</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9900"/>
          </w:cols>
          <w:pgMar w:left="1180" w:top="84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900"/>
          </w:cols>
          <w:pgMar w:left="1180" w:top="840" w:right="1160" w:bottom="0" w:gutter="0" w:footer="0" w:header="0"/>
          <w:type w:val="continuous"/>
        </w:sectPr>
      </w:pPr>
    </w:p>
    <w:bookmarkStart w:id="147" w:name="page148"/>
    <w:bookmarkEnd w:id="147"/>
    <w:p>
      <w:pPr>
        <w:ind w:left="2200" w:right="460"/>
        <w:spacing w:after="0" w:line="284" w:lineRule="auto"/>
        <w:rPr>
          <w:sz w:val="20"/>
          <w:szCs w:val="20"/>
          <w:color w:val="auto"/>
        </w:rPr>
      </w:pPr>
      <w:r>
        <w:rPr>
          <w:rFonts w:ascii="Arial" w:cs="Arial" w:eastAsia="Arial" w:hAnsi="Arial"/>
          <w:sz w:val="21"/>
          <w:szCs w:val="21"/>
          <w:b w:val="1"/>
          <w:bCs w:val="1"/>
          <w:i w:val="1"/>
          <w:iCs w:val="1"/>
          <w:color w:val="auto"/>
        </w:rPr>
        <w:t>Accrued and Prepaid Research and Development Expenses related to Phase 3 evaluation of setmelanotide on acquired hypothalamic obesity.</w:t>
      </w:r>
    </w:p>
    <w:p>
      <w:pPr>
        <w:spacing w:after="0" w:line="86" w:lineRule="exact"/>
        <w:rPr>
          <w:sz w:val="20"/>
          <w:szCs w:val="20"/>
          <w:color w:val="auto"/>
        </w:rPr>
      </w:pPr>
    </w:p>
    <w:p>
      <w:pPr>
        <w:spacing w:after="0"/>
        <w:tabs>
          <w:tab w:leader="none" w:pos="2180" w:val="left"/>
        </w:tabs>
        <w:rPr>
          <w:sz w:val="20"/>
          <w:szCs w:val="20"/>
          <w:color w:val="auto"/>
        </w:rPr>
      </w:pPr>
      <w:r>
        <w:rPr>
          <w:rFonts w:ascii="Arial" w:cs="Arial" w:eastAsia="Arial" w:hAnsi="Arial"/>
          <w:sz w:val="21"/>
          <w:szCs w:val="21"/>
          <w:b w:val="1"/>
          <w:bCs w:val="1"/>
          <w:i w:val="1"/>
          <w:iCs w:val="1"/>
          <w:color w:val="auto"/>
        </w:rPr>
        <w:t>Description of the</w:t>
      </w:r>
      <w:r>
        <w:rPr>
          <w:sz w:val="20"/>
          <w:szCs w:val="20"/>
          <w:color w:val="auto"/>
        </w:rPr>
        <w:tab/>
      </w:r>
      <w:r>
        <w:rPr>
          <w:rFonts w:ascii="Arial" w:cs="Arial" w:eastAsia="Arial" w:hAnsi="Arial"/>
          <w:sz w:val="19"/>
          <w:szCs w:val="19"/>
          <w:b w:val="1"/>
          <w:bCs w:val="1"/>
          <w:color w:val="auto"/>
        </w:rPr>
        <w:t>The Company’s accrued expenses and other current liabilities related to research</w:t>
      </w:r>
    </w:p>
    <w:p>
      <w:pPr>
        <w:spacing w:after="0" w:line="20" w:lineRule="exact"/>
        <w:rPr>
          <w:sz w:val="20"/>
          <w:szCs w:val="20"/>
          <w:color w:val="auto"/>
        </w:rPr>
      </w:pPr>
    </w:p>
    <w:p>
      <w:pPr>
        <w:ind w:left="2200" w:right="60" w:hanging="2199"/>
        <w:spacing w:after="0" w:line="255" w:lineRule="auto"/>
        <w:tabs>
          <w:tab w:leader="none" w:pos="2180" w:val="left"/>
        </w:tabs>
        <w:rPr>
          <w:sz w:val="20"/>
          <w:szCs w:val="20"/>
          <w:color w:val="auto"/>
        </w:rPr>
      </w:pPr>
      <w:r>
        <w:rPr>
          <w:rFonts w:ascii="Arial" w:cs="Arial" w:eastAsia="Arial" w:hAnsi="Arial"/>
          <w:sz w:val="20"/>
          <w:szCs w:val="20"/>
          <w:b w:val="1"/>
          <w:bCs w:val="1"/>
          <w:i w:val="1"/>
          <w:iCs w:val="1"/>
          <w:color w:val="auto"/>
        </w:rPr>
        <w:t>Matter</w:t>
      </w:r>
      <w:r>
        <w:rPr>
          <w:sz w:val="20"/>
          <w:szCs w:val="20"/>
          <w:color w:val="auto"/>
        </w:rPr>
        <w:tab/>
      </w:r>
      <w:r>
        <w:rPr>
          <w:rFonts w:ascii="Arial" w:cs="Arial" w:eastAsia="Arial" w:hAnsi="Arial"/>
          <w:sz w:val="20"/>
          <w:szCs w:val="20"/>
          <w:b w:val="1"/>
          <w:bCs w:val="1"/>
          <w:color w:val="auto"/>
        </w:rPr>
        <w:t>and development costs were $17.1 million at December 31, 2025. In addition, the Company’s prepaid expenses and other current assets and other long-term assets related to research and development costs were $16.2 million and $1.7 million, respectively, at December 31, 2025. As discussed in Note 2 of the consolidated financial statements, the Company’s research and development expenses are based on the Company’s estimates of the progress of the related studies or clinical trials, including the phase or completion of events, invoices received, and contracted costs, which results in an accrual or prepayment at the balance sheet date.</w:t>
      </w:r>
    </w:p>
    <w:p>
      <w:pPr>
        <w:spacing w:after="0" w:line="195" w:lineRule="exact"/>
        <w:rPr>
          <w:sz w:val="20"/>
          <w:szCs w:val="20"/>
          <w:color w:val="auto"/>
        </w:rPr>
      </w:pPr>
    </w:p>
    <w:p>
      <w:pPr>
        <w:ind w:left="2200"/>
        <w:spacing w:after="0" w:line="259" w:lineRule="auto"/>
        <w:rPr>
          <w:sz w:val="20"/>
          <w:szCs w:val="20"/>
          <w:color w:val="auto"/>
        </w:rPr>
      </w:pPr>
      <w:r>
        <w:rPr>
          <w:rFonts w:ascii="Arial" w:cs="Arial" w:eastAsia="Arial" w:hAnsi="Arial"/>
          <w:sz w:val="20"/>
          <w:szCs w:val="20"/>
          <w:b w:val="1"/>
          <w:bCs w:val="1"/>
          <w:color w:val="auto"/>
        </w:rPr>
        <w:t>Auditing the Company’s accrued and prepaid research and development expenses for the Phase 3 evaluation of setmelanotide on acquired hypothalamic obesity was complex and judgmental, as accounting for the costs associated with this clinical trial required significant estimation of the level of services performed and the associated costs incurred by service providers. Additionally, due to the long duration of this clinical trial and the timing of invoicing received from third parties, the actual amounts incurred are not always known prior to the issuance of the Company’s financial statements.</w:t>
      </w:r>
    </w:p>
    <w:p>
      <w:pPr>
        <w:spacing w:after="0" w:line="219" w:lineRule="exact"/>
        <w:rPr>
          <w:sz w:val="20"/>
          <w:szCs w:val="20"/>
          <w:color w:val="auto"/>
        </w:rPr>
      </w:pPr>
    </w:p>
    <w:p>
      <w:pPr>
        <w:spacing w:after="0"/>
        <w:tabs>
          <w:tab w:leader="none" w:pos="2180" w:val="left"/>
        </w:tabs>
        <w:rPr>
          <w:sz w:val="20"/>
          <w:szCs w:val="20"/>
          <w:color w:val="auto"/>
        </w:rPr>
      </w:pPr>
      <w:r>
        <w:rPr>
          <w:rFonts w:ascii="Arial" w:cs="Arial" w:eastAsia="Arial" w:hAnsi="Arial"/>
          <w:sz w:val="21"/>
          <w:szCs w:val="21"/>
          <w:b w:val="1"/>
          <w:bCs w:val="1"/>
          <w:i w:val="1"/>
          <w:iCs w:val="1"/>
          <w:color w:val="auto"/>
        </w:rPr>
        <w:t>How We Addressed</w:t>
      </w:r>
      <w:r>
        <w:rPr>
          <w:sz w:val="20"/>
          <w:szCs w:val="20"/>
          <w:color w:val="auto"/>
        </w:rPr>
        <w:tab/>
      </w:r>
      <w:r>
        <w:rPr>
          <w:rFonts w:ascii="Arial" w:cs="Arial" w:eastAsia="Arial" w:hAnsi="Arial"/>
          <w:sz w:val="19"/>
          <w:szCs w:val="19"/>
          <w:b w:val="1"/>
          <w:bCs w:val="1"/>
          <w:color w:val="auto"/>
        </w:rPr>
        <w:t>We obtained an understanding, evaluated the design, and tested the operating</w:t>
      </w:r>
    </w:p>
    <w:p>
      <w:pPr>
        <w:spacing w:after="0" w:line="20" w:lineRule="exact"/>
        <w:rPr>
          <w:sz w:val="20"/>
          <w:szCs w:val="20"/>
          <w:color w:val="auto"/>
        </w:rPr>
      </w:pPr>
    </w:p>
    <w:p>
      <w:pPr>
        <w:spacing w:after="0"/>
        <w:tabs>
          <w:tab w:leader="none" w:pos="2180" w:val="left"/>
        </w:tabs>
        <w:rPr>
          <w:sz w:val="20"/>
          <w:szCs w:val="20"/>
          <w:color w:val="auto"/>
        </w:rPr>
      </w:pPr>
      <w:r>
        <w:rPr>
          <w:rFonts w:ascii="Arial" w:cs="Arial" w:eastAsia="Arial" w:hAnsi="Arial"/>
          <w:sz w:val="21"/>
          <w:szCs w:val="21"/>
          <w:b w:val="1"/>
          <w:bCs w:val="1"/>
          <w:i w:val="1"/>
          <w:iCs w:val="1"/>
          <w:color w:val="auto"/>
        </w:rPr>
        <w:t>the Matter in Our</w:t>
      </w:r>
      <w:r>
        <w:rPr>
          <w:sz w:val="20"/>
          <w:szCs w:val="20"/>
          <w:color w:val="auto"/>
        </w:rPr>
        <w:tab/>
      </w:r>
      <w:r>
        <w:rPr>
          <w:rFonts w:ascii="Arial" w:cs="Arial" w:eastAsia="Arial" w:hAnsi="Arial"/>
          <w:sz w:val="19"/>
          <w:szCs w:val="19"/>
          <w:b w:val="1"/>
          <w:bCs w:val="1"/>
          <w:color w:val="auto"/>
        </w:rPr>
        <w:t>effectiveness of relevant controls over the Company’s accrued and prepaid</w:t>
      </w:r>
    </w:p>
    <w:p>
      <w:pPr>
        <w:ind w:left="2200" w:right="120" w:hanging="2199"/>
        <w:spacing w:after="0" w:line="279" w:lineRule="auto"/>
        <w:tabs>
          <w:tab w:leader="none" w:pos="2180" w:val="left"/>
        </w:tabs>
        <w:rPr>
          <w:sz w:val="20"/>
          <w:szCs w:val="20"/>
          <w:color w:val="auto"/>
        </w:rPr>
      </w:pPr>
      <w:r>
        <w:rPr>
          <w:rFonts w:ascii="Arial" w:cs="Arial" w:eastAsia="Arial" w:hAnsi="Arial"/>
          <w:sz w:val="19"/>
          <w:szCs w:val="19"/>
          <w:b w:val="1"/>
          <w:bCs w:val="1"/>
          <w:i w:val="1"/>
          <w:iCs w:val="1"/>
          <w:color w:val="auto"/>
        </w:rPr>
        <w:t>Audit</w:t>
      </w:r>
      <w:r>
        <w:rPr>
          <w:sz w:val="20"/>
          <w:szCs w:val="20"/>
          <w:color w:val="auto"/>
        </w:rPr>
        <w:tab/>
      </w:r>
      <w:r>
        <w:rPr>
          <w:rFonts w:ascii="Arial" w:cs="Arial" w:eastAsia="Arial" w:hAnsi="Arial"/>
          <w:sz w:val="19"/>
          <w:szCs w:val="19"/>
          <w:b w:val="1"/>
          <w:bCs w:val="1"/>
          <w:color w:val="auto"/>
        </w:rPr>
        <w:t>research and development expenses, including management’s review control over the review of the estimation of levels of services provided, determination of costs incurred to date and the completeness and accuracy of the data used in determining prepaid and accrued research and development expenses estimate.</w:t>
      </w:r>
    </w:p>
    <w:p>
      <w:pPr>
        <w:spacing w:after="0" w:line="171" w:lineRule="exact"/>
        <w:rPr>
          <w:sz w:val="20"/>
          <w:szCs w:val="20"/>
          <w:color w:val="auto"/>
        </w:rPr>
      </w:pPr>
    </w:p>
    <w:p>
      <w:pPr>
        <w:ind w:left="2200" w:right="20"/>
        <w:spacing w:after="0" w:line="255" w:lineRule="auto"/>
        <w:rPr>
          <w:sz w:val="20"/>
          <w:szCs w:val="20"/>
          <w:color w:val="auto"/>
        </w:rPr>
      </w:pPr>
      <w:r>
        <w:rPr>
          <w:rFonts w:ascii="Arial" w:cs="Arial" w:eastAsia="Arial" w:hAnsi="Arial"/>
          <w:sz w:val="20"/>
          <w:szCs w:val="20"/>
          <w:b w:val="1"/>
          <w:bCs w:val="1"/>
          <w:color w:val="auto"/>
        </w:rPr>
        <w:t>To evaluate the prepaid and accrued research and development costs for this clinical trial at December 31, 2025, our audit procedures included, among others, testing the completeness and accuracy of the underlying data used in the estimates and evaluating the significant judgments and estimates made by management to determine the recorded prepaid and accrued amounts. To test the significant judgments and estimates, we corroborated the progress of research and development activities through discussion with the Company’s research and development personnel that oversee the research and development projects and inspected the Company’s contracts with third parties and any pending change orders to assess the impact on amounts recorded. In addition, we tested estimates of costs incurred to date by confirming actual costs incurred with the relevant third parties and through review of invoices received by the Company. We also analyzed fluctuations in the prepaid and accrued amounts by vendor and by trial throughout the period subject to audit, evaluated the costs incurred per trial, site and/or patient for reasonableness and tested subsequent invoices received from third parties.</w:t>
      </w:r>
    </w:p>
    <w:p>
      <w:pPr>
        <w:sectPr>
          <w:pgSz w:w="12240" w:h="15840" w:orient="portrait"/>
          <w:cols w:equalWidth="0" w:num="1">
            <w:col w:w="9800"/>
          </w:cols>
          <w:pgMar w:left="1220" w:top="91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800"/>
          </w:cols>
          <w:pgMar w:left="1220" w:top="919" w:right="1220" w:bottom="0" w:gutter="0" w:footer="0" w:header="0"/>
          <w:type w:val="continuous"/>
        </w:sectPr>
      </w:pPr>
    </w:p>
    <w:bookmarkStart w:id="148" w:name="page149"/>
    <w:bookmarkEnd w:id="148"/>
    <w:p>
      <w:pPr>
        <w:ind w:left="2240"/>
        <w:spacing w:after="0"/>
        <w:rPr>
          <w:sz w:val="20"/>
          <w:szCs w:val="20"/>
          <w:color w:val="auto"/>
        </w:rPr>
      </w:pPr>
      <w:r>
        <w:rPr>
          <w:rFonts w:ascii="Arial" w:cs="Arial" w:eastAsia="Arial" w:hAnsi="Arial"/>
          <w:sz w:val="21"/>
          <w:szCs w:val="21"/>
          <w:b w:val="1"/>
          <w:bCs w:val="1"/>
          <w:i w:val="1"/>
          <w:iCs w:val="1"/>
          <w:color w:val="auto"/>
        </w:rPr>
        <w:t>Allowances for Rebates under the Medicaid Drug Rebate Program</w:t>
      </w:r>
    </w:p>
    <w:p>
      <w:pPr>
        <w:spacing w:after="0" w:line="267"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1"/>
          <w:szCs w:val="21"/>
          <w:b w:val="1"/>
          <w:bCs w:val="1"/>
          <w:i w:val="1"/>
          <w:iCs w:val="1"/>
          <w:color w:val="auto"/>
        </w:rPr>
        <w:t>Description of the</w:t>
      </w:r>
      <w:r>
        <w:rPr>
          <w:sz w:val="20"/>
          <w:szCs w:val="20"/>
          <w:color w:val="auto"/>
        </w:rPr>
        <w:tab/>
      </w:r>
      <w:r>
        <w:rPr>
          <w:rFonts w:ascii="Arial" w:cs="Arial" w:eastAsia="Arial" w:hAnsi="Arial"/>
          <w:sz w:val="19"/>
          <w:szCs w:val="19"/>
          <w:b w:val="1"/>
          <w:bCs w:val="1"/>
          <w:color w:val="auto"/>
        </w:rPr>
        <w:t>As discussed in Note 2 to the Company’s consolidated financial statements, the</w:t>
      </w:r>
    </w:p>
    <w:p>
      <w:pPr>
        <w:spacing w:after="0" w:line="20" w:lineRule="exact"/>
        <w:rPr>
          <w:sz w:val="20"/>
          <w:szCs w:val="20"/>
          <w:color w:val="auto"/>
        </w:rPr>
      </w:pPr>
    </w:p>
    <w:p>
      <w:pPr>
        <w:ind w:left="2240" w:hanging="2199"/>
        <w:spacing w:after="0" w:line="254" w:lineRule="auto"/>
        <w:tabs>
          <w:tab w:leader="none" w:pos="2220" w:val="left"/>
        </w:tabs>
        <w:rPr>
          <w:sz w:val="20"/>
          <w:szCs w:val="20"/>
          <w:color w:val="auto"/>
        </w:rPr>
      </w:pPr>
      <w:r>
        <w:rPr>
          <w:rFonts w:ascii="Arial" w:cs="Arial" w:eastAsia="Arial" w:hAnsi="Arial"/>
          <w:sz w:val="20"/>
          <w:szCs w:val="20"/>
          <w:b w:val="1"/>
          <w:bCs w:val="1"/>
          <w:i w:val="1"/>
          <w:iCs w:val="1"/>
          <w:color w:val="auto"/>
        </w:rPr>
        <w:t>Matter</w:t>
      </w:r>
      <w:r>
        <w:rPr>
          <w:sz w:val="20"/>
          <w:szCs w:val="20"/>
          <w:color w:val="auto"/>
        </w:rPr>
        <w:tab/>
      </w:r>
      <w:r>
        <w:rPr>
          <w:rFonts w:ascii="Arial" w:cs="Arial" w:eastAsia="Arial" w:hAnsi="Arial"/>
          <w:sz w:val="20"/>
          <w:szCs w:val="20"/>
          <w:b w:val="1"/>
          <w:bCs w:val="1"/>
          <w:color w:val="auto"/>
        </w:rPr>
        <w:t>Company recognizes revenue from product sales based on amounts due from customers net of allowances for variable consideration. Variable consideration includes, among others, rebates mandated by law under the Medicaid Drug Rebate Program. The Company includes an estimate of variable consideration in its transaction price at the time of sale, when control of the product transfers to the customer. The Company estimates its Medicaid Drug Rebate Program rebates based on monthly sales, historical experience of claims submitted by the various states and jurisdictions, contractual rebate rates and estimated lag time of the rebate invoices. Medicaid Drug Rebate Program rebate accruals inclusive of estimated amounts payable for claims not yet received or processed are classified as sales allowances and recorded within accrued expenses and other current liabilities on the Company’s consolidated balance sheet. Sales allowances, included within accrued expenses and other current liabilities, were $31.6 million as of December 31, 2025.</w:t>
      </w:r>
    </w:p>
    <w:p>
      <w:pPr>
        <w:spacing w:after="0" w:line="193" w:lineRule="exact"/>
        <w:rPr>
          <w:sz w:val="20"/>
          <w:szCs w:val="20"/>
          <w:color w:val="auto"/>
        </w:rPr>
      </w:pPr>
    </w:p>
    <w:p>
      <w:pPr>
        <w:ind w:left="2240"/>
        <w:spacing w:after="0" w:line="286" w:lineRule="auto"/>
        <w:rPr>
          <w:sz w:val="20"/>
          <w:szCs w:val="20"/>
          <w:color w:val="auto"/>
        </w:rPr>
      </w:pPr>
      <w:r>
        <w:rPr>
          <w:rFonts w:ascii="Arial" w:cs="Arial" w:eastAsia="Arial" w:hAnsi="Arial"/>
          <w:sz w:val="19"/>
          <w:szCs w:val="19"/>
          <w:b w:val="1"/>
          <w:bCs w:val="1"/>
          <w:color w:val="auto"/>
        </w:rPr>
        <w:t>Auditing the allowances for rebates owed pursuant to the Medicaid Drug Rebate Program in the U.S. was complex and judgmental due to the complexity of the government mandated calculations. The allowances for rebates owed pursuant to the Medicaid Drug Rebate Program in the U.S. are sensitive to these calculations.</w:t>
      </w:r>
    </w:p>
    <w:p>
      <w:pPr>
        <w:spacing w:after="0" w:line="196"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1"/>
          <w:szCs w:val="21"/>
          <w:b w:val="1"/>
          <w:bCs w:val="1"/>
          <w:i w:val="1"/>
          <w:iCs w:val="1"/>
          <w:color w:val="auto"/>
        </w:rPr>
        <w:t>How We Addressed</w:t>
      </w:r>
      <w:r>
        <w:rPr>
          <w:sz w:val="20"/>
          <w:szCs w:val="20"/>
          <w:color w:val="auto"/>
        </w:rPr>
        <w:tab/>
      </w:r>
      <w:r>
        <w:rPr>
          <w:rFonts w:ascii="Arial" w:cs="Arial" w:eastAsia="Arial" w:hAnsi="Arial"/>
          <w:sz w:val="19"/>
          <w:szCs w:val="19"/>
          <w:b w:val="1"/>
          <w:bCs w:val="1"/>
          <w:color w:val="auto"/>
        </w:rPr>
        <w:t>We obtained an understanding, evaluated the design and tested the operating</w:t>
      </w:r>
    </w:p>
    <w:p>
      <w:pPr>
        <w:spacing w:after="0" w:line="20"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1"/>
          <w:szCs w:val="21"/>
          <w:b w:val="1"/>
          <w:bCs w:val="1"/>
          <w:i w:val="1"/>
          <w:iCs w:val="1"/>
          <w:color w:val="auto"/>
        </w:rPr>
        <w:t>the Matter in Our</w:t>
      </w:r>
      <w:r>
        <w:rPr>
          <w:sz w:val="20"/>
          <w:szCs w:val="20"/>
          <w:color w:val="auto"/>
        </w:rPr>
        <w:tab/>
      </w:r>
      <w:r>
        <w:rPr>
          <w:rFonts w:ascii="Arial" w:cs="Arial" w:eastAsia="Arial" w:hAnsi="Arial"/>
          <w:sz w:val="19"/>
          <w:szCs w:val="19"/>
          <w:b w:val="1"/>
          <w:bCs w:val="1"/>
          <w:color w:val="auto"/>
        </w:rPr>
        <w:t>effectiveness of controls over the Company’s revenue recognition process,</w:t>
      </w:r>
    </w:p>
    <w:p>
      <w:pPr>
        <w:ind w:left="2240" w:right="100" w:hanging="2199"/>
        <w:spacing w:after="0" w:line="242" w:lineRule="auto"/>
        <w:tabs>
          <w:tab w:leader="none" w:pos="2220" w:val="left"/>
        </w:tabs>
        <w:rPr>
          <w:sz w:val="20"/>
          <w:szCs w:val="20"/>
          <w:color w:val="auto"/>
        </w:rPr>
      </w:pPr>
      <w:r>
        <w:rPr>
          <w:rFonts w:ascii="Arial" w:cs="Arial" w:eastAsia="Arial" w:hAnsi="Arial"/>
          <w:sz w:val="21"/>
          <w:szCs w:val="21"/>
          <w:b w:val="1"/>
          <w:bCs w:val="1"/>
          <w:i w:val="1"/>
          <w:iCs w:val="1"/>
          <w:color w:val="auto"/>
        </w:rPr>
        <w:t>Audit</w:t>
      </w:r>
      <w:r>
        <w:rPr>
          <w:sz w:val="20"/>
          <w:szCs w:val="20"/>
          <w:color w:val="auto"/>
        </w:rPr>
        <w:tab/>
      </w:r>
      <w:r>
        <w:rPr>
          <w:rFonts w:ascii="Arial" w:cs="Arial" w:eastAsia="Arial" w:hAnsi="Arial"/>
          <w:sz w:val="21"/>
          <w:szCs w:val="21"/>
          <w:b w:val="1"/>
          <w:bCs w:val="1"/>
          <w:color w:val="auto"/>
        </w:rPr>
        <w:t>including management’s review control over the computation and review of the allowances for rebates under the Medicaid Drug Rebate Program. We tested the Company’s control to assess the completeness and accuracy of the current and historical data that supports the estimate of the allowance for rebates under the Medicaid Drug Rebate Program, the assumptions related to the inputs utilized as well as management’s review of the application of the government pricing regulations.</w:t>
      </w:r>
    </w:p>
    <w:p>
      <w:pPr>
        <w:spacing w:after="0" w:line="207" w:lineRule="exact"/>
        <w:rPr>
          <w:sz w:val="20"/>
          <w:szCs w:val="20"/>
          <w:color w:val="auto"/>
        </w:rPr>
      </w:pPr>
    </w:p>
    <w:p>
      <w:pPr>
        <w:ind w:left="2240"/>
        <w:spacing w:after="0" w:line="257" w:lineRule="auto"/>
        <w:rPr>
          <w:sz w:val="20"/>
          <w:szCs w:val="20"/>
          <w:color w:val="auto"/>
        </w:rPr>
      </w:pPr>
      <w:r>
        <w:rPr>
          <w:rFonts w:ascii="Arial" w:cs="Arial" w:eastAsia="Arial" w:hAnsi="Arial"/>
          <w:sz w:val="20"/>
          <w:szCs w:val="20"/>
          <w:b w:val="1"/>
          <w:bCs w:val="1"/>
          <w:color w:val="auto"/>
        </w:rPr>
        <w:t>Our audit procedures to test the allowances for rebates owed pursuant to the Medicaid Drug Rebate Program included, among others, procedures to assess the government mandated calculations used to determine the allowance and procedures to test the completeness and accuracy of the underlying data used in the calculations. To test the government mandated calculations used to determine the allowance, we involved our government pricing specialists to assist in evaluating the Company’s methodology and calculations to measure certain estimated rebates. To test the completeness and accuracy of the underlying data used in the government mandated calculations, we compared the data used in the Company’s calculations to underlying sales data.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 Ernst &amp; Young LLP</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 have served as the Company’s auditor since 2015.</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Boston, Massachusetts</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February 26, 2026</w:t>
      </w:r>
    </w:p>
    <w:p>
      <w:pPr>
        <w:sectPr>
          <w:pgSz w:w="12240" w:h="15840" w:orient="portrait"/>
          <w:cols w:equalWidth="0" w:num="1">
            <w:col w:w="9840"/>
          </w:cols>
          <w:pgMar w:left="1180" w:top="91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840"/>
          </w:cols>
          <w:pgMar w:left="1180" w:top="919" w:right="1220" w:bottom="0" w:gutter="0" w:footer="0" w:header="0"/>
          <w:type w:val="continuous"/>
        </w:sectPr>
      </w:pPr>
    </w:p>
    <w:bookmarkStart w:id="149" w:name="page150"/>
    <w:bookmarkEnd w:id="14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5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89,137</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231,428</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0" w:type="dxa"/>
            <w:vAlign w:val="bottom"/>
          </w:tcPr>
          <w:p>
            <w:pPr>
              <w:spacing w:after="0"/>
              <w:rPr>
                <w:sz w:val="1"/>
                <w:szCs w:val="1"/>
                <w:color w:val="auto"/>
              </w:rPr>
            </w:pPr>
          </w:p>
        </w:tc>
      </w:tr>
      <w:tr>
        <w:trPr>
          <w:trHeight w:val="29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0" w:type="dxa"/>
            <w:vAlign w:val="bottom"/>
          </w:tcPr>
          <w:p>
            <w:pPr>
              <w:spacing w:after="0"/>
              <w:rPr>
                <w:sz w:val="1"/>
                <w:szCs w:val="1"/>
                <w:color w:val="auto"/>
              </w:rPr>
            </w:pP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466,916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374,200</w:t>
            </w:r>
          </w:p>
        </w:tc>
        <w:tc>
          <w:tcPr>
            <w:tcW w:w="0" w:type="dxa"/>
            <w:vAlign w:val="bottom"/>
          </w:tcPr>
          <w:p>
            <w:pPr>
              <w:spacing w:after="0"/>
              <w:rPr>
                <w:sz w:val="1"/>
                <w:szCs w:val="1"/>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9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4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62,658</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liability - LG Chem</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royalty obligation, current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9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115,517</w:t>
            </w:r>
          </w:p>
        </w:tc>
        <w:tc>
          <w:tcPr>
            <w:tcW w:w="0" w:type="dxa"/>
            <w:vAlign w:val="bottom"/>
          </w:tcPr>
          <w:p>
            <w:pPr>
              <w:spacing w:after="0"/>
              <w:rPr>
                <w:sz w:val="1"/>
                <w:szCs w:val="1"/>
                <w:color w:val="auto"/>
              </w:rPr>
            </w:pPr>
          </w:p>
        </w:tc>
      </w:tr>
      <w:tr>
        <w:trPr>
          <w:trHeight w:val="26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royalty obligation</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108,269</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9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227,724</w:t>
            </w:r>
          </w:p>
        </w:tc>
        <w:tc>
          <w:tcPr>
            <w:tcW w:w="0" w:type="dxa"/>
            <w:vAlign w:val="bottom"/>
          </w:tcPr>
          <w:p>
            <w:pPr>
              <w:spacing w:after="0"/>
              <w:rPr>
                <w:sz w:val="1"/>
                <w:szCs w:val="1"/>
                <w:color w:val="auto"/>
              </w:rPr>
            </w:pPr>
          </w:p>
        </w:tc>
      </w:tr>
      <w:tr>
        <w:trPr>
          <w:trHeight w:val="26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A convertible preferred stock, $0.001 par value: 150,000 shares authorized; 132,500</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and 150,000 shares issued and outstanding at December 31, 2025 and December 31, 2024,</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respectively. Liquidation preference of $132,500 and $150,000 as of December 31, 2025, and</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142,820</w:t>
            </w:r>
          </w:p>
        </w:tc>
        <w:tc>
          <w:tcPr>
            <w:tcW w:w="0" w:type="dxa"/>
            <w:vAlign w:val="bottom"/>
          </w:tcPr>
          <w:p>
            <w:pPr>
              <w:spacing w:after="0"/>
              <w:rPr>
                <w:sz w:val="1"/>
                <w:szCs w:val="1"/>
                <w:color w:val="auto"/>
              </w:rPr>
            </w:pPr>
          </w:p>
        </w:tc>
      </w:tr>
      <w:tr>
        <w:trPr>
          <w:trHeight w:val="26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$0.001 par value: 120,000,000 shares authorized; 67,205,321 and 62,390,654</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December 31, 2025 and December 31, 2024, respectively</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1,177,045</w:t>
            </w:r>
          </w:p>
        </w:tc>
        <w:tc>
          <w:tcPr>
            <w:tcW w:w="0" w:type="dxa"/>
            <w:vAlign w:val="bottom"/>
          </w:tcPr>
          <w:p>
            <w:pPr>
              <w:spacing w:after="0"/>
              <w:rPr>
                <w:sz w:val="1"/>
                <w:szCs w:val="1"/>
                <w:color w:val="auto"/>
              </w:rPr>
            </w:pPr>
          </w:p>
        </w:tc>
      </w:tr>
      <w:tr>
        <w:trPr>
          <w:trHeight w:val="28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90"/>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(1,351,877)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(1,155,338)</w:t>
            </w:r>
          </w:p>
        </w:tc>
        <w:tc>
          <w:tcPr>
            <w:tcW w:w="0" w:type="dxa"/>
            <w:vAlign w:val="bottom"/>
          </w:tcPr>
          <w:p>
            <w:pPr>
              <w:spacing w:after="0"/>
              <w:rPr>
                <w:sz w:val="1"/>
                <w:szCs w:val="1"/>
                <w:color w:val="auto"/>
              </w:rPr>
            </w:pPr>
          </w:p>
        </w:tc>
      </w:tr>
      <w:tr>
        <w:trPr>
          <w:trHeight w:val="26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0" w:type="dxa"/>
            <w:vAlign w:val="bottom"/>
          </w:tcPr>
          <w:p>
            <w:pPr>
              <w:spacing w:after="0"/>
              <w:rPr>
                <w:sz w:val="1"/>
                <w:szCs w:val="1"/>
                <w:color w:val="auto"/>
              </w:rPr>
            </w:pPr>
          </w:p>
        </w:tc>
      </w:tr>
      <w:tr>
        <w:trPr>
          <w:trHeight w:val="245"/>
        </w:trPr>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-7232015</wp:posOffset>
            </wp:positionV>
            <wp:extent cx="6311900" cy="7239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extLst>
                    </a:blip>
                    <a:srcRect/>
                    <a:stretch>
                      <a:fillRect/>
                    </a:stretch>
                  </pic:blipFill>
                  <pic:spPr bwMode="auto">
                    <a:xfrm>
                      <a:off x="0" y="0"/>
                      <a:ext cx="6311900" cy="7239000"/>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860"/>
          </w:cols>
          <w:pgMar w:left="1220" w:top="831" w:right="1160" w:bottom="0" w:gutter="0" w:footer="0" w:header="0"/>
          <w:type w:val="continuous"/>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Product revenue, net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194,771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77,428</w:t>
            </w:r>
          </w:p>
        </w:tc>
        <w:tc>
          <w:tcPr>
            <w:tcW w:w="0" w:type="dxa"/>
            <w:vAlign w:val="bottom"/>
          </w:tcPr>
          <w:p>
            <w:pPr>
              <w:spacing w:after="0"/>
              <w:rPr>
                <w:sz w:val="1"/>
                <w:szCs w:val="1"/>
                <w:color w:val="auto"/>
              </w:rPr>
            </w:pPr>
          </w:p>
        </w:tc>
      </w:tr>
      <w:tr>
        <w:trPr>
          <w:trHeight w:val="30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License revenue</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revenues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189,757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77,428</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Cost of sales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9,302</w:t>
            </w:r>
          </w:p>
        </w:tc>
        <w:tc>
          <w:tcPr>
            <w:tcW w:w="0" w:type="dxa"/>
            <w:vAlign w:val="bottom"/>
          </w:tcPr>
          <w:p>
            <w:pPr>
              <w:spacing w:after="0"/>
              <w:rPr>
                <w:sz w:val="1"/>
                <w:szCs w:val="1"/>
                <w:color w:val="auto"/>
              </w:rPr>
            </w:pPr>
          </w:p>
        </w:tc>
      </w:tr>
      <w:tr>
        <w:trPr>
          <w:trHeight w:val="30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134,951</w:t>
            </w:r>
          </w:p>
        </w:tc>
        <w:tc>
          <w:tcPr>
            <w:tcW w:w="0" w:type="dxa"/>
            <w:vAlign w:val="bottom"/>
          </w:tcPr>
          <w:p>
            <w:pPr>
              <w:spacing w:after="0"/>
              <w:rPr>
                <w:sz w:val="1"/>
                <w:szCs w:val="1"/>
                <w:color w:val="auto"/>
              </w:rPr>
            </w:pPr>
          </w:p>
        </w:tc>
      </w:tr>
      <w:tr>
        <w:trPr>
          <w:trHeight w:val="30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194,941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144,304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117,532</w:t>
            </w:r>
          </w:p>
        </w:tc>
        <w:tc>
          <w:tcPr>
            <w:tcW w:w="0" w:type="dxa"/>
            <w:vAlign w:val="bottom"/>
          </w:tcPr>
          <w:p>
            <w:pPr>
              <w:spacing w:after="0"/>
              <w:rPr>
                <w:sz w:val="1"/>
                <w:szCs w:val="1"/>
                <w:color w:val="auto"/>
              </w:rPr>
            </w:pPr>
          </w:p>
        </w:tc>
      </w:tr>
      <w:tr>
        <w:trPr>
          <w:trHeight w:val="28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381,773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395,629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261,785</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(184,357)</w:t>
            </w:r>
          </w:p>
        </w:tc>
        <w:tc>
          <w:tcPr>
            <w:tcW w:w="0" w:type="dxa"/>
            <w:vAlign w:val="bottom"/>
          </w:tcPr>
          <w:p>
            <w:pPr>
              <w:spacing w:after="0"/>
              <w:rPr>
                <w:sz w:val="1"/>
                <w:szCs w:val="1"/>
                <w:color w:val="auto"/>
              </w:rPr>
            </w:pPr>
          </w:p>
        </w:tc>
      </w:tr>
      <w:tr>
        <w:trPr>
          <w:trHeight w:val="28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income, net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30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Gain on settlement of forward contract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(13,892)</w:t>
            </w:r>
          </w:p>
        </w:tc>
        <w:tc>
          <w:tcPr>
            <w:tcW w:w="0" w:type="dxa"/>
            <w:vAlign w:val="bottom"/>
          </w:tcPr>
          <w:p>
            <w:pPr>
              <w:spacing w:after="0"/>
              <w:rPr>
                <w:sz w:val="1"/>
                <w:szCs w:val="1"/>
                <w:color w:val="auto"/>
              </w:rPr>
            </w:pPr>
          </w:p>
        </w:tc>
      </w:tr>
      <w:tr>
        <w:trPr>
          <w:trHeight w:val="30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14,711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13,945</w:t>
            </w:r>
          </w:p>
        </w:tc>
        <w:tc>
          <w:tcPr>
            <w:tcW w:w="0" w:type="dxa"/>
            <w:vAlign w:val="bottom"/>
          </w:tcPr>
          <w:p>
            <w:pPr>
              <w:spacing w:after="0"/>
              <w:rPr>
                <w:sz w:val="1"/>
                <w:szCs w:val="1"/>
                <w:color w:val="auto"/>
              </w:rPr>
            </w:pPr>
          </w:p>
        </w:tc>
      </w:tr>
      <w:tr>
        <w:trPr>
          <w:trHeight w:val="28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243</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(260,256)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(184,114)</w:t>
            </w:r>
          </w:p>
        </w:tc>
        <w:tc>
          <w:tcPr>
            <w:tcW w:w="0" w:type="dxa"/>
            <w:vAlign w:val="bottom"/>
          </w:tcPr>
          <w:p>
            <w:pPr>
              <w:spacing w:after="0"/>
              <w:rPr>
                <w:sz w:val="1"/>
                <w:szCs w:val="1"/>
                <w:color w:val="auto"/>
              </w:rPr>
            </w:pP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564</w:t>
            </w:r>
          </w:p>
        </w:tc>
        <w:tc>
          <w:tcPr>
            <w:tcW w:w="0" w:type="dxa"/>
            <w:vAlign w:val="bottom"/>
          </w:tcPr>
          <w:p>
            <w:pPr>
              <w:spacing w:after="0"/>
              <w:rPr>
                <w:sz w:val="1"/>
                <w:szCs w:val="1"/>
                <w:color w:val="auto"/>
              </w:rPr>
            </w:pPr>
          </w:p>
        </w:tc>
      </w:tr>
      <w:tr>
        <w:trPr>
          <w:trHeight w:val="277"/>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(184,678)</w:t>
            </w:r>
          </w:p>
        </w:tc>
        <w:tc>
          <w:tcPr>
            <w:tcW w:w="0" w:type="dxa"/>
            <w:vAlign w:val="bottom"/>
          </w:tcPr>
          <w:p>
            <w:pPr>
              <w:spacing w:after="0"/>
              <w:rPr>
                <w:sz w:val="1"/>
                <w:szCs w:val="1"/>
                <w:color w:val="auto"/>
              </w:rPr>
            </w:pPr>
          </w:p>
        </w:tc>
      </w:tr>
      <w:tr>
        <w:trPr>
          <w:trHeight w:val="30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dividends on convertible preferred stock</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(184,678)</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Weighted-average common shares outstanding,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540" w:type="dxa"/>
            <w:vAlign w:val="bottom"/>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64,984,361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60,995,204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57,673,128</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(184,678)</w:t>
            </w:r>
          </w:p>
        </w:tc>
        <w:tc>
          <w:tcPr>
            <w:tcW w:w="0" w:type="dxa"/>
            <w:vAlign w:val="bottom"/>
          </w:tcPr>
          <w:p>
            <w:pPr>
              <w:spacing w:after="0"/>
              <w:rPr>
                <w:sz w:val="1"/>
                <w:szCs w:val="1"/>
                <w:color w:val="auto"/>
              </w:rPr>
            </w:pPr>
          </w:p>
        </w:tc>
      </w:tr>
      <w:tr>
        <w:trPr>
          <w:trHeight w:val="30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303"/>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Unrealized (loss) gain, net on marketable securities, net of tax</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366</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(264,746)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(184,452)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-5717540</wp:posOffset>
            </wp:positionV>
            <wp:extent cx="6311900" cy="5724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extLst>
                        <a:ext uri="{28A0092B-C50C-407E-A947-70E740481C1C}"/>
                      </a:extLst>
                    </a:blip>
                    <a:srcRect/>
                    <a:stretch>
                      <a:fillRect/>
                    </a:stretch>
                  </pic:blipFill>
                  <pic:spPr bwMode="auto">
                    <a:xfrm>
                      <a:off x="0" y="0"/>
                      <a:ext cx="6311900" cy="572452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860"/>
          </w:cols>
          <w:pgMar w:left="1220" w:top="831" w:right="1160" w:bottom="0" w:gutter="0" w:footer="0" w:header="0"/>
          <w:type w:val="continuous"/>
        </w:sectPr>
      </w:pPr>
    </w:p>
    <w:bookmarkStart w:id="151" w:name="page152"/>
    <w:bookmarkEnd w:id="15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CONVERTIBLE PREFERRED STOCK &amp; STOCKHOLDERS' EQUITY</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205105</wp:posOffset>
            </wp:positionV>
            <wp:extent cx="8597900" cy="5064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9">
                      <a:extLst>
                        <a:ext uri="{28A0092B-C50C-407E-A947-70E740481C1C}"/>
                      </a:extLst>
                    </a:blip>
                    <a:srcRect/>
                    <a:stretch>
                      <a:fillRect/>
                    </a:stretch>
                  </pic:blipFill>
                  <pic:spPr bwMode="auto">
                    <a:xfrm>
                      <a:off x="0" y="0"/>
                      <a:ext cx="8597900" cy="506412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Series A Convertible</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2"/>
                <w:szCs w:val="12"/>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920" w:type="dxa"/>
            <w:vAlign w:val="bottom"/>
            <w:gridSpan w:val="7"/>
            <w:vMerge w:val="continue"/>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restart"/>
          </w:tcPr>
          <w:p>
            <w:pPr>
              <w:jc w:val="center"/>
              <w:ind w:right="240"/>
              <w:spacing w:after="0" w:line="137"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restart"/>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92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6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5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gridSpan w:val="7"/>
            <w:vMerge w:val="continue"/>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3"/>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5"/>
                <w:szCs w:val="5"/>
                <w:color w:val="auto"/>
              </w:rPr>
            </w:pPr>
          </w:p>
        </w:tc>
        <w:tc>
          <w:tcPr>
            <w:tcW w:w="1080" w:type="dxa"/>
            <w:vAlign w:val="bottom"/>
            <w:gridSpan w:val="3"/>
            <w:vMerge w:val="restart"/>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60" w:type="dxa"/>
            <w:vAlign w:val="bottom"/>
          </w:tcPr>
          <w:p>
            <w:pPr>
              <w:spacing w:after="0"/>
              <w:rPr>
                <w:sz w:val="5"/>
                <w:szCs w:val="5"/>
                <w:color w:val="auto"/>
              </w:rPr>
            </w:pPr>
          </w:p>
        </w:tc>
        <w:tc>
          <w:tcPr>
            <w:tcW w:w="900" w:type="dxa"/>
            <w:vAlign w:val="bottom"/>
            <w:gridSpan w:val="3"/>
            <w:vMerge w:val="restart"/>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860" w:type="dxa"/>
            <w:vAlign w:val="bottom"/>
            <w:gridSpan w:val="2"/>
            <w:vMerge w:val="restart"/>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52"/>
        </w:trPr>
        <w:tc>
          <w:tcPr>
            <w:tcW w:w="56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3"/>
                <w:szCs w:val="13"/>
                <w:color w:val="auto"/>
              </w:rPr>
            </w:pPr>
          </w:p>
        </w:tc>
        <w:tc>
          <w:tcPr>
            <w:tcW w:w="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3"/>
                <w:szCs w:val="13"/>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40" w:type="dxa"/>
            <w:vAlign w:val="bottom"/>
          </w:tcPr>
          <w:p>
            <w:pPr>
              <w:spacing w:after="0"/>
              <w:rPr>
                <w:sz w:val="13"/>
                <w:szCs w:val="13"/>
                <w:color w:val="auto"/>
              </w:rPr>
            </w:pPr>
          </w:p>
        </w:tc>
        <w:tc>
          <w:tcPr>
            <w:tcW w:w="7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56,612,429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974,356</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(710,058)</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264,262</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32,553</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32,553</w:t>
            </w:r>
          </w:p>
        </w:tc>
        <w:tc>
          <w:tcPr>
            <w:tcW w:w="0" w:type="dxa"/>
            <w:vAlign w:val="bottom"/>
          </w:tcPr>
          <w:p>
            <w:pPr>
              <w:spacing w:after="0"/>
              <w:rPr>
                <w:sz w:val="1"/>
                <w:szCs w:val="1"/>
                <w:color w:val="auto"/>
              </w:rPr>
            </w:pPr>
          </w:p>
        </w:tc>
      </w:tr>
      <w:tr>
        <w:trPr>
          <w:trHeight w:val="221"/>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ESPP</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exercise of stock options and vesting of restricted stock units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745,066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7,468</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upon completion of ATM equity offering, net of offering costs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2,019,245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48,875</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unrealized gain on marketable securities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(184,678)</w:t>
            </w:r>
          </w:p>
        </w:tc>
        <w:tc>
          <w:tcPr>
            <w:tcW w:w="0" w:type="dxa"/>
            <w:vAlign w:val="bottom"/>
          </w:tcPr>
          <w:p>
            <w:pPr>
              <w:spacing w:after="0"/>
              <w:rPr>
                <w:sz w:val="1"/>
                <w:szCs w:val="1"/>
                <w:color w:val="auto"/>
              </w:rPr>
            </w:pPr>
          </w:p>
        </w:tc>
      </w:tr>
      <w:tr>
        <w:trPr>
          <w:trHeight w:val="34"/>
        </w:trPr>
        <w:tc>
          <w:tcPr>
            <w:tcW w:w="5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59,426,559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1,064,302</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(894,736)</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169,759</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Series A Preferred Stock, net of $2.3 million of issuance costs</w:t>
            </w:r>
          </w:p>
        </w:tc>
        <w:tc>
          <w:tcPr>
            <w:tcW w:w="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138,850</w:t>
            </w:r>
          </w:p>
        </w:tc>
        <w:tc>
          <w:tcPr>
            <w:tcW w:w="60" w:type="dxa"/>
            <w:vAlign w:val="bottom"/>
            <w:tcBorders>
              <w:righ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1"/>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39,682</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ESPP</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exercise of stock options and vesting of restricted stock units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1,742,803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15,974</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as consideration for LGC license</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432,143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18,716</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upon completion of ATM equity offering, net of $1.1 million offering costs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744,595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41,073</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Accretion of preferred stock dividends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3,970</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unrealized loss on marketable securities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(260,602)</w:t>
            </w:r>
          </w:p>
        </w:tc>
        <w:tc>
          <w:tcPr>
            <w:tcW w:w="0" w:type="dxa"/>
            <w:vAlign w:val="bottom"/>
          </w:tcPr>
          <w:p>
            <w:pPr>
              <w:spacing w:after="0"/>
              <w:rPr>
                <w:sz w:val="1"/>
                <w:szCs w:val="1"/>
                <w:color w:val="auto"/>
              </w:rPr>
            </w:pPr>
          </w:p>
        </w:tc>
      </w:tr>
      <w:tr>
        <w:trPr>
          <w:trHeight w:val="34"/>
        </w:trPr>
        <w:tc>
          <w:tcPr>
            <w:tcW w:w="5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142,820</w:t>
            </w:r>
          </w:p>
        </w:tc>
        <w:tc>
          <w:tcPr>
            <w:tcW w:w="6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62,390,654</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1,177,045</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(1,155,338)</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21,729</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66,818</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66,818</w:t>
            </w:r>
          </w:p>
        </w:tc>
        <w:tc>
          <w:tcPr>
            <w:tcW w:w="0" w:type="dxa"/>
            <w:vAlign w:val="bottom"/>
          </w:tcPr>
          <w:p>
            <w:pPr>
              <w:spacing w:after="0"/>
              <w:rPr>
                <w:sz w:val="1"/>
                <w:szCs w:val="1"/>
                <w:color w:val="auto"/>
              </w:rPr>
            </w:pPr>
          </w:p>
        </w:tc>
      </w:tr>
      <w:tr>
        <w:trPr>
          <w:trHeight w:val="221"/>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ESPP</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in connection with exercise of stock options and vesting of restricted stock units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1,457,414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13,604</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upon completion of public offering, net of offering costs of $12.6 million</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2,367,647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188,657</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 upon completion of ATM equity offering, net of $0.7 million of offering costs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587,510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32,109</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Accretion of preferred stock dividends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5,378</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(5,378)</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Conversion of Series A preferred stock redeemable to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(17,241)</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364,582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17,242</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unrealized gain on marketable securities</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225"/>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(196,539)</w:t>
            </w:r>
          </w:p>
        </w:tc>
        <w:tc>
          <w:tcPr>
            <w:tcW w:w="0" w:type="dxa"/>
            <w:vAlign w:val="bottom"/>
          </w:tcPr>
          <w:p>
            <w:pPr>
              <w:spacing w:after="0"/>
              <w:rPr>
                <w:sz w:val="1"/>
                <w:szCs w:val="1"/>
                <w:color w:val="auto"/>
              </w:rPr>
            </w:pPr>
          </w:p>
        </w:tc>
      </w:tr>
      <w:tr>
        <w:trPr>
          <w:trHeight w:val="34"/>
        </w:trPr>
        <w:tc>
          <w:tcPr>
            <w:tcW w:w="5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130,957</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67,205,321</w:t>
            </w:r>
          </w:p>
        </w:tc>
        <w:tc>
          <w:tcPr>
            <w:tcW w:w="76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1,491,675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(1,351,877)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139,069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3578225</wp:posOffset>
                </wp:positionH>
                <wp:positionV relativeFrom="paragraph">
                  <wp:posOffset>-4591050</wp:posOffset>
                </wp:positionV>
                <wp:extent cx="11811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361.4999pt" to="374.75pt,-3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-4591050</wp:posOffset>
                </wp:positionV>
                <wp:extent cx="118745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361.4999pt" to="470.75pt,-3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3578225</wp:posOffset>
                </wp:positionH>
                <wp:positionV relativeFrom="paragraph">
                  <wp:posOffset>-4448175</wp:posOffset>
                </wp:positionV>
                <wp:extent cx="5715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350.2499pt" to="326.7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4187825</wp:posOffset>
                </wp:positionH>
                <wp:positionV relativeFrom="paragraph">
                  <wp:posOffset>-4448175</wp:posOffset>
                </wp:positionV>
                <wp:extent cx="5715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75pt,-350.2499pt" to="374.7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-4448175</wp:posOffset>
                </wp:positionV>
                <wp:extent cx="57785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350.2499pt" to="422.7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5407025</wp:posOffset>
                </wp:positionH>
                <wp:positionV relativeFrom="paragraph">
                  <wp:posOffset>-4448175</wp:posOffset>
                </wp:positionV>
                <wp:extent cx="5715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75pt,-350.2499pt" to="470.7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6016625</wp:posOffset>
                </wp:positionH>
                <wp:positionV relativeFrom="paragraph">
                  <wp:posOffset>-4448175</wp:posOffset>
                </wp:positionV>
                <wp:extent cx="5715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75pt,-350.2499pt" to="518.7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6626225</wp:posOffset>
                </wp:positionH>
                <wp:positionV relativeFrom="paragraph">
                  <wp:posOffset>-4448175</wp:posOffset>
                </wp:positionV>
                <wp:extent cx="6953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75pt,-350.2499pt" to="576.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7359650</wp:posOffset>
                </wp:positionH>
                <wp:positionV relativeFrom="paragraph">
                  <wp:posOffset>-4448175</wp:posOffset>
                </wp:positionV>
                <wp:extent cx="5715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5pt,-350.2499pt" to="624.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7969250</wp:posOffset>
                </wp:positionH>
                <wp:positionV relativeFrom="paragraph">
                  <wp:posOffset>-4448175</wp:posOffset>
                </wp:positionV>
                <wp:extent cx="5715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350.2499pt" to="672.5pt,-35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3578225</wp:posOffset>
                </wp:positionH>
                <wp:positionV relativeFrom="paragraph">
                  <wp:posOffset>-3305175</wp:posOffset>
                </wp:positionV>
                <wp:extent cx="5715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260.2499pt" to="326.7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4187825</wp:posOffset>
                </wp:positionH>
                <wp:positionV relativeFrom="paragraph">
                  <wp:posOffset>-3305175</wp:posOffset>
                </wp:positionV>
                <wp:extent cx="5715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75pt,-260.2499pt" to="374.7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-3305175</wp:posOffset>
                </wp:positionV>
                <wp:extent cx="57785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260.2499pt" to="422.7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5407025</wp:posOffset>
                </wp:positionH>
                <wp:positionV relativeFrom="paragraph">
                  <wp:posOffset>-3305175</wp:posOffset>
                </wp:positionV>
                <wp:extent cx="5715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75pt,-260.2499pt" to="470.7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6016625</wp:posOffset>
                </wp:positionH>
                <wp:positionV relativeFrom="paragraph">
                  <wp:posOffset>-3305175</wp:posOffset>
                </wp:positionV>
                <wp:extent cx="5715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75pt,-260.2499pt" to="518.7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6626225</wp:posOffset>
                </wp:positionH>
                <wp:positionV relativeFrom="paragraph">
                  <wp:posOffset>-3305175</wp:posOffset>
                </wp:positionV>
                <wp:extent cx="69532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75pt,-260.2499pt" to="576.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7359650</wp:posOffset>
                </wp:positionH>
                <wp:positionV relativeFrom="paragraph">
                  <wp:posOffset>-3305175</wp:posOffset>
                </wp:positionV>
                <wp:extent cx="5715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5pt,-260.2499pt" to="624.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7969250</wp:posOffset>
                </wp:positionH>
                <wp:positionV relativeFrom="paragraph">
                  <wp:posOffset>-3305175</wp:posOffset>
                </wp:positionV>
                <wp:extent cx="5715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260.2499pt" to="672.5pt,-26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3578225</wp:posOffset>
                </wp:positionH>
                <wp:positionV relativeFrom="paragraph">
                  <wp:posOffset>-1733550</wp:posOffset>
                </wp:positionV>
                <wp:extent cx="5715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136.4999pt" to="326.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4187825</wp:posOffset>
                </wp:positionH>
                <wp:positionV relativeFrom="paragraph">
                  <wp:posOffset>-1733550</wp:posOffset>
                </wp:positionV>
                <wp:extent cx="5715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75pt,-136.4999pt" to="374.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-1733550</wp:posOffset>
                </wp:positionV>
                <wp:extent cx="57785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136.4999pt" to="422.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5407025</wp:posOffset>
                </wp:positionH>
                <wp:positionV relativeFrom="paragraph">
                  <wp:posOffset>-1733550</wp:posOffset>
                </wp:positionV>
                <wp:extent cx="5715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75pt,-136.4999pt" to="470.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6016625</wp:posOffset>
                </wp:positionH>
                <wp:positionV relativeFrom="paragraph">
                  <wp:posOffset>-1733550</wp:posOffset>
                </wp:positionV>
                <wp:extent cx="5715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75pt,-136.4999pt" to="518.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6626225</wp:posOffset>
                </wp:positionH>
                <wp:positionV relativeFrom="paragraph">
                  <wp:posOffset>-1733550</wp:posOffset>
                </wp:positionV>
                <wp:extent cx="13049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4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75pt,-136.4999pt" to="624.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7969250</wp:posOffset>
                </wp:positionH>
                <wp:positionV relativeFrom="paragraph">
                  <wp:posOffset>-1733550</wp:posOffset>
                </wp:positionV>
                <wp:extent cx="5715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136.4999pt" to="672.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3578225</wp:posOffset>
                </wp:positionH>
                <wp:positionV relativeFrom="paragraph">
                  <wp:posOffset>-161925</wp:posOffset>
                </wp:positionV>
                <wp:extent cx="5715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12.7499pt" to="326.7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4187825</wp:posOffset>
                </wp:positionH>
                <wp:positionV relativeFrom="paragraph">
                  <wp:posOffset>-161925</wp:posOffset>
                </wp:positionV>
                <wp:extent cx="5715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75pt,-12.7499pt" to="374.7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4791075</wp:posOffset>
                </wp:positionH>
                <wp:positionV relativeFrom="paragraph">
                  <wp:posOffset>-161925</wp:posOffset>
                </wp:positionV>
                <wp:extent cx="57785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25pt,-12.7499pt" to="422.7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5407025</wp:posOffset>
                </wp:positionH>
                <wp:positionV relativeFrom="paragraph">
                  <wp:posOffset>-161925</wp:posOffset>
                </wp:positionV>
                <wp:extent cx="5715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75pt,-12.7499pt" to="470.7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6016625</wp:posOffset>
                </wp:positionH>
                <wp:positionV relativeFrom="paragraph">
                  <wp:posOffset>-161925</wp:posOffset>
                </wp:positionV>
                <wp:extent cx="5715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75pt,-12.7499pt" to="518.7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6626225</wp:posOffset>
                </wp:positionH>
                <wp:positionV relativeFrom="paragraph">
                  <wp:posOffset>-161925</wp:posOffset>
                </wp:positionV>
                <wp:extent cx="13049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4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75pt,-12.7499pt" to="624.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7969250</wp:posOffset>
                </wp:positionH>
                <wp:positionV relativeFrom="paragraph">
                  <wp:posOffset>-161925</wp:posOffset>
                </wp:positionV>
                <wp:extent cx="5715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12.7499pt" to="672.5pt,-12.7499pt" o:allowincell="f" strokecolor="#000000" strokeweight="0pt"/>
            </w:pict>
          </mc:Fallback>
        </mc:AlternateContent>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5840" w:h="12240" w:orient="landscape"/>
          <w:cols w:equalWidth="0" w:num="1">
            <w:col w:w="13460"/>
          </w:cols>
          <w:pgMar w:left="1220" w:top="79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F-7</w:t>
      </w:r>
    </w:p>
    <w:p>
      <w:pPr>
        <w:sectPr>
          <w:pgSz w:w="15840" w:h="12240" w:orient="landscape"/>
          <w:cols w:equalWidth="0" w:num="1">
            <w:col w:w="13460"/>
          </w:cols>
          <w:pgMar w:left="1220" w:top="797" w:right="1160" w:bottom="0" w:gutter="0" w:footer="0" w:header="0"/>
          <w:type w:val="continuous"/>
        </w:sectPr>
      </w:pPr>
    </w:p>
    <w:bookmarkStart w:id="152" w:name="page153"/>
    <w:bookmarkEnd w:id="15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Operating activities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3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(196,539)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(260,602)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(184,678)</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32,553</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1,758</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Non-cash interest expense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20,584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13,360</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Non-cash accretion &amp; amortization of short-term investments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(8,165)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(9,835)</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Non-cash rent expense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w:t>
            </w:r>
          </w:p>
        </w:tc>
        <w:tc>
          <w:tcPr>
            <w:tcW w:w="0" w:type="dxa"/>
            <w:vAlign w:val="bottom"/>
          </w:tcPr>
          <w:p>
            <w:pPr>
              <w:spacing w:after="0"/>
              <w:rPr>
                <w:sz w:val="1"/>
                <w:szCs w:val="1"/>
                <w:color w:val="auto"/>
              </w:rPr>
            </w:pPr>
          </w:p>
        </w:tc>
      </w:tr>
      <w:tr>
        <w:trPr>
          <w:trHeight w:val="28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Change in fair value of embedded derivative liability</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Gain on settlement of forward contract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Acquired IPR&amp;D assets classified as investing activities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92,385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5,667</w:t>
            </w:r>
          </w:p>
        </w:tc>
        <w:tc>
          <w:tcPr>
            <w:tcW w:w="0" w:type="dxa"/>
            <w:vAlign w:val="bottom"/>
          </w:tcPr>
          <w:p>
            <w:pPr>
              <w:spacing w:after="0"/>
              <w:rPr>
                <w:sz w:val="1"/>
                <w:szCs w:val="1"/>
                <w:color w:val="auto"/>
              </w:rPr>
            </w:pPr>
          </w:p>
        </w:tc>
      </w:tr>
      <w:tr>
        <w:trPr>
          <w:trHeight w:val="278"/>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non-cash items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2"/>
        </w:trPr>
        <w:tc>
          <w:tcPr>
            <w:tcW w:w="5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Accounts receivable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(7,570)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(8,643)</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Inventory</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(5,707)</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(6,327)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2,876</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Deferred revenue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long-term assets, net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7,943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1,656</w:t>
            </w:r>
          </w:p>
        </w:tc>
        <w:tc>
          <w:tcPr>
            <w:tcW w:w="0" w:type="dxa"/>
            <w:vAlign w:val="bottom"/>
          </w:tcPr>
          <w:p>
            <w:pPr>
              <w:spacing w:after="0"/>
              <w:rPr>
                <w:sz w:val="1"/>
                <w:szCs w:val="1"/>
                <w:color w:val="auto"/>
              </w:rPr>
            </w:pPr>
          </w:p>
        </w:tc>
      </w:tr>
      <w:tr>
        <w:trPr>
          <w:trHeight w:val="258"/>
        </w:trPr>
        <w:tc>
          <w:tcPr>
            <w:tcW w:w="58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Accounts payable, accrued expenses and other liabilities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21,892</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21,918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14,773</w:t>
            </w:r>
          </w:p>
        </w:tc>
        <w:tc>
          <w:tcPr>
            <w:tcW w:w="0" w:type="dxa"/>
            <w:vAlign w:val="bottom"/>
          </w:tcPr>
          <w:p>
            <w:pPr>
              <w:spacing w:after="0"/>
              <w:rPr>
                <w:sz w:val="1"/>
                <w:szCs w:val="1"/>
                <w:color w:val="auto"/>
              </w:rPr>
            </w:pPr>
          </w:p>
        </w:tc>
      </w:tr>
      <w:tr>
        <w:trPr>
          <w:trHeight w:val="235"/>
        </w:trPr>
        <w:tc>
          <w:tcPr>
            <w:tcW w:w="58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(115,675)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(113,879)</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(136,157)</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Investing activities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short-term investments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(348,669)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(268,313)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(354,918)</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Maturities of short-term investments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252,469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260,640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354,967</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Acquisition of IPR&amp;D assets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(40,000)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(40,500)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(5,667)</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235"/>
        </w:trPr>
        <w:tc>
          <w:tcPr>
            <w:tcW w:w="58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(137,153)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(48,173)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(5,665)</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Financing activities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Repayment of deferred royalty obligation</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(19,917)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(7,398)</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issuance of common stock upon completion of public</w:t>
            </w: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188,657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9"/>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offering, net of offering costs</w:t>
            </w:r>
          </w:p>
        </w:tc>
        <w:tc>
          <w:tcPr>
            <w:tcW w:w="3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the exercise of stock options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15,976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7,468</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issuance of common stock from ESPP</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1,053</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Net proceeds from issuance of common stock</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34,035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39,146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48,875</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royalty financing agreement, net of issuance costs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24,370</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Gain on settlement of forward contract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Series A Preferred Stock, net of issuance costs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138,850</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5"/>
        </w:trPr>
        <w:tc>
          <w:tcPr>
            <w:tcW w:w="58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217,963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191,242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74,368</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Effect of exchange rates on cash</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(34,778)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29,192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(67,596)</w:t>
            </w: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beginning of period</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89,601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60,409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128,005</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end of period</w:t>
            </w:r>
          </w:p>
        </w:tc>
        <w:tc>
          <w:tcPr>
            <w:tcW w:w="3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54,823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89,601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60,409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-6698615</wp:posOffset>
            </wp:positionV>
            <wp:extent cx="6311900" cy="73596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0">
                      <a:extLst>
                        <a:ext uri="{28A0092B-C50C-407E-A947-70E740481C1C}"/>
                      </a:extLst>
                    </a:blip>
                    <a:srcRect/>
                    <a:stretch>
                      <a:fillRect/>
                    </a:stretch>
                  </pic:blipFill>
                  <pic:spPr bwMode="auto">
                    <a:xfrm>
                      <a:off x="0" y="0"/>
                      <a:ext cx="6311900" cy="73596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Supplemental disclosure of non-cash investing and financing activities: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liability issued in exchange for the acquisition of IPR&amp;D</w:t>
            </w:r>
          </w:p>
        </w:tc>
        <w:tc>
          <w:tcPr>
            <w:tcW w:w="5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33,669</w:t>
            </w:r>
          </w:p>
        </w:tc>
        <w:tc>
          <w:tcPr>
            <w:tcW w:w="640" w:type="dxa"/>
            <w:vAlign w:val="bottom"/>
          </w:tcPr>
          <w:p>
            <w:pPr>
              <w:jc w:val="right"/>
              <w:ind w:right="34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9"/>
                <w:szCs w:val="19"/>
                <w:color w:val="auto"/>
                <w:w w:val="94"/>
              </w:rPr>
              <w:t>—</w:t>
            </w:r>
          </w:p>
        </w:tc>
      </w:tr>
      <w:tr>
        <w:trPr>
          <w:trHeight w:val="255"/>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in exchange for IPR&amp;D</w:t>
            </w:r>
          </w:p>
        </w:tc>
        <w:tc>
          <w:tcPr>
            <w:tcW w:w="5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18,716</w:t>
            </w:r>
          </w:p>
        </w:tc>
        <w:tc>
          <w:tcPr>
            <w:tcW w:w="640" w:type="dxa"/>
            <w:vAlign w:val="bottom"/>
          </w:tcPr>
          <w:p>
            <w:pPr>
              <w:jc w:val="right"/>
              <w:ind w:right="34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9"/>
                <w:szCs w:val="19"/>
                <w:color w:val="auto"/>
                <w:w w:val="94"/>
              </w:rPr>
              <w:t>—</w:t>
            </w:r>
          </w:p>
        </w:tc>
      </w:tr>
      <w:tr>
        <w:trPr>
          <w:trHeight w:val="26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Accretion of preferred stock dividends</w:t>
            </w:r>
          </w:p>
        </w:tc>
        <w:tc>
          <w:tcPr>
            <w:tcW w:w="5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5,378</w:t>
            </w: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3,970</w:t>
            </w:r>
          </w:p>
        </w:tc>
        <w:tc>
          <w:tcPr>
            <w:tcW w:w="640" w:type="dxa"/>
            <w:vAlign w:val="bottom"/>
          </w:tcPr>
          <w:p>
            <w:pPr>
              <w:jc w:val="right"/>
              <w:ind w:right="345"/>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9"/>
                <w:szCs w:val="19"/>
                <w:color w:val="auto"/>
                <w:w w:val="94"/>
              </w:rPr>
              <w:t>—</w:t>
            </w:r>
          </w:p>
        </w:tc>
      </w:tr>
    </w:tbl>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860"/>
          </w:cols>
          <w:pgMar w:left="1220" w:top="831" w:right="1160" w:bottom="0" w:gutter="0" w:footer="0" w:header="0"/>
          <w:type w:val="continuous"/>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Rhythm Pharmaceuticals,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b w:val="1"/>
          <w:bCs w:val="1"/>
          <w:color w:val="auto"/>
        </w:rPr>
        <w:t>(In millions, except share and per share information or as otherwise noted)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w:t>
      </w:r>
    </w:p>
    <w:p>
      <w:pPr>
        <w:spacing w:after="0" w:line="24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19"/>
          <w:szCs w:val="19"/>
          <w:color w:val="auto"/>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 (setmelanotide), as a precision medicine designed to treat hyperphagia and severe obesity caused by MC4R pathway diseases. While obesity affects hundreds of millions of people worldwide, we are developing therapies for a subset of individuals who have hyperphagia, a pathological hunger,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or authorized in the United States, European Union (EU), Great Britain, Canada and other countries and regions</w:t>
      </w:r>
      <w:r>
        <w:rPr>
          <w:rFonts w:ascii="Times New Roman" w:cs="Times New Roman" w:eastAsia="Times New Roman" w:hAnsi="Times New Roman"/>
          <w:sz w:val="24"/>
          <w:szCs w:val="24"/>
          <w:color w:val="auto"/>
        </w:rPr>
        <w:t>.</w:t>
      </w:r>
    </w:p>
    <w:p>
      <w:pPr>
        <w:spacing w:after="0" w:line="22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is a Delaware corporation organized in February 2013 under the name Rhythm Metabolic, Inc., and as of October 2015, under the name Rhythm Pharmaceuticals, Inc. The Company has wholly owned subsidiaries in the US, the United Kingdom, the Netherlands, France, Germany, Italy, Spain, Switzerland, Japan and Canada.</w:t>
      </w:r>
    </w:p>
    <w:p>
      <w:pPr>
        <w:spacing w:after="0" w:line="197" w:lineRule="exact"/>
        <w:rPr>
          <w:sz w:val="20"/>
          <w:szCs w:val="20"/>
          <w:color w:val="auto"/>
        </w:rPr>
      </w:pPr>
    </w:p>
    <w:p>
      <w:pPr>
        <w:jc w:val="both"/>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Company has incurred operating losses and negative cash flows from operations since inception, and expects operating losses to continue for the foreseeable future. As of December 31, 2025, the Company had an accumulated deficit of $1.4 billion. The Company has primarily funded these losses through the proceeds from the sales of our common stock and preferred stock, asset sales, royalty financing, out-license arrangements, as well as capital contributions received from the former parent company, Rhythm Holdings LLC. The Company has devoted substantially all of its resources to its drug development efforts, comprising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continue to develop its product candidates and ultimately upon its ability to attain profitable operations.</w:t>
      </w:r>
    </w:p>
    <w:p>
      <w:pPr>
        <w:spacing w:after="0" w:line="211"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At December 31, 2025, the Company had $388.9 million of cash and cash equivalents and short-term investments on hand. In the future, the Company will be dependent on obtaining funding from third parties, such as proceeds from the issuance of debt, sale of equity, proceeds from out-license arrangements, revenue and revenue growth, and funded research and development programs to maintain the Company's operations and meet the Company's obligations. There is no guarantee that additional equity or other financings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through at least the next twelve months from the filing of this Annual Report on Form 10-K with the SEC.</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900"/>
          </w:cols>
          <w:pgMar w:left="1180" w:top="831" w:right="116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in conformity with accounting principles generally accepted in the United States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but are not limited to,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4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Rhythm Pharmaceuticals, Inc. and its wholly-owned subsidiaries. All significant intercompany balances and transactions have been eliminated in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49"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year ended December 31, 2025.</w:t>
      </w:r>
    </w:p>
    <w:p>
      <w:pPr>
        <w:spacing w:after="0" w:line="202"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 Segment Reporting (Topic 280) – </w:t>
      </w:r>
      <w:r>
        <w:rPr>
          <w:rFonts w:ascii="Times New Roman" w:cs="Times New Roman" w:eastAsia="Times New Roman" w:hAnsi="Times New Roman"/>
          <w:sz w:val="20"/>
          <w:szCs w:val="20"/>
          <w:b w:val="1"/>
          <w:bCs w:val="1"/>
          <w:i w:val="1"/>
          <w:iCs w:val="1"/>
          <w:color w:val="auto"/>
        </w:rPr>
        <w:t>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Reportable Segment Disclosures</w:t>
      </w:r>
      <w:r>
        <w:rPr>
          <w:rFonts w:ascii="Times New Roman" w:cs="Times New Roman" w:eastAsia="Times New Roman" w:hAnsi="Times New Roman"/>
          <w:sz w:val="20"/>
          <w:szCs w:val="20"/>
          <w:color w:val="auto"/>
        </w:rPr>
        <w:t>, which improves segment disclosure requirements, primarily through enhanced disclosure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Risk and Concentrations of Credit Risk</w:t>
      </w:r>
    </w:p>
    <w:p>
      <w:pPr>
        <w:spacing w:after="0" w:line="24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spacing w:after="0" w:line="206"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Company is exposed to risks associated with extending credit to customers related to the sale of products. The Company does not require collateral to secure amounts due from its customers. For the years ended December 31, 2025 and 2024, approximately 69% and 74%, respectively, of all of the Company’s revenue was generated from a single customer in the United States. Additionally, a single international customer also generated approximately 10% of the Company's revenue during the year ended December 31, 2025. As of December 31, 2025 and 2024, approximately 56% and 67%, respectively, of the Company’s accounts receivable was outstanding from a single customer in the United States.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900"/>
          </w:cols>
          <w:pgMar w:left="1180" w:top="831" w:right="1160" w:bottom="0" w:gutter="0" w:footer="0" w:header="0"/>
          <w:type w:val="continuous"/>
        </w:sectPr>
      </w:pPr>
    </w:p>
    <w:bookmarkStart w:id="155" w:name="page156"/>
    <w:bookmarkEnd w:id="155"/>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relies on third-party manufacturers and suppliers for manufacturing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spacing w:after="0" w:line="202"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Company relies on separate third parties to perform genetic testing in the United States and Europe, respectively. The inability of the vendor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Investments</w:t>
      </w:r>
    </w:p>
    <w:p>
      <w:pPr>
        <w:spacing w:after="0" w:line="249" w:lineRule="exact"/>
        <w:rPr>
          <w:sz w:val="20"/>
          <w:szCs w:val="20"/>
          <w:color w:val="auto"/>
        </w:rPr>
      </w:pPr>
    </w:p>
    <w:p>
      <w:pPr>
        <w:jc w:val="both"/>
        <w:ind w:right="20" w:firstLine="720"/>
        <w:spacing w:after="0" w:line="242" w:lineRule="auto"/>
        <w:rPr>
          <w:sz w:val="20"/>
          <w:szCs w:val="20"/>
          <w:color w:val="auto"/>
        </w:rPr>
      </w:pPr>
      <w:r>
        <w:rPr>
          <w:rFonts w:ascii="Times New Roman" w:cs="Times New Roman" w:eastAsia="Times New Roman" w:hAnsi="Times New Roman"/>
          <w:sz w:val="20"/>
          <w:szCs w:val="20"/>
          <w:color w:val="auto"/>
        </w:rPr>
        <w:t>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available-for-sale. Accordingly, these investments are recorded at fair value, 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years ended December 31, 2025, 2024, and 2023, the Company did not recognize any credit losses related to its available-for-sale debt securities. Further, as of December 31, 2025 and 2024, the Company did not record an allowance for credit losses related to its available-for-sale debt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Restricted cash consists of security deposits in the form of letters of credit placed in separate restricted bank accounts as required under the terms of the Company’s lease arrangement for its corporate office in Boston, Massachusetts and the Company’s corporate travel credit card.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249" w:lineRule="exact"/>
        <w:rPr>
          <w:sz w:val="20"/>
          <w:szCs w:val="20"/>
          <w:color w:val="auto"/>
        </w:rPr>
      </w:pPr>
    </w:p>
    <w:p>
      <w:pPr>
        <w:jc w:val="both"/>
        <w:ind w:right="20" w:firstLine="720"/>
        <w:spacing w:after="0" w:line="244" w:lineRule="auto"/>
        <w:rPr>
          <w:sz w:val="20"/>
          <w:szCs w:val="20"/>
          <w:color w:val="auto"/>
        </w:rPr>
      </w:pPr>
      <w:r>
        <w:rPr>
          <w:rFonts w:ascii="Times New Roman" w:cs="Times New Roman" w:eastAsia="Times New Roman" w:hAnsi="Times New Roman"/>
          <w:sz w:val="20"/>
          <w:szCs w:val="20"/>
          <w:color w:val="auto"/>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material credit losses. The Company's contracts with its customers have customary payment terms that generally require payment within 90 days. The Company analyzes amounts that are past due for collectability, and periodically evaluates the creditworthiness of its customer. At December 31, 2025 and 2024, the Company determined an allowance for doubtful account was not required based upon its review of contractual payments and its customer payment histories.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5" w:lineRule="exact"/>
        <w:rPr>
          <w:sz w:val="20"/>
          <w:szCs w:val="20"/>
          <w:color w:val="auto"/>
        </w:rPr>
      </w:pPr>
    </w:p>
    <w:p>
      <w:pPr>
        <w:jc w:val="both"/>
        <w:ind w:right="20" w:firstLine="720"/>
        <w:spacing w:after="0" w:line="251"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ASC Topic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900"/>
          </w:cols>
          <w:pgMar w:left="1180" w:top="838"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p>
      <w:pPr>
        <w:spacing w:after="0" w:line="244" w:lineRule="exact"/>
        <w:rPr>
          <w:sz w:val="20"/>
          <w:szCs w:val="20"/>
          <w:color w:val="auto"/>
        </w:rPr>
      </w:pPr>
    </w:p>
    <w:p>
      <w:pPr>
        <w:jc w:val="both"/>
        <w:ind w:right="20" w:firstLine="720"/>
        <w:spacing w:after="0" w:line="244" w:lineRule="auto"/>
        <w:rPr>
          <w:sz w:val="20"/>
          <w:szCs w:val="20"/>
          <w:color w:val="auto"/>
        </w:rPr>
      </w:pPr>
      <w:r>
        <w:rPr>
          <w:rFonts w:ascii="Times New Roman" w:cs="Times New Roman" w:eastAsia="Times New Roman" w:hAnsi="Times New Roman"/>
          <w:sz w:val="20"/>
          <w:szCs w:val="20"/>
          <w:color w:val="auto"/>
        </w:rPr>
        <w:t>In the United States, which accounts for the largest portion of our total revenues, the Company sells its product through a specialty pharmacy. The product is distributed through third-party logistics, or 3PL, distribution agent that does not take title to the product. Once the product is delivered to the Company’s specialty pharmacy provider, our customer in the United States,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21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Reserves for Variable Consideration</w:t>
      </w:r>
    </w:p>
    <w:p>
      <w:pPr>
        <w:spacing w:after="0" w:line="24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are the components of variable consideration related to product revenue:</w:t>
      </w:r>
    </w:p>
    <w:p>
      <w:pPr>
        <w:spacing w:after="0" w:line="236" w:lineRule="exact"/>
        <w:rPr>
          <w:sz w:val="20"/>
          <w:szCs w:val="20"/>
          <w:color w:val="auto"/>
        </w:rPr>
      </w:pPr>
    </w:p>
    <w:p>
      <w:pPr>
        <w:jc w:val="both"/>
        <w:ind w:right="20"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Government rebates: </w:t>
      </w:r>
      <w:r>
        <w:rPr>
          <w:rFonts w:ascii="Times New Roman" w:cs="Times New Roman" w:eastAsia="Times New Roman" w:hAnsi="Times New Roman"/>
          <w:sz w:val="20"/>
          <w:szCs w:val="20"/>
          <w:color w:val="auto"/>
        </w:rPr>
        <w:t>The Company is subject to discount obligations under government programs, including 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Medicaid programs, Medicare and Tricare in the United States as well as certain government rebates and pricing adjustments in certain international markets that we operate. We estimate these rebates based upon a range of possible outcomes that take into consideration among other things, historical experience of claims submitted by the various states and jurisdictions, contractual rebate rates, estimated lag time of the rebate invoices and the estimated payer mix. These reserves are recorded in the same period the related revenue is recognized, resulting in a reduction of product revenue and the establishment of a liability that is included in accrued expenses and other current liabilities on our consolidated balance sheets. On a quarterly basis, we update our estimates and record any necessary adjustments in the period that we identify the adjustments.</w:t>
      </w:r>
    </w:p>
    <w:p>
      <w:pPr>
        <w:spacing w:after="0" w:line="203"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Trade discounts and allowances: </w:t>
      </w:r>
      <w:r>
        <w:rPr>
          <w:rFonts w:ascii="Times New Roman" w:cs="Times New Roman" w:eastAsia="Times New Roman" w:hAnsi="Times New Roman"/>
          <w:sz w:val="20"/>
          <w:szCs w:val="20"/>
          <w:color w:val="auto"/>
        </w:rPr>
        <w:t>The Company provides customary invoice discounts on IMCIVREE sales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of our customers for items such as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spacing w:after="0" w:line="202" w:lineRule="exact"/>
        <w:rPr>
          <w:sz w:val="20"/>
          <w:szCs w:val="20"/>
          <w:color w:val="auto"/>
        </w:rPr>
      </w:pPr>
    </w:p>
    <w:p>
      <w:pPr>
        <w:jc w:val="both"/>
        <w:ind w:right="20" w:firstLine="72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 returns: </w:t>
      </w:r>
      <w:r>
        <w:rPr>
          <w:rFonts w:ascii="Times New Roman" w:cs="Times New Roman" w:eastAsia="Times New Roman" w:hAnsi="Times New Roman"/>
          <w:sz w:val="20"/>
          <w:szCs w:val="20"/>
          <w:color w:val="auto"/>
        </w:rPr>
        <w:t>Our customers have limited return rights related to the product’s damage or defect.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estimates the amount of product sales that may be returned and records the estimate as a reduction of revenue</w:t>
      </w:r>
    </w:p>
    <w:p>
      <w:pPr>
        <w:sectPr>
          <w:pgSz w:w="12240" w:h="15840" w:orient="portrait"/>
          <w:cols w:equalWidth="0" w:num="1">
            <w:col w:w="9900"/>
          </w:cols>
          <w:pgMar w:left="1180" w:top="834" w:right="1160" w:bottom="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900"/>
          </w:cols>
          <w:pgMar w:left="1180" w:top="834" w:right="1160" w:bottom="0" w:gutter="0" w:footer="0" w:header="0"/>
          <w:type w:val="continuous"/>
        </w:sectPr>
      </w:pPr>
    </w:p>
    <w:bookmarkStart w:id="157" w:name="page158"/>
    <w:bookmarkEnd w:id="157"/>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and a refund liability in the period the related product revenue is recognized. Based on the distribution model for IMCIVREE, the Company believes there will be minimal returns and these reserves have not been material to date.</w:t>
      </w:r>
    </w:p>
    <w:p>
      <w:pPr>
        <w:spacing w:after="0" w:line="177" w:lineRule="exact"/>
        <w:rPr>
          <w:sz w:val="20"/>
          <w:szCs w:val="20"/>
          <w:color w:val="auto"/>
        </w:rPr>
      </w:pPr>
    </w:p>
    <w:p>
      <w:pPr>
        <w:jc w:val="both"/>
        <w:ind w:right="20" w:firstLine="7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incentives: </w:t>
      </w:r>
      <w:r>
        <w:rPr>
          <w:rFonts w:ascii="Times New Roman" w:cs="Times New Roman" w:eastAsia="Times New Roman" w:hAnsi="Times New Roman"/>
          <w:sz w:val="20"/>
          <w:szCs w:val="20"/>
          <w:color w:val="auto"/>
        </w:rPr>
        <w:t>Other incentives include co-payment assistance the Company provides to patients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206"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Provisions for trade discounts, chargebacks and allowances are recorded as reductions to accounts receivable, and returns, government rebates, and other incentives are recorded as a component of accrued expenses.</w:t>
      </w:r>
    </w:p>
    <w:p>
      <w:pPr>
        <w:spacing w:after="0" w:line="181"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table below summarizes balances and activity in each of the product revenue allowance and reserve categories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3546475</wp:posOffset>
                </wp:positionH>
                <wp:positionV relativeFrom="paragraph">
                  <wp:posOffset>153670</wp:posOffset>
                </wp:positionV>
                <wp:extent cx="27336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5pt,12.1pt" to="494.5pt,12.1pt" o:allowincell="f" strokecolor="#000000" strokeweight="1pt"/>
            </w:pict>
          </mc:Fallback>
        </mc:AlternateConten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 for Cash</w:t>
            </w:r>
          </w:p>
        </w:tc>
        <w:tc>
          <w:tcPr>
            <w:tcW w:w="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Fees, Rebates and</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6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Other Incentives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at December 31, 2023</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9,674</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Provision related to sales in the current year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5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2,317</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29,632</w:t>
            </w:r>
          </w:p>
        </w:tc>
        <w:tc>
          <w:tcPr>
            <w:tcW w:w="0" w:type="dxa"/>
            <w:vAlign w:val="bottom"/>
          </w:tcPr>
          <w:p>
            <w:pPr>
              <w:spacing w:after="0"/>
              <w:rPr>
                <w:sz w:val="1"/>
                <w:szCs w:val="1"/>
                <w:color w:val="auto"/>
              </w:rPr>
            </w:pPr>
          </w:p>
        </w:tc>
      </w:tr>
      <w:tr>
        <w:trPr>
          <w:trHeight w:val="30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Credit and payments made</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(23,203)</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December 31, 2024</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16,103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Provision related to sales in the current year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5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45,811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49,481</w:t>
            </w:r>
          </w:p>
        </w:tc>
        <w:tc>
          <w:tcPr>
            <w:tcW w:w="0" w:type="dxa"/>
            <w:vAlign w:val="bottom"/>
          </w:tcPr>
          <w:p>
            <w:pPr>
              <w:spacing w:after="0"/>
              <w:rPr>
                <w:sz w:val="1"/>
                <w:szCs w:val="1"/>
                <w:color w:val="auto"/>
              </w:rPr>
            </w:pP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Credit and payments made</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(30,097)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(33,717)</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December 31, 2025</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31,564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31,867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1">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Provision for cash discounts are recorded as reductions of accounts receivable, and fees, rebates, and other incentives are recorded as components of accrued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249"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customers may include non-refundable upfront fees, payments upon the exercise of customer options, payments based upon the achievement of defined milestones, and royalties on sales of products and product candidates if they are approved and commercialized.</w:t>
      </w:r>
    </w:p>
    <w:p>
      <w:pPr>
        <w:spacing w:after="0" w:line="207" w:lineRule="exact"/>
        <w:rPr>
          <w:sz w:val="20"/>
          <w:szCs w:val="20"/>
          <w:color w:val="auto"/>
        </w:rPr>
      </w:pPr>
    </w:p>
    <w:p>
      <w:pPr>
        <w:jc w:val="both"/>
        <w:ind w:right="20" w:firstLine="720"/>
        <w:spacing w:after="0" w:line="244" w:lineRule="auto"/>
        <w:rPr>
          <w:sz w:val="20"/>
          <w:szCs w:val="20"/>
          <w:color w:val="auto"/>
        </w:rPr>
      </w:pPr>
      <w:r>
        <w:rPr>
          <w:rFonts w:ascii="Times New Roman" w:cs="Times New Roman" w:eastAsia="Times New Roman" w:hAnsi="Times New Roman"/>
          <w:sz w:val="20"/>
          <w:szCs w:val="20"/>
          <w:color w:val="auto"/>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10"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900"/>
          </w:cols>
          <w:pgMar w:left="1180" w:top="838" w:right="1160" w:bottom="0" w:gutter="0" w:footer="0" w:header="0"/>
          <w:type w:val="continuous"/>
        </w:sectPr>
      </w:pPr>
    </w:p>
    <w:bookmarkStart w:id="158" w:name="page159"/>
    <w:bookmarkEnd w:id="158"/>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spacing w:after="0" w:line="202"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20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Refer to Note 10, </w:t>
      </w:r>
      <w:r>
        <w:rPr>
          <w:rFonts w:ascii="Times New Roman" w:cs="Times New Roman" w:eastAsia="Times New Roman" w:hAnsi="Times New Roman"/>
          <w:sz w:val="20"/>
          <w:szCs w:val="20"/>
          <w:b w:val="1"/>
          <w:bCs w:val="1"/>
          <w:i w:val="1"/>
          <w:iCs w:val="1"/>
          <w:color w:val="auto"/>
        </w:rPr>
        <w:t>Significant Agreements</w:t>
      </w:r>
      <w:r>
        <w:rPr>
          <w:rFonts w:ascii="Times New Roman" w:cs="Times New Roman" w:eastAsia="Times New Roman" w:hAnsi="Times New Roman"/>
          <w:sz w:val="20"/>
          <w:szCs w:val="20"/>
          <w:color w:val="auto"/>
        </w:rPr>
        <w:t>, for discussion related to the Company’s accounting for the RareStone Group, Ltd.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Royalty Obligation</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treat the debt obligation to HealthCare Royalty Management, LLC as discussed further in Note 11, “Long-Term Obligations”, as a deferred royalty obligation, amortized using the effective interest rate method over the estimated life of the revenue streams. We recognize interest expense thereon using the effective rate, which is based on our current estimates of future revenues over the life of the arrangement. In connection therewith, we periodically assess our expected revenues using internal projections, impute interest on the carrying value of the deferred royalty obligation, and record interest expense using the imputed effective interest rate. To the extent our estimates of future revenues are greater or less than previous estimates or the estimated timing of such payments is materially different than previous estimates, we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that we make estimates that could impact the classification of such costs, as well as the period over which such costs will be amortized.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Inventory consists of the following (in thousands):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6,776</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WIP</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r>
      <w:tr>
        <w:trPr>
          <w:trHeight w:val="30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17,377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10,715</w:t>
            </w: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Inventory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18,741</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2">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Product Sales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900"/>
          </w:cols>
          <w:pgMar w:left="1180" w:top="838" w:right="1160" w:bottom="0" w:gutter="0" w:footer="0" w:header="0"/>
          <w:type w:val="continuous"/>
        </w:sectPr>
      </w:pPr>
    </w:p>
    <w:bookmarkStart w:id="159" w:name="page160"/>
    <w:bookmarkEnd w:id="159"/>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adjustment charges. Finally, cost of sales may also include costs related to excess or obsolete inventory adjustment charges, abnormal costs, unabsorbed manufacturing and overhead costs, and manufacturing variances.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in cost of sales in the consolidated statements of operations and comprehensive loss.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49"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years ended December 31, 2025,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Prepaid expenses and other current assets consist primarily of costs incurred in advance of services being received, including services related to clinical trial programs. Prepaid expenses and other current assets consists of the following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35"/>
        </w:trPr>
        <w:tc>
          <w:tcPr>
            <w:tcW w:w="7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Prepaid research and development costs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16,166</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7,580</w:t>
            </w:r>
          </w:p>
        </w:tc>
      </w:tr>
      <w:tr>
        <w:trPr>
          <w:trHeight w:val="30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9,967</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8,802</w:t>
            </w: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26,133</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16,382</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3">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Long-Term Assets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Other long-term assets consist primarily of costs incurred in advance of services being received, including services related to clinical trial programs. Since the Company will not receive services within one year of the balance sheet date, these assets are considered long-term. Other long-term assets consists of the following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35"/>
        </w:trPr>
        <w:tc>
          <w:tcPr>
            <w:tcW w:w="70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Long-term research and development costs</w:t>
            </w:r>
          </w:p>
        </w:tc>
        <w:tc>
          <w:tcPr>
            <w:tcW w:w="900" w:type="dxa"/>
            <w:vAlign w:val="bottom"/>
          </w:tcPr>
          <w:p>
            <w:pPr>
              <w:jc w:val="right"/>
              <w:ind w:right="64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6,209</w:t>
            </w:r>
          </w:p>
        </w:tc>
      </w:tr>
      <w:tr>
        <w:trPr>
          <w:trHeight w:val="30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assets</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1,117</w:t>
            </w: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long-term assets</w:t>
            </w:r>
          </w:p>
        </w:tc>
        <w:tc>
          <w:tcPr>
            <w:tcW w:w="900" w:type="dxa"/>
            <w:vAlign w:val="bottom"/>
          </w:tcPr>
          <w:p>
            <w:pPr>
              <w:jc w:val="right"/>
              <w:ind w:right="64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3,286</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7,326</w:t>
            </w:r>
          </w:p>
        </w:tc>
      </w:tr>
      <w:tr>
        <w:trPr>
          <w:trHeight w:val="20"/>
        </w:trPr>
        <w:tc>
          <w:tcPr>
            <w:tcW w:w="7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4">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900"/>
          </w:cols>
          <w:pgMar w:left="1180" w:top="838" w:right="116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179070</wp:posOffset>
            </wp:positionV>
            <wp:extent cx="6311900" cy="1885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5">
                      <a:extLst>
                        <a:ext uri="{28A0092B-C50C-407E-A947-70E740481C1C}"/>
                      </a:extLst>
                    </a:blip>
                    <a:srcRect/>
                    <a:stretch>
                      <a:fillRect/>
                    </a:stretch>
                  </pic:blipFill>
                  <pic:spPr bwMode="auto">
                    <a:xfrm>
                      <a:off x="0" y="0"/>
                      <a:ext cx="6311900" cy="1885950"/>
                    </a:xfrm>
                    <a:prstGeom prst="rect">
                      <a:avLst/>
                    </a:prstGeom>
                    <a:noFill/>
                  </pic:spPr>
                </pic:pic>
              </a:graphicData>
            </a:graphic>
          </wp:anchor>
        </w:drawing>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35"/>
        </w:trPr>
        <w:tc>
          <w:tcPr>
            <w:tcW w:w="55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2,733</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2,705</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5 years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154</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Computers and software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3 years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1,291</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5 years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1,249</w:t>
            </w: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gross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5,399</w:t>
            </w: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(4,767)</w:t>
            </w: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632</w:t>
            </w:r>
          </w:p>
        </w:tc>
      </w:tr>
      <w:tr>
        <w:trPr>
          <w:trHeight w:val="20"/>
        </w:trPr>
        <w:tc>
          <w:tcPr>
            <w:tcW w:w="5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*Shorter of asset life or lease term.</w:t>
      </w:r>
    </w:p>
    <w:p>
      <w:pPr>
        <w:spacing w:after="0" w:line="236"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for the years ended December 31, 2025, 2024 and 2023 was $0.5 million, $0.7 million, and $0.9 million respectively.</w:t>
      </w:r>
    </w:p>
    <w:p>
      <w:pPr>
        <w:spacing w:after="0" w:line="181"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Property and equipment are recorded at cost. Depreciation and amortization is calculated using the straight-line method over the estimated useful lives of the assets. 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IPR&amp;D and Milestone Expense</w:t>
      </w:r>
    </w:p>
    <w:p>
      <w:pPr>
        <w:spacing w:after="0" w:line="249"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In an asset acquisition, payments incurred prior to regulatory approval to acquire rights to in-process research and development projects are expensed as acquired IPR&amp;D and recorded as a component of research and development expense in the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cost of products sold over the remaining useful life of the related product.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24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years ended December 31, 2025, 2024 and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900"/>
          </w:cols>
          <w:pgMar w:left="1180" w:top="829" w:right="1160" w:bottom="0" w:gutter="0" w:footer="0" w:header="0"/>
          <w:type w:val="continuous"/>
        </w:sectPr>
      </w:pPr>
    </w:p>
    <w:bookmarkStart w:id="161" w:name="page162"/>
    <w:bookmarkEnd w:id="161"/>
    <w:p>
      <w:pPr>
        <w:jc w:val="both"/>
        <w:ind w:left="1620" w:right="20" w:hanging="899"/>
        <w:spacing w:after="0" w:line="255" w:lineRule="auto"/>
        <w:rPr>
          <w:sz w:val="20"/>
          <w:szCs w:val="20"/>
          <w:color w:val="auto"/>
        </w:rPr>
      </w:pPr>
      <w:r>
        <w:rPr>
          <w:rFonts w:ascii="Times New Roman" w:cs="Times New Roman" w:eastAsia="Times New Roman" w:hAnsi="Times New Roman"/>
          <w:sz w:val="20"/>
          <w:szCs w:val="20"/>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7" w:lineRule="exact"/>
        <w:rPr>
          <w:sz w:val="20"/>
          <w:szCs w:val="20"/>
          <w:color w:val="auto"/>
        </w:rPr>
      </w:pPr>
    </w:p>
    <w:p>
      <w:pPr>
        <w:jc w:val="both"/>
        <w:ind w:left="1620" w:right="20" w:hanging="899"/>
        <w:spacing w:after="0" w:line="271"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w:t>
      </w:r>
    </w:p>
    <w:p>
      <w:pPr>
        <w:spacing w:after="0" w:line="181"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Company’s cash equivalents and marketable securities and derivative liability at December 31, 2025 and 2024 were carried at fair value, determined according to the fair value hierarchy. See Note 5 for further discussion.</w:t>
      </w:r>
    </w:p>
    <w:p>
      <w:pPr>
        <w:spacing w:after="0" w:line="18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carrying amounts reflected in the consolidated balance sheets for accounts payable and accrued expenses and other current liabilities approximate their fair values due to their short-term maturities at December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Costs incurred in the research and development of the Company’s products are expensed to operations as incurred. Research and development expenses consist of costs incurred in performing research and development activities, including salaries and benefits, facilities costs, overhead costs, contract services and other outside costs. The value of goods and services received from contract research organizations, or CROs, or contract manufacturing organizations, or CMOs, in the reporting period are estimated based on the level of services performed and progress in the period for which the Company has not yet received an invoice from the supplier.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1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Nonrefundable advance payments for goods or services to be received in the future for use in research and development activities are recorded as prepaid expenses, and expensed as the related goods are delivered or the services are performed.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Company is taxed as a C corporation for federal income tax purposes. Income taxes for the Company are recorded in accordance with FASB ASC Topic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xml:space="preserve"> (“ASC 740”), which provides for deferred taxes using an asset and liability approach. Income taxes have been calculated on a separate tax return basis.</w:t>
      </w:r>
    </w:p>
    <w:p>
      <w:pPr>
        <w:spacing w:after="0" w:line="197" w:lineRule="exact"/>
        <w:rPr>
          <w:sz w:val="20"/>
          <w:szCs w:val="20"/>
          <w:color w:val="auto"/>
        </w:rPr>
      </w:pPr>
    </w:p>
    <w:p>
      <w:pPr>
        <w:jc w:val="both"/>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21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likely to be realized upon ultimate settlement with the related tax authority.</w:t>
      </w:r>
    </w:p>
    <w:p>
      <w:pPr>
        <w:spacing w:after="0" w:line="20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as provision for income taxes in the accompanying consolidated statements of operations. As of December 31, 2025 and 2024, no accrued interest or penalties are included as a component of accrued expenses in the consolidated balance sheets.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900"/>
          </w:cols>
          <w:pgMar w:left="1180" w:top="838" w:right="116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4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Basic net loss per share is computed by dividing net loss available to common shareholders by the weighted-average number of common shares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more dilutive of the if-converted or treasury stock method. For purposes of the diluted net loss per share calculation, stock options, restricted stock units and performance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1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following table includes the potential common shares, presented based on amounts outstanding at each period end, that were excluded from the computation of diluted net loss per share due to their anti-dilutive effect, under either the treasury stock or if-converted method for the periods indicated (in thousands):</w:t>
      </w:r>
    </w:p>
    <w:p>
      <w:pPr>
        <w:spacing w:after="0" w:line="28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13970</wp:posOffset>
                </wp:positionV>
                <wp:extent cx="25622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13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6,466,178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6,611,391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6,551,025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2,884,935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1,805,412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1,079,382</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Performance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294,644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249,322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581,246</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reserved for the conversion of Series A convertible</w:t>
            </w: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2,760,413</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3,124,995</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Potential common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12,406,170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11,791,120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8,211,653</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-1126490</wp:posOffset>
            </wp:positionV>
            <wp:extent cx="6311900" cy="1133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6">
                      <a:extLst>
                        <a:ext uri="{28A0092B-C50C-407E-A947-70E740481C1C}"/>
                      </a:extLst>
                    </a:blip>
                    <a:srcRect/>
                    <a:stretch>
                      <a:fillRect/>
                    </a:stretch>
                  </pic:blipFill>
                  <pic:spPr bwMode="auto">
                    <a:xfrm>
                      <a:off x="0" y="0"/>
                      <a:ext cx="6311900" cy="11334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4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Comprehensive loss represents the net change in stockholders’ equity during a period from sources other than transactions with shareholders. As reflected in the accompanying consolidated statements of operations and comprehensive loss, our comprehensive loss is comprised of net losses, foreign currency translation adjustments and unrealized gains and losses on marketable debt securities. These changes in equity are reflected net of tax.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Costs to secure and defend patents are expensed as incurred and are classified as general and administrative expenses. Patent costs were $2.0 million, $1.3 million and $0.6 million for the years ended December 31,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4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of New or Revised Accounting Standards</w:t>
      </w:r>
    </w:p>
    <w:p>
      <w:pPr>
        <w:spacing w:after="0" w:line="25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55"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December 2024, the FASB issued ASU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or ASU 2023-09. The new guidance requires that an entity, on an annual basis, disclose additional income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The Company has adopted this update on a prospective basis. The adoption of this guidance resulted in expanded disclosures in its consolidated financial statements.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900"/>
          </w:cols>
          <w:pgMar w:left="1180" w:top="829" w:right="1160" w:bottom="0" w:gutter="0" w:footer="0" w:header="0"/>
          <w:type w:val="continuous"/>
        </w:sectPr>
      </w:pPr>
    </w:p>
    <w:bookmarkStart w:id="163" w:name="page164"/>
    <w:bookmarkEnd w:id="163"/>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 </w:t>
      </w:r>
      <w:r>
        <w:rPr>
          <w:rFonts w:ascii="Times New Roman" w:cs="Times New Roman" w:eastAsia="Times New Roman" w:hAnsi="Times New Roman"/>
          <w:sz w:val="20"/>
          <w:szCs w:val="20"/>
          <w:b w:val="1"/>
          <w:bCs w:val="1"/>
          <w:i w:val="1"/>
          <w:iCs w:val="1"/>
          <w:color w:val="auto"/>
        </w:rPr>
        <w:t>Segment Reporting (Topic 280) –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Reportable Segment Disclosures</w:t>
      </w:r>
      <w:r>
        <w:rPr>
          <w:rFonts w:ascii="Times New Roman" w:cs="Times New Roman" w:eastAsia="Times New Roman" w:hAnsi="Times New Roman"/>
          <w:sz w:val="20"/>
          <w:szCs w:val="20"/>
          <w:color w:val="auto"/>
        </w:rPr>
        <w:t>, which improves segment disclosure requirements, primarily through enhanced disclosure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4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121212"/>
        </w:rPr>
        <w:t>In December 2025, the FASB issued ASU 2025-12 “Codification Improvements” to address suggestions received from stakeholders on the Accounting Standards Codification and to make other incremental improvements to U.S. GAAP. The update represents changes to the Codification that clarify, correct errors, or make minor improvements. The amendments make the Codification easier to understand and apply. The guidance is effective for fiscal years beginning after December 15, 2026, including interim periods within those fiscal years. The Company is in the process of evaluating this guidance to determine the impact it may have on its consolidated financial statements.</w:t>
      </w:r>
    </w:p>
    <w:p>
      <w:pPr>
        <w:spacing w:after="0" w:line="20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121212"/>
        </w:rPr>
        <w:t>In December 2025, the FASB issued ASU 2025-11, “Interim Reporting (Topic 270) Narrow-Scope Improvements.” The amendments in this update provide clarity on interim disclosure requirements and the applicability of Topic 270.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in the process of evaluating this guidance to determine the impact it may have on its consolidated financial statements.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121212"/>
        </w:rPr>
        <w:t>In November 2024, the FASB issued ASU 2024-03 “Income Statement: Reporting Comprehensive Income— 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ASU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this guidance to determine the impact it may have on its consolidated financial statements disclosures.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Asset 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LG Chem, Ltd.</w:t>
      </w:r>
    </w:p>
    <w:p>
      <w:pPr>
        <w:spacing w:after="0" w:line="24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On January 4, 2024, the Company entered into a license agreement and share issuance agreement with LG Chem, Ltd. (“LGC”). Under the terms of the license agreement, the Company obtained worldwide rights to LGC’s proprietary compound bivamelagon.</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included an additional $40.0 million license fee payable in 18 months, which had a present value at closing of $33.7 million, which was accreted to its full value through interest expense, and $0.8 million of transaction costs which are recorded as selling, general and administrative expenses. On July 1, 2025, the Company made this additional payment of $40.0 million to LGC.</w:t>
      </w:r>
    </w:p>
    <w:p>
      <w:pPr>
        <w:spacing w:after="0" w:line="213"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In addition, under the terms of the license agreement, we agreed to pay LGC up to $205 million in cash upon achieving various regulatory and sales milestones based on net sales of bivamelagon. In addition and subject to the completion of Phase 2 development of bivamelagon, the Company has agreed to pay LGC royalties of between low-to-mid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900"/>
          </w:cols>
          <w:pgMar w:left="1180" w:top="834" w:right="1160" w:bottom="0" w:gutter="0" w:footer="0" w:header="0"/>
          <w:type w:val="continuous"/>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20"/>
          <w:szCs w:val="20"/>
          <w:color w:val="auto"/>
        </w:rPr>
        <w:t>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spacing w:after="0" w:line="19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assets acquired were In-Process Research and Development (“IPR&amp;D”) assets. However, since the IPR&amp;D assets were determined to have no alternative future use, the Company recognized the $92.4 million of purchase consideration as research and development expense in the year ended December 31, 2024.</w:t>
      </w:r>
    </w:p>
    <w:p>
      <w:pPr>
        <w:spacing w:after="0" w:line="197"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Xinvento B.V.</w:t>
      </w:r>
    </w:p>
    <w:p>
      <w:pPr>
        <w:spacing w:after="0" w:line="244"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0"/>
          <w:szCs w:val="20"/>
          <w:color w:val="auto"/>
        </w:rPr>
        <w:t>On February 27, 2023, the Company, through its wholly-owned Dutch subsidiary, Rhythm Pharmaceuticals Netherlands B.V., a Dutch private limited liability company (“Rhythm BV”), entered into a Share Purchase Agreement (the “Purchase Agreement”) with Xinvento B.V., a Dutch private limited liability company based in the Netherlands (“Xinvento”), and the other parties named therein, pursuant to which, and concurrently with the execution thereof, Rhythm BV acquired all of the issued and outstanding shares of Xinvento. The aggregate consideration at closing was approximately $5.7 million, inclusive of transaction costs, as adjusted pursuant to the terms of the Purchase Agreement and subject to the distribution and payment terms set forth therein (the “Closing Purchase Price”).</w:t>
      </w:r>
    </w:p>
    <w:p>
      <w:pPr>
        <w:spacing w:after="0" w:line="20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to the Closing Purchase Price, the Purchase Agreement provides for the payment of additional contingent consideration totaling up to $206 million upon achievement of certain development, regulatory and commercial milestones by Xinvento, as follows: (i) up to an aggregate of $6 million in clinical development milestones; (ii) up to an aggregate of $125 million in regulatory approval and commercial milestones; and (iii) up to an aggregate of $75 million in sales milestones in the event a second molecule is selected, developed and approved.</w:t>
      </w:r>
    </w:p>
    <w:p>
      <w:pPr>
        <w:spacing w:after="0" w:line="207"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The total purchase consideration of $5.7 million was composed of $4.5 million of cash paid at closing, a $0.5 million holdback, payable on the one-year anniversary of the acquisition, and $0.6 million of acquisition-related costs. The $0.5 million holdback was paid in the quarter ended March 31, 2024, and is reflected in investing activities in the consolidated statement of cash flow for the year ended December 31, 2024. The Company determined that substantially all of the value as of acquisition date related to Xinvento’s In-Process Research and Development. As a result, the Company determined this transaction should be accounted for as an asset acquisition.</w:t>
      </w:r>
    </w:p>
    <w:p>
      <w:pPr>
        <w:spacing w:after="0" w:line="20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assets acquired were In-Process Research and Development (IPR&amp;D) assets. However, since the IPR&amp;D assets were determined to have no alternative future use, the Company recognized the $5.7 million of purchase consideration as research and development expense in the year ended December 31, 2023.</w:t>
      </w:r>
    </w:p>
    <w:p>
      <w:pPr>
        <w:spacing w:after="0" w:line="197"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Xinvento transaction in the period in which the achievement of the underlying milestones becomes probable.</w:t>
      </w:r>
    </w:p>
    <w:p>
      <w:pPr>
        <w:spacing w:after="0" w:line="202"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Xinvento's results of operations are included in the consolidated financial statements from the date of acquisition. For the years ended December 31, 2025 and 2024, the net loss associated with the operations of Xinvento was de minimis in the Company’s consolidated statements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900"/>
          </w:cols>
          <w:pgMar w:left="1180" w:top="838" w:right="1160"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4. Accrued Expenses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Accrued expenses consists of the following (in thousands):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17,871</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Payroll related</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18,216</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Royalties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2,091</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Sales allowances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15,850</w:t>
            </w:r>
          </w:p>
        </w:tc>
      </w:tr>
      <w:tr>
        <w:trPr>
          <w:trHeight w:val="30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4,350</w:t>
            </w:r>
          </w:p>
        </w:tc>
      </w:tr>
      <w:tr>
        <w:trPr>
          <w:trHeight w:val="26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62,658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7">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of Financial Assets and Liabilities</w:t>
      </w:r>
    </w:p>
    <w:p>
      <w:pPr>
        <w:spacing w:after="0" w:line="24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December 31, 2025 using:</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33,949</w:t>
            </w: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71,877</w:t>
            </w: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debt securities and commercial paper</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262,771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262,771</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Derivative asset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1,180</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105,826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262,771</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369,777</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18"/>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7"/>
        </w:trPr>
        <w:tc>
          <w:tcPr>
            <w:tcW w:w="4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December 31, 2024 using:</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9"/>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Commercial Paper</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2,984</w:t>
            </w: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71,334</w:t>
            </w: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65,118</w:t>
            </w:r>
          </w:p>
        </w:tc>
      </w:tr>
      <w:tr>
        <w:trPr>
          <w:trHeight w:val="30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debt securities and commercial paper</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166,310</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Derivative asset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270</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169,294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306,016</w:t>
            </w:r>
          </w:p>
        </w:tc>
      </w:tr>
      <w:tr>
        <w:trPr>
          <w:trHeight w:val="20"/>
        </w:trPr>
        <w:tc>
          <w:tcPr>
            <w:tcW w:w="4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-3923665</wp:posOffset>
            </wp:positionV>
            <wp:extent cx="6311900" cy="1562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8">
                      <a:extLst>
                        <a:ext uri="{28A0092B-C50C-407E-A947-70E740481C1C}"/>
                      </a:extLst>
                    </a:blip>
                    <a:srcRect/>
                    <a:stretch>
                      <a:fillRect/>
                    </a:stretch>
                  </pic:blipFill>
                  <pic:spPr bwMode="auto">
                    <a:xfrm>
                      <a:off x="0" y="0"/>
                      <a:ext cx="6311900" cy="1562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-1745615</wp:posOffset>
            </wp:positionV>
            <wp:extent cx="6311900" cy="1752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9">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carrying amount of cash and cash equivalents and short-term investments was $388.9 million and $320.6 million,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900"/>
          </w:cols>
          <w:pgMar w:left="1180" w:top="831" w:right="1160" w:bottom="0" w:gutter="0" w:footer="0" w:header="0"/>
          <w:type w:val="continuous"/>
        </w:sectPr>
      </w:pPr>
    </w:p>
    <w:bookmarkStart w:id="166" w:name="page167"/>
    <w:bookmarkEnd w:id="166"/>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embedded derivative asset associated with our deferred royalty obligation, as discussed further in Note 11, </w:t>
      </w:r>
      <w:r>
        <w:rPr>
          <w:rFonts w:ascii="Times New Roman" w:cs="Times New Roman" w:eastAsia="Times New Roman" w:hAnsi="Times New Roman"/>
          <w:sz w:val="20"/>
          <w:szCs w:val="20"/>
          <w:b w:val="1"/>
          <w:bCs w:val="1"/>
          <w:i w:val="1"/>
          <w:iCs w:val="1"/>
          <w:color w:val="auto"/>
        </w:rPr>
        <w:t>Long-Term Obligations</w:t>
      </w:r>
      <w:r>
        <w:rPr>
          <w:rFonts w:ascii="Times New Roman" w:cs="Times New Roman" w:eastAsia="Times New Roman" w:hAnsi="Times New Roman"/>
          <w:sz w:val="20"/>
          <w:szCs w:val="20"/>
          <w:color w:val="auto"/>
        </w:rPr>
        <w:t>, is measured at fair value using an option pricing Monte Carlo simulation model and is included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component of the deferred royalty obligation. The embedded derivative (asset) or liability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spacing w:after="0" w:line="21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forward contract associated with our Series A Convertible Preferred Stock, as discussed further in Note 9, “Series A Preferred Stock”, is measured at fair value. In order to value the forward contract, a binomial lattice model was used to determine the fair value of the Series A Preferred Stock. The fair value of the forward contract was measured as the difference between the consideration payable of $150.0 million and the fair value of the Series A Preferred Stock. The fair value of the forward contract was determined to be $0 at initial issuance and the change in the fair value from initial issuance to settlement of $8.9 million was recognized as other income in the consolidated statements of operation for the year ended December 31, 2024. The significant assumptions used in the binomial lattice model include: (1) the Company’s common stock price on the issuance and settlement dates; (2) the Conversion Price as of $48.00 as per the Agreement; (3) a 20-year term to maturity; (4) risk free rates (4.6% - 5%); and (5) volatility (68% and 67%).</w:t>
      </w:r>
    </w:p>
    <w:p>
      <w:pPr>
        <w:spacing w:after="0" w:line="214"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following tables set forth a summary of the changes in the estimated fair value of our embedded derivative liability (asset) (in thousands):</w:t>
      </w:r>
    </w:p>
    <w:p>
      <w:pPr>
        <w:spacing w:after="0" w:line="26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13970</wp:posOffset>
                </wp:positionV>
                <wp:extent cx="180975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Beginning aggregate estimated fair value of Level 3 liability (asset)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1,150</w:t>
            </w:r>
          </w:p>
        </w:tc>
      </w:tr>
      <w:tr>
        <w:trPr>
          <w:trHeight w:val="30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 in fair value of embedded derivative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w:t>
            </w:r>
          </w:p>
        </w:tc>
      </w:tr>
      <w:tr>
        <w:trPr>
          <w:trHeight w:val="30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Fair value of forward contract - Series A Convertible Preferred Stock</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8,900</w:t>
            </w:r>
          </w:p>
        </w:tc>
      </w:tr>
      <w:tr>
        <w:trPr>
          <w:trHeight w:val="303"/>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Settlement of forward contract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(8,900)</w:t>
            </w:r>
          </w:p>
        </w:tc>
      </w:tr>
      <w:tr>
        <w:trPr>
          <w:trHeight w:val="26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Ending aggregate estimated fair value of Level 3 liability (asset)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0">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estimated fair value of the derivative (asset) or liability related to our Royalty Interest Financing Agreement (RIFA) with HealthCare Royalty was determined using Level 3 inputs. The fair value measurement of the derivative (asset) or liability is sensitive to changes in the unobservable inputs used to value the financial instrument. Changes in the inputs could result in changes to the fair value of each financial instrument.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summarize the Company's marketable securities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2851150</wp:posOffset>
                </wp:positionH>
                <wp:positionV relativeFrom="paragraph">
                  <wp:posOffset>191135</wp:posOffset>
                </wp:positionV>
                <wp:extent cx="34290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5.05pt" to="494.5pt,15.05pt" o:allowincell="f" strokecolor="#000000" strokeweight="1pt"/>
            </w:pict>
          </mc:Fallback>
        </mc:AlternateConten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4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182"/>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08"/>
              <w:spacing w:after="0" w:line="18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1"/>
              <w:spacing w:after="0" w:line="18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28"/>
              <w:spacing w:after="0" w:line="182"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1"/>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debt securities and commercial paper (due</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within 1 year)</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262,771</w:t>
            </w:r>
          </w:p>
        </w:tc>
      </w:tr>
      <w:tr>
        <w:trPr>
          <w:trHeight w:val="303"/>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71,634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71,877</w:t>
            </w:r>
          </w:p>
        </w:tc>
      </w:tr>
      <w:tr>
        <w:trPr>
          <w:trHeight w:val="260"/>
        </w:trPr>
        <w:tc>
          <w:tcPr>
            <w:tcW w:w="44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334,046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334,648</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42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1">
                      <a:extLst>
                        <a:ext uri="{28A0092B-C50C-407E-A947-70E740481C1C}"/>
                      </a:extLst>
                    </a:blip>
                    <a:srcRect/>
                    <a:stretch>
                      <a:fillRect/>
                    </a:stretch>
                  </pic:blipFill>
                  <pic:spPr bwMode="auto">
                    <a:xfrm>
                      <a:off x="0" y="0"/>
                      <a:ext cx="6311900" cy="9429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900"/>
          </w:cols>
          <w:pgMar w:left="1180" w:top="838" w:right="1160" w:bottom="0" w:gutter="0" w:footer="0" w:header="0"/>
          <w:type w:val="continuous"/>
        </w:sectPr>
      </w:pPr>
    </w:p>
    <w:bookmarkStart w:id="167" w:name="page168"/>
    <w:bookmarkEnd w:id="167"/>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2"/>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08"/>
              <w:spacing w:after="0" w:line="18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1"/>
              <w:spacing w:after="0" w:line="18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28"/>
              <w:spacing w:after="0" w:line="182"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7"/>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debt securities and commercial paper (due</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within 1 year)</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166,255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166,310</w:t>
            </w:r>
          </w:p>
        </w:tc>
      </w:tr>
      <w:tr>
        <w:trPr>
          <w:trHeight w:val="303"/>
        </w:trPr>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65,074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65,118</w:t>
            </w:r>
          </w:p>
        </w:tc>
      </w:tr>
      <w:tr>
        <w:trPr>
          <w:trHeight w:val="260"/>
        </w:trPr>
        <w:tc>
          <w:tcPr>
            <w:tcW w:w="44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231,329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231,428</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42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2">
                      <a:extLst>
                        <a:ext uri="{28A0092B-C50C-407E-A947-70E740481C1C}"/>
                      </a:extLst>
                    </a:blip>
                    <a:srcRect/>
                    <a:stretch>
                      <a:fillRect/>
                    </a:stretch>
                  </pic:blipFill>
                  <pic:spPr bwMode="auto">
                    <a:xfrm>
                      <a:off x="0" y="0"/>
                      <a:ext cx="6311900" cy="9429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 net</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520" w:type="dxa"/>
            <w:vAlign w:val="bottom"/>
            <w:tcBorders>
              <w:bottom w:val="single" w:sz="8" w:color="auto"/>
            </w:tcBorders>
          </w:tcPr>
          <w:p>
            <w:pPr>
              <w:spacing w:after="0"/>
              <w:rPr>
                <w:sz w:val="18"/>
                <w:szCs w:val="18"/>
                <w:color w:val="auto"/>
              </w:rPr>
            </w:pPr>
          </w:p>
        </w:tc>
      </w:tr>
      <w:tr>
        <w:trPr>
          <w:trHeight w:val="183"/>
        </w:trPr>
        <w:tc>
          <w:tcPr>
            <w:tcW w:w="300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Estimated life</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7"/>
        </w:trPr>
        <w:tc>
          <w:tcPr>
            <w:tcW w:w="30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w w:val="91"/>
              </w:rPr>
              <w:t>Net</w:t>
            </w:r>
          </w:p>
        </w:tc>
      </w:tr>
      <w:tr>
        <w:trPr>
          <w:trHeight w:val="209"/>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93"/>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Capitalized Milestones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$ 9,000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(3,681)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5,319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$ 9,000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(2,826)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-337185</wp:posOffset>
            </wp:positionV>
            <wp:extent cx="6311900" cy="358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3">
                      <a:extLst>
                        <a:ext uri="{28A0092B-C50C-407E-A947-70E740481C1C}"/>
                      </a:extLst>
                    </a:blip>
                    <a:srcRect/>
                    <a:stretch>
                      <a:fillRect/>
                    </a:stretch>
                  </pic:blipFill>
                  <pic:spPr bwMode="auto">
                    <a:xfrm>
                      <a:off x="0" y="0"/>
                      <a:ext cx="6311900" cy="358775"/>
                    </a:xfrm>
                    <a:prstGeom prst="rect">
                      <a:avLst/>
                    </a:prstGeom>
                    <a:noFill/>
                  </pic:spPr>
                </pic:pic>
              </a:graphicData>
            </a:graphic>
          </wp:anchor>
        </w:drawing>
      </w:r>
    </w:p>
    <w:p>
      <w:pPr>
        <w:spacing w:after="0" w:line="17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As of December 31, 2025, the Company’s finite-lived intangible assets, which totaled $5.3 million, resulted from the capitalization of certain milestone payments made to Ipsen Pharma, S.A.S., or Ipsen, in accordance with the terms of the Company’s license agreement with Ipsen, in connection with the Company’s first commercial sale of IMCIVREE in the U.S. in March 2021 and in France in March 2022.</w:t>
      </w:r>
    </w:p>
    <w:p>
      <w:pPr>
        <w:spacing w:after="0" w:line="203"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As of December 31, 2025, amortization expense for the next five years and beyond is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11900" cy="1371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4">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r>
      <w:tr>
        <w:trPr>
          <w:trHeight w:val="303"/>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1,044</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5,319</w:t>
            </w:r>
          </w:p>
        </w:tc>
      </w:tr>
      <w:tr>
        <w:trPr>
          <w:trHeight w:val="20"/>
        </w:trPr>
        <w:tc>
          <w:tcPr>
            <w:tcW w:w="8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began amortizing its finite-lived intangible assets in April 2021 over an 11 year period based on IMCIVREE’s expected patent exclusivity period. Amortization expense totaled $0.9 million, $0.9 million and $0.9 million for the years ended December 31, 2025, 2024 and 2023, respectively. Amortization expense is recorded as a component of cost of sales on the consolidated statements of operations and comprehensive loss.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4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121212"/>
        </w:rPr>
        <w:t xml:space="preserve">On December 4, 2025, one of the Company's Series A Convertible Preferred Stock holders exercised their conversion right and converted 17,500 Convertible Preferred A Stock into 364,582 shares of common stock. Refer to Note 9, </w:t>
      </w:r>
      <w:r>
        <w:rPr>
          <w:rFonts w:ascii="Times New Roman" w:cs="Times New Roman" w:eastAsia="Times New Roman" w:hAnsi="Times New Roman"/>
          <w:sz w:val="20"/>
          <w:szCs w:val="20"/>
          <w:b w:val="1"/>
          <w:bCs w:val="1"/>
          <w:i w:val="1"/>
          <w:iCs w:val="1"/>
          <w:color w:val="121212"/>
        </w:rPr>
        <w:t>Series A Convertible Preferred Stock,</w:t>
      </w:r>
      <w:r>
        <w:rPr>
          <w:rFonts w:ascii="Times New Roman" w:cs="Times New Roman" w:eastAsia="Times New Roman" w:hAnsi="Times New Roman"/>
          <w:sz w:val="20"/>
          <w:szCs w:val="20"/>
          <w:color w:val="121212"/>
        </w:rPr>
        <w:t xml:space="preserve"> for further information.</w:t>
      </w:r>
    </w:p>
    <w:p>
      <w:pPr>
        <w:spacing w:after="0" w:line="195" w:lineRule="exact"/>
        <w:rPr>
          <w:sz w:val="20"/>
          <w:szCs w:val="20"/>
          <w:color w:val="auto"/>
        </w:rPr>
      </w:pPr>
    </w:p>
    <w:p>
      <w:pPr>
        <w:jc w:val="both"/>
        <w:ind w:right="20" w:firstLine="720"/>
        <w:spacing w:after="0" w:line="237" w:lineRule="auto"/>
        <w:rPr>
          <w:sz w:val="20"/>
          <w:szCs w:val="20"/>
          <w:color w:val="auto"/>
        </w:rPr>
      </w:pPr>
      <w:r>
        <w:rPr>
          <w:rFonts w:ascii="Times New Roman" w:cs="Times New Roman" w:eastAsia="Times New Roman" w:hAnsi="Times New Roman"/>
          <w:sz w:val="20"/>
          <w:szCs w:val="20"/>
          <w:color w:val="121212"/>
        </w:rPr>
        <w:t>On July 9, 2025, the Company entered into an underwriting agreement (the “Underwriting Agreement”) with Morgan Stanley &amp; Co. LLC and BofA Securities, Inc., as the representatives of the several underwriters named in the Underwriting Agreement (collectively, the “Underwriters”), in connection with a follow-on offering, issuance and sale by the Company of 2,058,824 shares of the Company’s common stock. The offering price of the shares of common stock to the public was $85.00 per share. In addition, under the terms of the Underwriting Agreement, the Company granted the Underwriters a 30-day option to purchase up to 308,823 additional shares of Common Stock, at the public offering price per share, less underwriting discounts and commissions. On July 10, 2025, the Underwriters exercised the option in full. The closing of the sale of the shares pursuant to the offering, including the shares sold pursuant to the exercise in full of the option, took place on July 11, 2025, resulting in net proceeds of approximately $188.7 million, net of $12.6 million of</w:t>
      </w:r>
    </w:p>
    <w:p>
      <w:pPr>
        <w:sectPr>
          <w:pgSz w:w="12240" w:h="15840" w:orient="portrait"/>
          <w:cols w:equalWidth="0" w:num="1">
            <w:col w:w="9900"/>
          </w:cols>
          <w:pgMar w:left="1180" w:top="928" w:right="11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900"/>
          </w:cols>
          <w:pgMar w:left="1180" w:top="928" w:right="1160" w:bottom="0" w:gutter="0" w:footer="0" w:header="0"/>
          <w:type w:val="continuous"/>
        </w:sectPr>
      </w:pPr>
    </w:p>
    <w:bookmarkStart w:id="168" w:name="page169"/>
    <w:bookmarkEnd w:id="168"/>
    <w:p>
      <w:pPr>
        <w:jc w:val="both"/>
        <w:spacing w:after="0" w:line="265" w:lineRule="auto"/>
        <w:rPr>
          <w:sz w:val="20"/>
          <w:szCs w:val="20"/>
          <w:color w:val="auto"/>
        </w:rPr>
      </w:pPr>
      <w:r>
        <w:rPr>
          <w:rFonts w:ascii="Times New Roman" w:cs="Times New Roman" w:eastAsia="Times New Roman" w:hAnsi="Times New Roman"/>
          <w:sz w:val="20"/>
          <w:szCs w:val="20"/>
          <w:color w:val="121212"/>
        </w:rPr>
        <w:t>underwriting discounts and commissions, and other offering expenses incurred by the Company, for a total share issuance of 2,367,647.</w:t>
      </w:r>
    </w:p>
    <w:p>
      <w:pPr>
        <w:spacing w:after="0" w:line="18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121212"/>
        </w:rPr>
        <w:t>On February 29, 2024, the Company and Cowen entered into Amendment No. 1 to Sales Agreement (the “Amendment”) to increase the aggregate offering price of the shares of common stock that may be issued and sold pursuant to the Sales Agreement to $200.0 million (excluding the aggregate offering price of shares of common stock issued and sold pursuant to the Sales Agreement prior to February 29, 2024). In connection with the Amendment, on February 29, 2024, the Company filed with the Securities Exchange Commission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 In the quarter ended December 31, 2024 the Company sold 744,595 shares of common stock in the ATM program for net proceeds of $41.2 million. The Company also sold an additional 587,510 shares of common stock in the ATM program through January 21, 2025 for net proceeds of approximately $32.1 million.</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20"/>
          <w:szCs w:val="20"/>
          <w:color w:val="121212"/>
        </w:rPr>
        <w:t>September 19, 2022</w:t>
      </w:r>
      <w:r>
        <w:rPr>
          <w:rFonts w:ascii="Times New Roman" w:cs="Times New Roman" w:eastAsia="Times New Roman" w:hAnsi="Times New Roman"/>
          <w:sz w:val="20"/>
          <w:szCs w:val="20"/>
          <w:color w:val="auto"/>
        </w:rPr>
        <w:t xml:space="preserve">, the Company completed a public offering of 4,800,000 shares of common stock at a price to the public of $26.00 per share. The Company received $116,887 in net proceeds after deducting underwriting discounts, commissions and offering expenses. In addition, the Company granted the underwriters a 30-day option to purchase up to an additional 720,000 shares of its common stock at the price to the public, less underwriting discounts and commissions. On </w:t>
      </w:r>
      <w:r>
        <w:rPr>
          <w:rFonts w:ascii="Times New Roman" w:cs="Times New Roman" w:eastAsia="Times New Roman" w:hAnsi="Times New Roman"/>
          <w:sz w:val="20"/>
          <w:szCs w:val="20"/>
          <w:color w:val="121212"/>
        </w:rPr>
        <w:t>October 18, 2022</w:t>
      </w:r>
      <w:r>
        <w:rPr>
          <w:rFonts w:ascii="Times New Roman" w:cs="Times New Roman" w:eastAsia="Times New Roman" w:hAnsi="Times New Roman"/>
          <w:sz w:val="20"/>
          <w:szCs w:val="20"/>
          <w:color w:val="auto"/>
        </w:rPr>
        <w:t>, the Company completed the sale of an additional 580,000 shares of common stock at a price to the public of 26.00 per share pursuant to the partial exercise of the underwriters’ option to purchase additional shares, for aggregate net proceeds of approximately $14.2 million, after deducting underwriting discounts, commissions and offering expenses.</w:t>
      </w:r>
    </w:p>
    <w:p>
      <w:pPr>
        <w:spacing w:after="0" w:line="21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20"/>
          <w:szCs w:val="20"/>
          <w:color w:val="121212"/>
        </w:rPr>
        <w:t>November 2, 2021</w:t>
      </w:r>
      <w:r>
        <w:rPr>
          <w:rFonts w:ascii="Times New Roman" w:cs="Times New Roman" w:eastAsia="Times New Roman" w:hAnsi="Times New Roman"/>
          <w:sz w:val="20"/>
          <w:szCs w:val="20"/>
          <w:color w:val="auto"/>
        </w:rPr>
        <w:t>, the Company entered into a Sales Agreement with Cowen and Company, LLC (“Cowen”), pursuant to which the Company may issue and sell shares of its common stock, having an aggregate offering price of up to $100.0 million, from time to time through an “at the market” equity offering program under which Cowen acts as sales agent (the “ATM Program”). Between August 10, 2023 and August 21, 2023, the Company sold approximately two million shares of its common stock in the ATM Program for net proceeds of approximately $48.9 million.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Stock-based Compensation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2017 Equity Incentive Plan</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Rhythm Pharmaceuticals, Inc. 2017 Equity Incentive Plan (the “2017 Plan”) provides for the grant of incentive stock options, non-qualified stock options, stock appreciation rights, performance units, restricted stock awards, restricted stock units and stock grants to employees, consultants, advisors and directors of us or our affiliates, as determined by the board of directors. The number of shares authorized under the 2017 Plan increases on the first day of each calendar year, commencing on January 1, 2018 and ending on (and including) January 1, 2027, by an amount equal to 4% of the outstanding shares of stock outstanding as of the end of the immediately preceding fiscal year. On January 1, 2026, 2025, </w:t>
      </w:r>
      <w:r>
        <w:rPr>
          <w:rFonts w:ascii="Times New Roman" w:cs="Times New Roman" w:eastAsia="Times New Roman" w:hAnsi="Times New Roman"/>
          <w:sz w:val="20"/>
          <w:szCs w:val="20"/>
          <w:color w:val="121212"/>
        </w:rPr>
        <w:t>2024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121212"/>
        </w:rPr>
        <w:t>2023</w:t>
      </w:r>
      <w:r>
        <w:rPr>
          <w:rFonts w:ascii="Times New Roman" w:cs="Times New Roman" w:eastAsia="Times New Roman" w:hAnsi="Times New Roman"/>
          <w:sz w:val="20"/>
          <w:szCs w:val="20"/>
          <w:color w:val="auto"/>
        </w:rPr>
        <w:t>, 2,688,212, 2,495,626, 2,377,062, and 2,264,497 shares, respectively, were added to the 2017 Plan. Notwithstanding the foregoing, the board of directors may act prior to January 1 for a given year to provide that there will be no such January 1 increase in the number of shares authorized under the 2017 Plan for such year, or that the increase in the number of shares authorized under the 2017 Plan for such year will be a lesser number than would otherwise occur pursuant to the preceding sentence.</w:t>
      </w:r>
    </w:p>
    <w:p>
      <w:pPr>
        <w:spacing w:after="0" w:line="20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Shares of common stock issued upon the exercise of stock options are generally issued from new shares of the Company. The 2017 Plan provides that the exercise price of incentive stock options cannot be less than 100% of the fair market value of the common stock on the date of the award for participants who own less than 10% of the total combined voting power of stock of the Company, and not less than 110% for participants who own more than 10% of the Company's voting power. Awards granted under the 2017 Plan will vest over periods as determined by the Company's board of directors. For options granted to date, the exercise price equaled the fair value of the common stock as determined by the board of directors on the date of grant.</w:t>
      </w:r>
    </w:p>
    <w:p>
      <w:pPr>
        <w:spacing w:after="0" w:line="207"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121212"/>
        </w:rPr>
        <w:t>December 31, 2025</w:t>
      </w:r>
      <w:r>
        <w:rPr>
          <w:rFonts w:ascii="Times New Roman" w:cs="Times New Roman" w:eastAsia="Times New Roman" w:hAnsi="Times New Roman"/>
          <w:sz w:val="20"/>
          <w:szCs w:val="20"/>
          <w:color w:val="auto"/>
        </w:rPr>
        <w:t>, an aggregate of 13,717,040 shares of common stock were authorized for issuance under the 2017 Plan, of which a total of approximately 4,636,850 shares of common stock remained available for future awards. In addition, a total of 9,080,190 shares of common stock reserved for issuance were subject to currently outstanding stock options, performance share units and restricted stock units granted under the Plan.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880"/>
          </w:cols>
          <w:pgMar w:left="1180" w:top="838" w:right="1180" w:bottom="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i w:val="1"/>
          <w:iCs w:val="1"/>
          <w:color w:val="auto"/>
        </w:rPr>
        <w:t>2022 Inducement Plan</w:t>
      </w:r>
    </w:p>
    <w:p>
      <w:pPr>
        <w:spacing w:after="0" w:line="249"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20"/>
          <w:szCs w:val="20"/>
          <w:color w:val="121212"/>
        </w:rPr>
        <w:t>February 9, 2022</w:t>
      </w:r>
      <w:r>
        <w:rPr>
          <w:rFonts w:ascii="Times New Roman" w:cs="Times New Roman" w:eastAsia="Times New Roman" w:hAnsi="Times New Roman"/>
          <w:sz w:val="20"/>
          <w:szCs w:val="20"/>
          <w:color w:val="auto"/>
        </w:rPr>
        <w:t>, the Company’s board of directors adopted the Rhythm Pharmaceuticals, Inc. 2022 Employment Inducement Plan (the “2022 Inducement Plan”), which became effective on such date without stockholder approval pursuant to Rule 5635(c)(4) of the Nasdaq Stock Market LLC listing rules (“Rule 5635(c)(4)”). The 2022 Inducement Plan provides for the grant of non-qualified stock options, stock appreciation rights, performance units, restricted stock awards, restricted stock units and stock grants. In accordance with Rule 5635(c)(4), awards under the 2022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2022 Inducement Plan.</w:t>
      </w:r>
    </w:p>
    <w:p>
      <w:pPr>
        <w:spacing w:after="0" w:line="21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exercise price of stock options granted under the 2022 Inducement Plan will not be less than the fair market value of a share of the Company’s common stock on the grant date. Other terms of awards, including vesting requirements, are determined by the Company’s board of directors and are subject to the provisions of the 2022 Inducement Plan. Stock options granted to employees generally vest over a four-year period but may be granted with different vesting terms. Certain options may provide for accelerated vesting in the event of a change in control. Stock options granted under the 2022 Inducement Plan expire no more than 10 years from the date of grant. As of </w:t>
      </w:r>
      <w:r>
        <w:rPr>
          <w:rFonts w:ascii="Times New Roman" w:cs="Times New Roman" w:eastAsia="Times New Roman" w:hAnsi="Times New Roman"/>
          <w:sz w:val="20"/>
          <w:szCs w:val="20"/>
          <w:color w:val="121212"/>
        </w:rPr>
        <w:t>December 31, 2025</w:t>
      </w:r>
      <w:r>
        <w:rPr>
          <w:rFonts w:ascii="Times New Roman" w:cs="Times New Roman" w:eastAsia="Times New Roman" w:hAnsi="Times New Roman"/>
          <w:sz w:val="20"/>
          <w:szCs w:val="20"/>
          <w:color w:val="auto"/>
        </w:rPr>
        <w:t>, there were 371,148 stock option awards outstanding, 194,419 restricted stock unit awards outstanding and 59,067 shares of common stock available for future grant under the 2022 Inducement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2017 Employee Stock Purchase Plan</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Company maintains the Rhythm Pharmaceuticals, Inc. 2017 Employee Stock Purchase Plan, (the “2017 ESPP”), which became effective in connection with the completion of the Company’s IPO in October 2017. As of </w:t>
      </w:r>
      <w:r>
        <w:rPr>
          <w:rFonts w:ascii="Times New Roman" w:cs="Times New Roman" w:eastAsia="Times New Roman" w:hAnsi="Times New Roman"/>
          <w:sz w:val="20"/>
          <w:szCs w:val="20"/>
          <w:color w:val="121212"/>
        </w:rPr>
        <w:t>December 31, 2025</w:t>
      </w:r>
      <w:r>
        <w:rPr>
          <w:rFonts w:ascii="Times New Roman" w:cs="Times New Roman" w:eastAsia="Times New Roman" w:hAnsi="Times New Roman"/>
          <w:sz w:val="20"/>
          <w:szCs w:val="20"/>
          <w:color w:val="000000"/>
        </w:rPr>
        <w:t>, a total of 1,240,958 shares of common stock were reserved for issuance under the 2017 ESPP. In</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addition, the number of shares authorized under the 2017 ESPP increases on the first day of each calendar year, commencing on January 1, 2019 and ending on (and including) January 1, 2027, by an amount equal to the lesser of 1% of outstanding shares as of the end of the immediately preceding fiscal year. On January 1, 2025, 2024 and 2023, no shares were added to the 2017 ESPP. Notwithstanding the foregoing, the board of directors may act prior to January 1 of a given year to provide that there will be no such January 1 increase in the number of shares authorized under the 2017 ESPP for such year, or that the increase in the number of shares authorized under the 2017 ESPP for such year will be a lesser number than would otherwise occur pursuant to the preceding sentence. During the years ended December 31, 2025, 2024 and 2023, shares of 37,514, 44,554, and 49,819 were issued under the 2017 ESPP.</w:t>
      </w:r>
    </w:p>
    <w:p>
      <w:pPr>
        <w:spacing w:after="0" w:line="209"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The purchase price of common stock under our ESPP is equal to 85.0% of the lower of (i) the market value per share of the common stock on the first business day of an offering period or (ii) the market value per share of the common stock on the purchase date. The fair value of the discounted purchases made under our ESPP is calculated using the Black-Scholes model. The fair value of the look-back provision plus the 15.0% discount is recognized as compensation expense over the 6 months purchase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Company estimates the fair value of stock option awards to employees and non-employees using the Black-Scholes option-pricing model, which requires the input of subjective assumptions, including (a) the expected volatility of the underlying common stock, (b) the expected term of the award, (c) the risk-free interest rate, and (d) expected dividends. The Company bases its estimate of expected volatility using a blend of its stock price history for the length of time it has market data for its stock and using the historical volatility of a group of companies in the pharmaceutical and biotechnology industries in a similar stage of development as the Company that are publicly traded. For these analyses, the Company selected companies with comparable characteristics to its own including enterprise value, risk profiles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will continue to apply this process until a sufficient amount of historical information regarding the volatility of its own stock price becomes available.</w:t>
      </w:r>
    </w:p>
    <w:p>
      <w:pPr>
        <w:spacing w:after="0" w:line="209"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estimated the expected life of its employee stock options using the “simplified” method, whereby, the expected life equals the average of the vesting term and the original contractual term of the option. The risk-free interest rates for periods within the expected life of the option are based on the U.S. Treasury yield curve in effect during the period the options were granted. We have elected to account for forfeitures as they occur.</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900"/>
          </w:cols>
          <w:pgMar w:left="1180" w:top="829" w:right="1160" w:bottom="0" w:gutter="0" w:footer="0" w:header="0"/>
          <w:type w:val="continuous"/>
        </w:sectPr>
      </w:pPr>
    </w:p>
    <w:bookmarkStart w:id="170" w:name="page171"/>
    <w:bookmarkEnd w:id="170"/>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grant date fair value of awards subject to service-based vesting is recognized ratably over the requisite service period, which is generally the vesting period of the respective awards. The Company's stock option awards typically vest over a service period that ranges from one to four years and includes awards with one year cliff vesting followed by ratable monthly and quarterly vesting thereafter and ratable monthly and quarterly vesting beginning on the grant date.</w:t>
      </w:r>
    </w:p>
    <w:p>
      <w:pPr>
        <w:spacing w:after="0" w:line="20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granted 740,919, 926,543, and 842,528 stock option awards pursuant to the 2017 Plan to certain directors, employees and non-employees, respectively. Using the Black-Scholes option pricing model, the weighted-average grant date fair value relating to outstanding stock options granted under the 2017 Plan during the years ended December 31, 2025, 2024, and 2023 was $57.70, $32.69, and $17.72, respectively.</w:t>
      </w:r>
    </w:p>
    <w:p>
      <w:pPr>
        <w:spacing w:after="0" w:line="207"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granted 0, 57,100, and 229,360 stock option awards pursuant to the 2022 Inducement Plan. Using the Black-Scholes option pricing model, the weighted-average grant date fair value relating to outstanding stock options granted under the Company’s stock option plan during the years ended December 31, 2024 and 2023 were $29.16 and $15.30, respectively.</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fair value of stock options granted to employees and directors was estimated at the date of grant using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Black-Scholes option pricing model with the following weighted-average assumptions:</w:t>
      </w:r>
    </w:p>
    <w:p>
      <w:pPr>
        <w:spacing w:after="0" w:line="30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3546475</wp:posOffset>
                </wp:positionH>
                <wp:positionV relativeFrom="paragraph">
                  <wp:posOffset>13970</wp:posOffset>
                </wp:positionV>
                <wp:extent cx="27336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5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14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Risk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2.35 %</w:t>
            </w:r>
          </w:p>
        </w:tc>
      </w:tr>
      <w:tr>
        <w:trPr>
          <w:trHeight w:val="284"/>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6.11</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71.67 %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74.59 %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76.11 %</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4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311900" cy="787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5">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the Company's stock option activity for the year ended December 31, 2025 is as follows: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r>
              <w:rPr>
                <w:rFonts w:ascii="Arial" w:cs="Arial" w:eastAsia="Arial" w:hAnsi="Arial"/>
                <w:sz w:val="16"/>
                <w:szCs w:val="16"/>
                <w:b w:val="1"/>
                <w:bCs w:val="1"/>
                <w:color w:val="auto"/>
                <w:w w:val="98"/>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8"/>
              <w:spacing w:after="0" w:line="182"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8"/>
              <w:spacing w:after="0" w:line="18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67"/>
              <w:spacing w:after="0" w:line="182"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300" w:type="dxa"/>
            <w:vAlign w:val="bottom"/>
          </w:tcPr>
          <w:p>
            <w:pPr>
              <w:jc w:val="right"/>
              <w:ind w:right="185"/>
              <w:spacing w:after="0" w:line="18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8"/>
              <w:spacing w:after="0" w:line="18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7"/>
              <w:spacing w:after="0" w:line="18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13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6,611,391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216,413</w:t>
            </w:r>
          </w:p>
        </w:tc>
        <w:tc>
          <w:tcPr>
            <w:tcW w:w="0" w:type="dxa"/>
            <w:vAlign w:val="bottom"/>
          </w:tcPr>
          <w:p>
            <w:pPr>
              <w:spacing w:after="0"/>
              <w:rPr>
                <w:sz w:val="1"/>
                <w:szCs w:val="1"/>
                <w:color w:val="auto"/>
              </w:rPr>
            </w:pPr>
          </w:p>
        </w:tc>
      </w:tr>
      <w:tr>
        <w:trPr>
          <w:trHeight w:val="30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740,919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57.70</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(843,525)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52,980</w:t>
            </w:r>
          </w:p>
        </w:tc>
        <w:tc>
          <w:tcPr>
            <w:tcW w:w="0" w:type="dxa"/>
            <w:vAlign w:val="bottom"/>
          </w:tcPr>
          <w:p>
            <w:pPr>
              <w:spacing w:after="0"/>
              <w:rPr>
                <w:sz w:val="1"/>
                <w:szCs w:val="1"/>
                <w:color w:val="auto"/>
              </w:rPr>
            </w:pPr>
          </w:p>
        </w:tc>
      </w:tr>
      <w:tr>
        <w:trPr>
          <w:trHeight w:val="303"/>
        </w:trPr>
        <w:tc>
          <w:tcPr>
            <w:tcW w:w="4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Cancelled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6,466,178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510,138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at December 31, 2025</w:t>
            </w: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7"/>
              <w:spacing w:after="0"/>
              <w:rPr>
                <w:sz w:val="20"/>
                <w:szCs w:val="20"/>
                <w:color w:val="auto"/>
              </w:rPr>
            </w:pPr>
            <w:r>
              <w:rPr>
                <w:rFonts w:ascii="Times New Roman" w:cs="Times New Roman" w:eastAsia="Times New Roman" w:hAnsi="Times New Roman"/>
                <w:sz w:val="20"/>
                <w:szCs w:val="20"/>
                <w:color w:val="auto"/>
              </w:rPr>
              <w:t>414,757</w:t>
            </w:r>
          </w:p>
        </w:tc>
        <w:tc>
          <w:tcPr>
            <w:tcW w:w="0" w:type="dxa"/>
            <w:vAlign w:val="bottom"/>
          </w:tcPr>
          <w:p>
            <w:pPr>
              <w:spacing w:after="0" w:line="20" w:lineRule="exact"/>
              <w:rPr>
                <w:sz w:val="1"/>
                <w:szCs w:val="1"/>
                <w:color w:val="auto"/>
              </w:rPr>
            </w:pPr>
          </w:p>
        </w:tc>
      </w:tr>
      <w:tr>
        <w:trPr>
          <w:trHeight w:val="240"/>
        </w:trPr>
        <w:tc>
          <w:tcPr>
            <w:tcW w:w="4460" w:type="dxa"/>
            <w:vAlign w:val="bottom"/>
            <w:vMerge w:val="continue"/>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4,940,330</w:t>
            </w:r>
          </w:p>
        </w:tc>
        <w:tc>
          <w:tcPr>
            <w:tcW w:w="28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1181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6">
                      <a:extLst>
                        <a:ext uri="{28A0092B-C50C-407E-A947-70E740481C1C}"/>
                      </a:extLst>
                    </a:blip>
                    <a:srcRect/>
                    <a:stretch>
                      <a:fillRect/>
                    </a:stretch>
                  </pic:blipFill>
                  <pic:spPr bwMode="auto">
                    <a:xfrm>
                      <a:off x="0" y="0"/>
                      <a:ext cx="6311900" cy="11811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49" w:lineRule="exact"/>
        <w:rPr>
          <w:sz w:val="20"/>
          <w:szCs w:val="20"/>
          <w:color w:val="auto"/>
        </w:rPr>
      </w:pPr>
    </w:p>
    <w:p>
      <w:pPr>
        <w:jc w:val="both"/>
        <w:ind w:right="20" w:firstLine="772"/>
        <w:spacing w:after="0" w:line="264" w:lineRule="auto"/>
        <w:rPr>
          <w:sz w:val="20"/>
          <w:szCs w:val="20"/>
          <w:color w:val="auto"/>
        </w:rPr>
      </w:pPr>
      <w:r>
        <w:rPr>
          <w:rFonts w:ascii="Times New Roman" w:cs="Times New Roman" w:eastAsia="Times New Roman" w:hAnsi="Times New Roman"/>
          <w:sz w:val="19"/>
          <w:szCs w:val="19"/>
          <w:color w:val="auto"/>
        </w:rPr>
        <w:t>The Company may grant restricted stock units (“RSUs”) to employees and nonemployee directors under the 2017 Plan and to employees under the 2022 Inducement Plan. Each RSU represents a right to receive one share of the Company's common stock upon the completion of a specific period of continued service. RSU awards granted are valued at the market price of the Company's common stock on the date of grant. The Company recognizes stock-based compensation expense for the fair values of these RSUs on a straight-line basis over the requisite service period of these awards.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900"/>
          </w:cols>
          <w:pgMar w:left="1180" w:top="838" w:right="1160" w:bottom="0" w:gutter="0" w:footer="0" w:header="0"/>
          <w:type w:val="continuous"/>
        </w:sectPr>
      </w:pPr>
    </w:p>
    <w:bookmarkStart w:id="171" w:name="page172"/>
    <w:bookmarkEnd w:id="171"/>
    <w:p>
      <w:pPr>
        <w:ind w:left="720"/>
        <w:spacing w:after="0"/>
        <w:rPr>
          <w:sz w:val="20"/>
          <w:szCs w:val="20"/>
          <w:color w:val="auto"/>
        </w:rPr>
      </w:pPr>
      <w:r>
        <w:rPr>
          <w:rFonts w:ascii="Times New Roman" w:cs="Times New Roman" w:eastAsia="Times New Roman" w:hAnsi="Times New Roman"/>
          <w:sz w:val="20"/>
          <w:szCs w:val="20"/>
          <w:color w:val="auto"/>
        </w:rPr>
        <w:t>A summary of the Company's restricted stock unit activity for the year ended December 31, 2025 is as follows: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2"/>
        </w:trPr>
        <w:tc>
          <w:tcPr>
            <w:tcW w:w="7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9"/>
              <w:spacing w:after="0" w:line="182" w:lineRule="exact"/>
              <w:rPr>
                <w:sz w:val="20"/>
                <w:szCs w:val="20"/>
                <w:color w:val="auto"/>
              </w:rPr>
            </w:pPr>
            <w:r>
              <w:rPr>
                <w:rFonts w:ascii="Times New Roman" w:cs="Times New Roman" w:eastAsia="Times New Roman" w:hAnsi="Times New Roman"/>
                <w:sz w:val="16"/>
                <w:szCs w:val="16"/>
                <w:b w:val="1"/>
                <w:bCs w:val="1"/>
                <w:color w:val="auto"/>
              </w:rPr>
              <w:t>Average</w:t>
            </w:r>
          </w:p>
        </w:tc>
      </w:tr>
      <w:tr>
        <w:trPr>
          <w:trHeight w:val="182"/>
        </w:trPr>
        <w:tc>
          <w:tcPr>
            <w:tcW w:w="7000" w:type="dxa"/>
            <w:vAlign w:val="bottom"/>
          </w:tcPr>
          <w:p>
            <w:pPr>
              <w:spacing w:after="0"/>
              <w:rPr>
                <w:sz w:val="15"/>
                <w:szCs w:val="15"/>
                <w:color w:val="auto"/>
              </w:rPr>
            </w:pPr>
          </w:p>
        </w:tc>
        <w:tc>
          <w:tcPr>
            <w:tcW w:w="1400" w:type="dxa"/>
            <w:vAlign w:val="bottom"/>
          </w:tcPr>
          <w:p>
            <w:pPr>
              <w:jc w:val="right"/>
              <w:ind w:right="246"/>
              <w:spacing w:after="0" w:line="18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9"/>
              <w:spacing w:after="0" w:line="182"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7"/>
        </w:trPr>
        <w:tc>
          <w:tcPr>
            <w:tcW w:w="7000" w:type="dxa"/>
            <w:vAlign w:val="bottom"/>
          </w:tcPr>
          <w:p>
            <w:pPr>
              <w:spacing w:after="0"/>
              <w:rPr>
                <w:sz w:val="18"/>
                <w:szCs w:val="18"/>
                <w:color w:val="auto"/>
              </w:rPr>
            </w:pPr>
          </w:p>
        </w:tc>
        <w:tc>
          <w:tcPr>
            <w:tcW w:w="14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RSUs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1,826,709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36.40</w:t>
            </w:r>
          </w:p>
        </w:tc>
      </w:tr>
      <w:tr>
        <w:trPr>
          <w:trHeight w:val="30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1,771,564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w:t>
            </w:r>
          </w:p>
        </w:tc>
      </w:tr>
      <w:tr>
        <w:trPr>
          <w:trHeight w:val="300"/>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w:t>
            </w:r>
          </w:p>
        </w:tc>
      </w:tr>
      <w:tr>
        <w:trPr>
          <w:trHeight w:val="303"/>
        </w:trPr>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(78,152)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47.84</w:t>
            </w:r>
          </w:p>
        </w:tc>
      </w:tr>
      <w:tr>
        <w:trPr>
          <w:trHeight w:val="26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2,884,935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54.42</w:t>
            </w:r>
          </w:p>
        </w:tc>
      </w:tr>
      <w:tr>
        <w:trPr>
          <w:trHeight w:val="20"/>
        </w:trPr>
        <w:tc>
          <w:tcPr>
            <w:tcW w:w="7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7">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the aggregate intrinsic value of unvested RSUs was $308.8 million.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Units</w:t>
      </w:r>
    </w:p>
    <w:p>
      <w:pPr>
        <w:spacing w:after="0" w:line="249"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In November 2021, the Company granted a maximum of 956,145 performance stock units (“PSUs”) to employees under the 2017 Plan. Each PSU represents a right to receive one share of the Company's common stock upon vesting. The performance-based stock units granted in 2021 vested on December 31, 2024 based upon i) continued service through the vesting date and (ii) the achievement of specific clinical development and regulatory performance events, as approved by the compensation committee. PSU awards are valued at the market price of the Company's common stock on the date of grant. The Company recognizes stock-based compensation expense for the fair value of these PSUs for the awards that are probable of vesting over the service period. During each financial period, management estimates the probable number of PSU’s that would vest until the ultimate achievement of the performance goal is known. In the year ended December 31, 2024, 581,346 of the PSUs granted in 2021 vested.</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 April 2024, the Company approved a maximum of 340,000 PSUs to employees under the 2017 Plan. Each PSU represents a right to receive one share of the Company's common stock upon vesting. The performance-based stock units approved in 2024 will vest based the achievement of the following milestones i) continued service through the the date on which the Compensation Committee determines that the performance metrics have been achieved, ii) the achievement of annual net product revenue amounts, and iii) the achievement of specific clinical development and regulatory performance events, as approved by the compensation committee. The Company recognizes stock-based compensation expense for the fair value of these PSUs for the awards that are probable of vesting over the service period. The Company granted 45,322 PSU’s during the year ended December 31, 2025. During each financial period, management estimates the probable number of PSU’s that would vest until the ultimate achievement of the performance goal is known. As of December 31, 2025 none of these PSU’s have vested.</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the Company's performance stock unit activity for the year ended December 31, 2025 is as follows: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2"/>
        </w:trPr>
        <w:tc>
          <w:tcPr>
            <w:tcW w:w="7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9"/>
              <w:spacing w:after="0" w:line="182" w:lineRule="exact"/>
              <w:rPr>
                <w:sz w:val="20"/>
                <w:szCs w:val="20"/>
                <w:color w:val="auto"/>
              </w:rPr>
            </w:pPr>
            <w:r>
              <w:rPr>
                <w:rFonts w:ascii="Times New Roman" w:cs="Times New Roman" w:eastAsia="Times New Roman" w:hAnsi="Times New Roman"/>
                <w:sz w:val="16"/>
                <w:szCs w:val="16"/>
                <w:b w:val="1"/>
                <w:bCs w:val="1"/>
                <w:color w:val="auto"/>
              </w:rPr>
              <w:t>Average</w:t>
            </w:r>
          </w:p>
        </w:tc>
      </w:tr>
      <w:tr>
        <w:trPr>
          <w:trHeight w:val="182"/>
        </w:trPr>
        <w:tc>
          <w:tcPr>
            <w:tcW w:w="7000" w:type="dxa"/>
            <w:vAlign w:val="bottom"/>
          </w:tcPr>
          <w:p>
            <w:pPr>
              <w:spacing w:after="0"/>
              <w:rPr>
                <w:sz w:val="15"/>
                <w:szCs w:val="15"/>
                <w:color w:val="auto"/>
              </w:rPr>
            </w:pPr>
          </w:p>
        </w:tc>
        <w:tc>
          <w:tcPr>
            <w:tcW w:w="1400" w:type="dxa"/>
            <w:vAlign w:val="bottom"/>
          </w:tcPr>
          <w:p>
            <w:pPr>
              <w:jc w:val="right"/>
              <w:ind w:right="246"/>
              <w:spacing w:after="0" w:line="18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9"/>
              <w:spacing w:after="0" w:line="182"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7"/>
        </w:trPr>
        <w:tc>
          <w:tcPr>
            <w:tcW w:w="7000" w:type="dxa"/>
            <w:vAlign w:val="bottom"/>
          </w:tcPr>
          <w:p>
            <w:pPr>
              <w:spacing w:after="0"/>
              <w:rPr>
                <w:sz w:val="18"/>
                <w:szCs w:val="18"/>
                <w:color w:val="auto"/>
              </w:rPr>
            </w:pPr>
          </w:p>
        </w:tc>
        <w:tc>
          <w:tcPr>
            <w:tcW w:w="14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PSUs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13.24</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56.60</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Cancelled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294,644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41.11</w:t>
            </w:r>
          </w:p>
        </w:tc>
      </w:tr>
      <w:tr>
        <w:trPr>
          <w:trHeight w:val="20"/>
        </w:trPr>
        <w:tc>
          <w:tcPr>
            <w:tcW w:w="7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8">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900"/>
          </w:cols>
          <w:pgMar w:left="1180" w:top="838" w:right="1160" w:bottom="0" w:gutter="0" w:footer="0" w:header="0"/>
          <w:type w:val="continuous"/>
        </w:sectPr>
      </w:pPr>
    </w:p>
    <w:bookmarkStart w:id="172" w:name="page173"/>
    <w:bookmarkEnd w:id="172"/>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following table summarizes the classification of the Company's stock-based compensation expenses related to stock options, restricted stock units, performance stock units and the employee stock purchase plan recognized in the Company's consolidated statements of operations and comprehensive loss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8,449</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47,016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29,168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24,104</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39,682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32,553</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9">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Stock-based compensation expense by award type recognized during the years ended December 31, 2025, 2024 and 2023 was as follows (in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Employees stock purchase plan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5,998</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Performance stock units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8,303</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39,682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32,553</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0">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has unrecognized compensation cost of $42.6 million related to non-vested employee, non-employee and director stock option awards under all equity plans that are expected to be recognized over a weighted-average period of 2.09 years. The Company has unrecognized compensation cost of $126.1 million related to non-vested employee restricted stock unit and performance stock unit awards under all equity plans that are expected to be recognized over a weighted-average period of 2.45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Series A Convertible Preferred Stock</w:t>
      </w:r>
    </w:p>
    <w:p>
      <w:pPr>
        <w:spacing w:after="0" w:line="24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April 1, 2024, the Company entered into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$147.8 million, net of $2.3 million of issuance costs, or $1,000 per share (the “Issuance”). The Issuance closed on April 15, 2024.</w:t>
      </w:r>
    </w:p>
    <w:p>
      <w:pPr>
        <w:spacing w:after="0" w:line="20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determined the obligation to issue 150,000 shares of Convertible Preferred Stock to Perceptive and Investors in the future at a set price represented a forward contract which was required to be accounted for at fair value. The fair value of the forward contract was measured as the difference between the fair value of the Convertible Preferred Stock, as determined using a binomial lattice valuation model, and the consideration payable to the Company. The assumptions used in the binomial lattice model include: (1) the Company’s common stock price on the issuance and settlement dates; (2) the Conversion Price as of $48.00 as per the Agreement; (3) a 20-year term to maturity; (4) risk-free rates; and (5) volatility. The fair value of the forward contract upon issuance was determined to be $0. Upon closing, the value of the forward contract was determined to be $8.9 million and the fair value of the Convertible Preferred Stock was determined to be $141.1 million. The Convertible Preferred Stock was recorded at its fair value on the Issuance and the change in fair value of the forward contract was recorded as other income in its consolidated statement of operations for the year ended December 31, 2024. Issuance costs of $2.3 million were incurred and recorded as a reduction in the carrying value of the Convertible Preferred Stock in the year ended December 31, 2024.</w:t>
      </w:r>
    </w:p>
    <w:p>
      <w:pPr>
        <w:spacing w:after="0" w:line="21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December 31, 2025.</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900"/>
          </w:cols>
          <w:pgMar w:left="1180" w:top="838" w:right="1160" w:bottom="0" w:gutter="0" w:footer="0" w:header="0"/>
          <w:type w:val="continuous"/>
        </w:sectPr>
      </w:pPr>
    </w:p>
    <w:bookmarkStart w:id="173" w:name="page174"/>
    <w:bookmarkEnd w:id="173"/>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On December 4, 2025, and in accordance with the terms described below, a holder of the Company's Series A Convertible Preferred Stock exercised their right to convert 17,500 shares of Series A Convertible Preferred Stock to common shares. Each of the 17,500 shares of Series A Convertible Preferred Stock converted to 20.8333 shares of common stock, resulting in a total of 364,582 shares of common stock. The Company reclassified the carrying value of the converted shares of $17.2 million from Series A convertible Preferred Stock to common stock and additional paid in capital, for this non-cash financing event.</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accrued dividends of $5.4 million for the year ended December 31, 2025, as a reduction to additional paid-in capital and an increase to the carrying value of Series A Convertible Preferred Stock. After conversion of the 17,500 shares of Series A Convertible Preferred Stock, and the accretion of preferred stock dividends, the carrying value of Series A Convertible Preferred Stock as of December 31, 2025 was $131.0 million.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Convertible Preferred Stock has the following rights and privileges: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44"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Series A Preferred Stock will rank senior to the Company’s common stock with respect to the distribution of assets upon the Company’s liquidation, dissolution or winding up.</w:t>
      </w:r>
    </w:p>
    <w:p>
      <w:pPr>
        <w:spacing w:after="0" w:line="18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w:t>
      </w:r>
    </w:p>
    <w:p>
      <w:pPr>
        <w:spacing w:after="0" w:line="24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spacing w:after="0" w:line="197"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244"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Company has the right to redeem all Convertible Preferred Stock after the Redemption Trigger Date, which is the fifth anniversary of the Initial Issue Date of April 15, 2024. The amount payable on the redemption date is equal to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900"/>
          </w:cols>
          <w:pgMar w:left="1180" w:top="838" w:right="1160" w:bottom="0" w:gutter="0" w:footer="0" w:header="0"/>
          <w:type w:val="continuous"/>
        </w:sectPr>
      </w:pPr>
    </w:p>
    <w:bookmarkStart w:id="174" w:name="page175"/>
    <w:bookmarkEnd w:id="174"/>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Liquidation Preference (i.e., Initial Liquidation Preference of $1,000 per share plus PIK Dividends) plus any unpaid Regular Dividends (to the extent such accumulated and unpaid Regular Dividends are not included in such Liquidation Preference).</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If a change of control occurs, each holder shall have the right to require the Company to repurchase all, or any whole number of shares that is less than all, of the holder’s Convertible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December 31, 2025, the Company does not consider a change of control to be probable and therefore the Convertible Preferred Stock is not considered redeemable.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44"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After the second anniversary, dividends on the Convertible Preferred Stock accrue quarterly, at a 6% annual rate, and if not paid out in cash before the quarter end, will become PIK Dividends and added to the liquidation preference, or original issue price plus PIK Dividends. Since dividends do not commence until the second anniversary of the Issuance, the Convertible Preferred Stock is considered increasing rate preferred stock. Accordingly, the Company accretes the dividends, using the effective interest method, from Issuance to the first contractual call date, April 15, 2029.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Conversions:</w:t>
      </w:r>
    </w:p>
    <w:p>
      <w:pPr>
        <w:spacing w:after="0" w:line="24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Holders of Convertible Preferred Stock 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spacing w:after="0" w:line="20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207"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On July 10, 2024, the Company filed with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Significant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RareStone Group Ltd.</w:t>
      </w:r>
    </w:p>
    <w:p>
      <w:pPr>
        <w:spacing w:after="0" w:line="24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December 2021, the Company entered into an Exclusive License Agreement with RareStone Group Ltd.,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w:t>
      </w:r>
      <w:r>
        <w:rPr>
          <w:rFonts w:ascii="Times New Roman" w:cs="Times New Roman" w:eastAsia="Times New Roman" w:hAnsi="Times New Roman"/>
          <w:sz w:val="20"/>
          <w:szCs w:val="20"/>
          <w:color w:val="181818"/>
        </w:rPr>
        <w:t>In accordance with the terms of the</w:t>
      </w:r>
      <w:r>
        <w:rPr>
          <w:rFonts w:ascii="Times New Roman" w:cs="Times New Roman" w:eastAsia="Times New Roman" w:hAnsi="Times New Roman"/>
          <w:sz w:val="20"/>
          <w:szCs w:val="20"/>
          <w:color w:val="auto"/>
        </w:rPr>
        <w:t xml:space="preserve"> RareStone License</w:t>
      </w:r>
      <w:r>
        <w:rPr>
          <w:rFonts w:ascii="Times New Roman" w:cs="Times New Roman" w:eastAsia="Times New Roman" w:hAnsi="Times New Roman"/>
          <w:sz w:val="20"/>
          <w:szCs w:val="20"/>
          <w:color w:val="181818"/>
        </w:rPr>
        <w:t>, RareStone made an upfront payment to Rhythm of</w:t>
      </w:r>
      <w:r>
        <w:rPr>
          <w:rFonts w:ascii="Times New Roman" w:cs="Times New Roman" w:eastAsia="Times New Roman" w:hAnsi="Times New Roman"/>
          <w:sz w:val="20"/>
          <w:szCs w:val="20"/>
          <w:color w:val="auto"/>
        </w:rPr>
        <w:t xml:space="preserve"> $7.0 million </w:t>
      </w:r>
      <w:r>
        <w:rPr>
          <w:rFonts w:ascii="Times New Roman" w:cs="Times New Roman" w:eastAsia="Times New Roman" w:hAnsi="Times New Roman"/>
          <w:sz w:val="20"/>
          <w:szCs w:val="20"/>
          <w:color w:val="181818"/>
        </w:rPr>
        <w:t>and issued Rhythm 1,077,586 ordinary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81818"/>
        </w:rPr>
        <w:t>The Company was eligible to receive development and commercialization milestones, as well as tiered royalty payments on annual net sales of IMCIVREE.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900"/>
          </w:cols>
          <w:pgMar w:left="1180" w:top="838" w:right="1160" w:bottom="0" w:gutter="0" w:footer="0" w:header="0"/>
          <w:type w:val="continuous"/>
        </w:sectPr>
      </w:pPr>
    </w:p>
    <w:bookmarkStart w:id="175" w:name="page176"/>
    <w:bookmarkEnd w:id="175"/>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181818"/>
        </w:rPr>
        <w:t xml:space="preserve">The Company initially estimated the fair value of the RareStone equity to be </w:t>
      </w:r>
      <w:r>
        <w:rPr>
          <w:rFonts w:ascii="Times New Roman" w:cs="Times New Roman" w:eastAsia="Times New Roman" w:hAnsi="Times New Roman"/>
          <w:sz w:val="20"/>
          <w:szCs w:val="20"/>
          <w:color w:val="000000"/>
        </w:rPr>
        <w:t>$2.4 million</w:t>
      </w:r>
      <w:r>
        <w:rPr>
          <w:rFonts w:ascii="Times New Roman" w:cs="Times New Roman" w:eastAsia="Times New Roman" w:hAnsi="Times New Roman"/>
          <w:sz w:val="20"/>
          <w:szCs w:val="20"/>
          <w:color w:val="181818"/>
        </w:rPr>
        <w:t xml:space="preserve"> based on a preliminary valuation during the first quarter of 2022. Upon completion of the valuation procedures during the second quarter of 2022, the Company concluded the initial fair value of the RareStone equity to be </w:t>
      </w:r>
      <w:r>
        <w:rPr>
          <w:rFonts w:ascii="Times New Roman" w:cs="Times New Roman" w:eastAsia="Times New Roman" w:hAnsi="Times New Roman"/>
          <w:sz w:val="20"/>
          <w:szCs w:val="20"/>
          <w:color w:val="000000"/>
        </w:rPr>
        <w:t>$1.0 million</w:t>
      </w:r>
      <w:r>
        <w:rPr>
          <w:rFonts w:ascii="Times New Roman" w:cs="Times New Roman" w:eastAsia="Times New Roman" w:hAnsi="Times New Roman"/>
          <w:sz w:val="20"/>
          <w:szCs w:val="20"/>
          <w:color w:val="181818"/>
        </w:rPr>
        <w:t xml:space="preserve">. During the third quarter of 2022, the Company estimated the fair value of the RareStone equity to be de minimis based upon the results of an updated valuation and recorded an other-than-temporary impairment of </w:t>
      </w:r>
      <w:r>
        <w:rPr>
          <w:rFonts w:ascii="Times New Roman" w:cs="Times New Roman" w:eastAsia="Times New Roman" w:hAnsi="Times New Roman"/>
          <w:sz w:val="20"/>
          <w:szCs w:val="20"/>
          <w:color w:val="000000"/>
        </w:rPr>
        <w:t>$1.0 million</w:t>
      </w:r>
      <w:r>
        <w:rPr>
          <w:rFonts w:ascii="Times New Roman" w:cs="Times New Roman" w:eastAsia="Times New Roman" w:hAnsi="Times New Roman"/>
          <w:sz w:val="20"/>
          <w:szCs w:val="20"/>
          <w:color w:val="181818"/>
        </w:rPr>
        <w:t xml:space="preserve"> related to the decline in fair value as a component of other expense in our consolidated statements of operations and other comprehensive loss for the year ended December 31, 2022. The other-than-temporary impairment of </w:t>
      </w:r>
      <w:r>
        <w:rPr>
          <w:rFonts w:ascii="Times New Roman" w:cs="Times New Roman" w:eastAsia="Times New Roman" w:hAnsi="Times New Roman"/>
          <w:sz w:val="20"/>
          <w:szCs w:val="20"/>
          <w:color w:val="000000"/>
        </w:rPr>
        <w:t>$1.0 million</w:t>
      </w:r>
      <w:r>
        <w:rPr>
          <w:rFonts w:ascii="Times New Roman" w:cs="Times New Roman" w:eastAsia="Times New Roman" w:hAnsi="Times New Roman"/>
          <w:sz w:val="20"/>
          <w:szCs w:val="20"/>
          <w:color w:val="181818"/>
        </w:rPr>
        <w:t xml:space="preserve"> included the reclassification of a </w:t>
      </w:r>
      <w:r>
        <w:rPr>
          <w:rFonts w:ascii="Times New Roman" w:cs="Times New Roman" w:eastAsia="Times New Roman" w:hAnsi="Times New Roman"/>
          <w:sz w:val="20"/>
          <w:szCs w:val="20"/>
          <w:color w:val="000000"/>
        </w:rPr>
        <w:t>$0.3 million</w:t>
      </w:r>
      <w:r>
        <w:rPr>
          <w:rFonts w:ascii="Times New Roman" w:cs="Times New Roman" w:eastAsia="Times New Roman" w:hAnsi="Times New Roman"/>
          <w:sz w:val="20"/>
          <w:szCs w:val="20"/>
          <w:color w:val="181818"/>
        </w:rPr>
        <w:t xml:space="preserve"> unrealized l</w:t>
      </w:r>
      <w:r>
        <w:rPr>
          <w:rFonts w:ascii="Times New Roman" w:cs="Times New Roman" w:eastAsia="Times New Roman" w:hAnsi="Times New Roman"/>
          <w:sz w:val="20"/>
          <w:szCs w:val="20"/>
          <w:color w:val="000000"/>
        </w:rPr>
        <w:t>oss previously recorded as a component of accumulated other comprehensive income (loss) in our consolidated</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000000"/>
        </w:rPr>
        <w:t>statement of stockholders’ equity during the second quarter of 2022.</w:t>
      </w:r>
    </w:p>
    <w:p>
      <w:pPr>
        <w:spacing w:after="0" w:line="21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received total upfront consideration of $8.0 million comprised of an upfront payment of $7.0 million, and the estimated fair value of the RareStone equity of $1.0 million. The Company determined that the RareStone License contains two performance obligations, the delivery of the license and the supply of clinical and commercial product.</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 xml:space="preserve">Based on a relative fair-value allocation between the license and the manufacture of clinical and commercial product, the Company recognized $6.8 million of license revenue in the consolidated statements of operations and comprehensive loss during the year ended </w:t>
      </w:r>
      <w:r>
        <w:rPr>
          <w:rFonts w:ascii="Times New Roman" w:cs="Times New Roman" w:eastAsia="Times New Roman" w:hAnsi="Times New Roman"/>
          <w:sz w:val="20"/>
          <w:szCs w:val="20"/>
          <w:color w:val="181818"/>
        </w:rPr>
        <w:t>December 31, 2022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81818"/>
        </w:rPr>
        <w:t>The discount related to commercial manufacturing 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81818"/>
        </w:rPr>
        <w:t>will be deferred and recognized over the commercial supply period or upon termination of the agreement.</w:t>
      </w:r>
    </w:p>
    <w:p>
      <w:pPr>
        <w:spacing w:after="0" w:line="203"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On March 14, 2025, we entered into a termination agreement (the “Termination Agreement”) with RareStone Group Ltd. (“RareStone”) and RareStone Medicine (Shenzhen) Co., Ltd. (“RareStone Shenzhen”), pursuant to which the Company, RareStone and RareStone Shenzhen have mutually agreed to terminate (i) the Exclusive License Agreement between the Company and RareStone, dated December 3, 2021 (the “License Agreement”); and (ii) the Share Purchase Agreement between the Company and RareStone, dated December 3, 2021 (the “Share Purchase Agreement”, and with the License Agreement the “RareStone Agreements”).</w:t>
      </w:r>
    </w:p>
    <w:p>
      <w:pPr>
        <w:spacing w:after="0" w:line="20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Under the Termination Agreement, the Company agreed to pay $6.3 million as a repayment of a portion of the upfront payment made pursuant to Section 7.1 of the License Agreement. In connection with the Termination Agreement, the Company and RareStone also entered into a Share Repurchase Agreement dated March 14, 2025, pursuant to which the Company has agreed to convey all of the shares acquired under the original Share Purchase Agreement back to RareStone, for no additional consideration. The Company had previously written off the value of the shares in the year ended December 31, 2022. Prior to executing the termination agreement, the Company had recorded $1.3 million of deferred revenue related to this arrangement for unsatisfied performance obligations. As a result of the Termination Agreement, the Company recognized the $6.3 million paid to RareStone as a reduction in previously-recognized license revenue as it represented consideration paid to a customer, and recognized all existing deferred revenue resulting in a net reduction in license revenue of $5.0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Ipsen Pharma S.A.S.</w:t>
      </w:r>
    </w:p>
    <w:p>
      <w:pPr>
        <w:spacing w:after="0" w:line="244" w:lineRule="exact"/>
        <w:rPr>
          <w:sz w:val="20"/>
          <w:szCs w:val="20"/>
          <w:color w:val="auto"/>
        </w:rPr>
      </w:pPr>
    </w:p>
    <w:p>
      <w:pPr>
        <w:jc w:val="both"/>
        <w:ind w:right="20" w:firstLine="720"/>
        <w:spacing w:after="0" w:line="243" w:lineRule="auto"/>
        <w:rPr>
          <w:sz w:val="20"/>
          <w:szCs w:val="20"/>
          <w:color w:val="auto"/>
        </w:rPr>
      </w:pPr>
      <w:r>
        <w:rPr>
          <w:rFonts w:ascii="Times New Roman" w:cs="Times New Roman" w:eastAsia="Times New Roman" w:hAnsi="Times New Roman"/>
          <w:sz w:val="20"/>
          <w:szCs w:val="20"/>
          <w:color w:val="auto"/>
        </w:rPr>
        <w:t>Pursuant to our March 21, 2013 license agreement with Ipsen Pharma, S.A.S., or Ipsen, the Company has an exclusive, sublicensable, worldwide license to certain patents and other intellectual property rights to research, develop, and commercialize compounds that were discovered or researched by Ipsen in the course of conducting its MC4R program or that otherwise were covered by the licensed patents. Under the terms of the setmelanotide Ipsen license agreement, assuming that setmelanotide is successfully developed, receives regulatory approval and is commercialized, Ipsen may receive aggregate payments of up to $40.0 million upon the achievement of certain development and commercial milestones and royalties on future product sales in the mid-single digits. Substantially all of such aggregate payments of up to $40.0 million are for milestones that may be achieved no earlier than first commercial sale of setmelanotide. In the event that the Company executes a sublicense agreement, it shall make payments to Ipsen, depending on the date of such sublicense agreement, ranging from 10% to 20% of all revenues actually received under such sublicense agreement.</w:t>
      </w:r>
    </w:p>
    <w:p>
      <w:pPr>
        <w:spacing w:after="0" w:line="211"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capitalized a $5.0 million and $4.0 million commercial milestone as a finite-lived intangible asset, as a result of the first commercial sales of IMCIVREE in the U.S. and Europe during March 2021 and March 2022, respectively. There were no research and development expenses related to milestones recorded in each of the years ended December 31, 2025,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Camurus</w:t>
      </w:r>
    </w:p>
    <w:p>
      <w:pPr>
        <w:spacing w:after="0" w:line="244"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In January 2016, the Company entered into a license agreement with Camurus AB, or Camurus, for the use of Camurus' drug delivery technology. The contract includes a non-refundable and non-creditable signing fee of $0.5 million.</w:t>
      </w:r>
    </w:p>
    <w:p>
      <w:pPr>
        <w:sectPr>
          <w:pgSz w:w="12240" w:h="15840" w:orient="portrait"/>
          <w:cols w:equalWidth="0" w:num="1">
            <w:col w:w="9900"/>
          </w:cols>
          <w:pgMar w:left="1180" w:top="838" w:right="1160" w:bottom="0" w:gutter="0" w:footer="0" w:header="0"/>
        </w:sect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900"/>
          </w:cols>
          <w:pgMar w:left="1180" w:top="838" w:right="1160" w:bottom="0" w:gutter="0" w:footer="0" w:header="0"/>
          <w:type w:val="continuous"/>
        </w:sectPr>
      </w:pPr>
    </w:p>
    <w:bookmarkStart w:id="176" w:name="page177"/>
    <w:bookmarkEnd w:id="176"/>
    <w:p>
      <w:pPr>
        <w:jc w:val="both"/>
        <w:ind w:left="10"/>
        <w:spacing w:after="0" w:line="243" w:lineRule="auto"/>
        <w:rPr>
          <w:sz w:val="20"/>
          <w:szCs w:val="20"/>
          <w:color w:val="auto"/>
        </w:rPr>
      </w:pPr>
      <w:r>
        <w:rPr>
          <w:rFonts w:ascii="Times New Roman" w:cs="Times New Roman" w:eastAsia="Times New Roman" w:hAnsi="Times New Roman"/>
          <w:sz w:val="20"/>
          <w:szCs w:val="20"/>
          <w:color w:val="auto"/>
        </w:rPr>
        <w:t>The Camurus agreement also includes up to $7.8 million in one-time, non-refundable development milestones achievable upon certain regulatory successes. The Company is also required to pay to Camurus, mid to mid-high single digit royalties, on a product-by-product and country-by-country basis of annual net sales, until the later of (i) 10 years after the date of first commercial sale of such product in such country; or (ii) the expiration of the last to expire valid claim of all licensed patent rights in such country covering such product. The Company is also required to pay one-time, non-refundable, non-creditable sales milestones upon the achievement of certain sales levels for such product that cannot be in excess of $57.0 million. The Company recorded development milestone expenses related to this license agreement of $1.0 million during the year ended December 31, 2022. The expenses were recorded as research and development expenses when the milestone criteria were met in full during 2023. There are no research and development expenses related to milestones recorded in 2025 or 2024.</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11. Long-Term Obligations</w:t>
      </w:r>
    </w:p>
    <w:p>
      <w:pPr>
        <w:spacing w:after="0" w:line="247" w:lineRule="exact"/>
        <w:rPr>
          <w:sz w:val="20"/>
          <w:szCs w:val="20"/>
          <w:color w:val="auto"/>
        </w:rPr>
      </w:pPr>
    </w:p>
    <w:p>
      <w:pPr>
        <w:jc w:val="both"/>
        <w:ind w:left="10" w:right="20" w:firstLine="720"/>
        <w:spacing w:after="0" w:line="244" w:lineRule="auto"/>
        <w:rPr>
          <w:sz w:val="20"/>
          <w:szCs w:val="20"/>
          <w:color w:val="auto"/>
        </w:rPr>
      </w:pPr>
      <w:r>
        <w:rPr>
          <w:rFonts w:ascii="Times New Roman" w:cs="Times New Roman" w:eastAsia="Times New Roman" w:hAnsi="Times New Roman"/>
          <w:sz w:val="20"/>
          <w:szCs w:val="20"/>
          <w:color w:val="auto"/>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 million, or the Investment Amount. Under the terms of the RIFA, we received $37.5 million on June 29, 2022 upon FDA approval of IMCIVREE in BBS, referred to as the Initial Investment Amount, and we received an additional $37.5 million on September 29, 2022 of the Investment Amount upon EMA approval for BBS. On September 12, 2023, we received the remaining $24.4 million of the Investment Amount, net of debt issuance costs, following the achievement of a specified amount of cumulative net sales of IMCIVREE between July 1, 2022 and September 30, 2023.</w:t>
      </w:r>
    </w:p>
    <w:p>
      <w:pPr>
        <w:spacing w:after="0" w:line="210" w:lineRule="exact"/>
        <w:rPr>
          <w:sz w:val="20"/>
          <w:szCs w:val="20"/>
          <w:color w:val="auto"/>
        </w:rPr>
      </w:pPr>
    </w:p>
    <w:p>
      <w:pPr>
        <w:jc w:val="both"/>
        <w:ind w:left="10" w:firstLine="720"/>
        <w:spacing w:after="0" w:line="253" w:lineRule="auto"/>
        <w:rPr>
          <w:sz w:val="20"/>
          <w:szCs w:val="20"/>
          <w:color w:val="auto"/>
        </w:rPr>
      </w:pPr>
      <w:r>
        <w:rPr>
          <w:rFonts w:ascii="Times New Roman" w:cs="Times New Roman" w:eastAsia="Times New Roman" w:hAnsi="Times New Roman"/>
          <w:sz w:val="20"/>
          <w:szCs w:val="20"/>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 million, 7.5% on annual net revenues of between $125.0 million and $300.0 million and 2.5% on annual net revenues exceeding $300.0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December 31, 2025 we have made $40.3 million of payments.</w:t>
      </w:r>
    </w:p>
    <w:p>
      <w:pPr>
        <w:spacing w:after="0" w:line="211" w:lineRule="exact"/>
        <w:rPr>
          <w:sz w:val="20"/>
          <w:szCs w:val="20"/>
          <w:color w:val="auto"/>
        </w:rPr>
      </w:pPr>
    </w:p>
    <w:p>
      <w:pPr>
        <w:jc w:val="both"/>
        <w:ind w:left="10" w:right="20" w:firstLine="720"/>
        <w:spacing w:after="0" w:line="255" w:lineRule="auto"/>
        <w:rPr>
          <w:sz w:val="20"/>
          <w:szCs w:val="20"/>
          <w:color w:val="auto"/>
        </w:rPr>
      </w:pPr>
      <w:r>
        <w:rPr>
          <w:rFonts w:ascii="Times New Roman" w:cs="Times New Roman" w:eastAsia="Times New Roman" w:hAnsi="Times New Roman"/>
          <w:sz w:val="20"/>
          <w:szCs w:val="20"/>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of occurs, the Investors may accelerate payments due under the RIFA up to the Hard Cap plus any other obligations payable under the RIFA.</w:t>
      </w:r>
    </w:p>
    <w:p>
      <w:pPr>
        <w:spacing w:after="0" w:line="210"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repayment period commenced on July 8, 2022 for the Initial Investment Amount, and expires on the earlier of</w:t>
      </w:r>
    </w:p>
    <w:p>
      <w:pPr>
        <w:spacing w:after="0" w:line="22" w:lineRule="exact"/>
        <w:rPr>
          <w:sz w:val="20"/>
          <w:szCs w:val="20"/>
          <w:color w:val="auto"/>
        </w:rPr>
      </w:pPr>
    </w:p>
    <w:p>
      <w:pPr>
        <w:jc w:val="both"/>
        <w:ind w:left="10" w:hanging="10"/>
        <w:spacing w:after="0"/>
        <w:tabs>
          <w:tab w:leader="none" w:pos="25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910"/>
          </w:cols>
          <w:pgMar w:left="1170" w:top="838" w:right="1160" w:bottom="0" w:gutter="0" w:footer="0" w:header="0"/>
          <w:type w:val="continuous"/>
        </w:sectPr>
      </w:pPr>
    </w:p>
    <w:bookmarkStart w:id="177" w:name="page178"/>
    <w:bookmarkEnd w:id="177"/>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 xml:space="preserve">We have evaluated the terms of the RIFA and concluded that the features are similar to those of a debt instrument. Accordingly, we have accounted for the transaction as long-term debt and presented it as a deferred royalty obligation on our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5, </w:t>
      </w:r>
      <w:r>
        <w:rPr>
          <w:rFonts w:ascii="Times New Roman" w:cs="Times New Roman" w:eastAsia="Times New Roman" w:hAnsi="Times New Roman"/>
          <w:sz w:val="20"/>
          <w:szCs w:val="20"/>
          <w:b w:val="1"/>
          <w:bCs w:val="1"/>
          <w:i w:val="1"/>
          <w:iCs w:val="1"/>
          <w:color w:val="auto"/>
        </w:rPr>
        <w:t>Fair Value of Financial Instruments,</w:t>
      </w:r>
      <w:r>
        <w:rPr>
          <w:rFonts w:ascii="Times New Roman" w:cs="Times New Roman" w:eastAsia="Times New Roman" w:hAnsi="Times New Roman"/>
          <w:sz w:val="20"/>
          <w:szCs w:val="20"/>
          <w:color w:val="auto"/>
        </w:rPr>
        <w:t xml:space="preserve"> to our consolidated financial statements. During the second quarter of 2022, the Company recorded $1.6 million for the initial fair value of the embedded derivative liability (asset). The fair value of the embedded derivative asset was $(1.2) million and $(0.3) million as of December 31, 2025 and December 31, 2024, respectively. We will remeasure the embedded derivative to fair value each reporting period until the time the features lapse and/or termination of the deferred royalty obligation. For the years ended December 31, 2025 and December 31, 2024, we recognized other income of $0.9 million and $1.4 million, due to the remeasurement of the embedded derivative liability (asset). The carrying value of the deferred royalty obligation at December 31, 2025 was $108.2 million based on $100.0 million of proceeds, net of the initial fair value of the bifurcated embedded derivative liability upon execution of the RIFA, and debt issuance costs incurred. The carrying value is classified as $7.3 million within current liabilities and $100.9 million within long-term liabilities on the consolidated balance sheet as of December 31, 2025. The carrying value of the deferred royalty obligation approximated fair value at December 31, 2025. The effective interest rate as of December 31, 2025 was 17.05%. In connection with the deferred royalty obligation, we incurred debt issuance costs totaling $3.3 million.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classification of these costs, as well as the period over which these costs will be amortized.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49"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249"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Company is party to various agreements, principally relating to licensed technology, that require future payments relating to milestones that may be met in subsequent periods, or royalties on future sales of specified products. See Note 10 for discussion of these arrangements. Additionally, the Company is party to various contracts with CROs and CMOs that generally provide for termination on notice, with the exact amounts in the event of termination to be based on the timing of the termination and the terms of the agreement.</w:t>
      </w:r>
    </w:p>
    <w:p>
      <w:pPr>
        <w:spacing w:after="0" w:line="207"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Based on the Company’s current development plans as of December 31, 2025, the Company does not expect to make material milestone payments due to third parties during the next 12 months from the filing of this Annual Report on Form 10-K, in connection with our license agreements. These milestones generally become due and payable upon achievement of such milestones or sales and achievement of development milestones. When the achievement of these milestones or sales have not occurred, such contingencies are not recorded in the Company’s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Related-Party Transactions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21212"/>
        </w:rPr>
        <w:t>Expenses paid directly to related parties for the years ended December 31, 2025 and 2024, were immaterial.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Outstanding payments due to related parties as of December 31, 2025 and December 31, 2024 were immaterial.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900"/>
          </w:cols>
          <w:pgMar w:left="1180" w:top="838" w:right="1160" w:bottom="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loss before income taxes are as follows (in thousands):</w:t>
      </w:r>
    </w:p>
    <w:p>
      <w:pPr>
        <w:spacing w:after="0" w:line="32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1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13970</wp:posOffset>
                </wp:positionV>
                <wp:extent cx="256222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(258,927)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(178,669)</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(5,445)</w:t>
            </w:r>
          </w:p>
        </w:tc>
      </w:tr>
      <w:tr>
        <w:trPr>
          <w:trHeight w:val="260"/>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 before income taxes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(260,256)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(184,114)</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1">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Components of provision for income taxes are as follows (in thousands):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7"/>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3"/>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563</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-1945640</wp:posOffset>
            </wp:positionV>
            <wp:extent cx="6311900" cy="1952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2">
                      <a:extLst>
                        <a:ext uri="{28A0092B-C50C-407E-A947-70E740481C1C}"/>
                      </a:extLst>
                    </a:blip>
                    <a:srcRect/>
                    <a:stretch>
                      <a:fillRect/>
                    </a:stretch>
                  </pic:blipFill>
                  <pic:spPr bwMode="auto">
                    <a:xfrm>
                      <a:off x="0" y="0"/>
                      <a:ext cx="6311900" cy="195262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900"/>
          </w:cols>
          <w:pgMar w:left="1180" w:top="831" w:right="1160" w:bottom="0" w:gutter="0" w:footer="0" w:header="0"/>
          <w:type w:val="continuous"/>
        </w:sectPr>
      </w:pPr>
    </w:p>
    <w:bookmarkStart w:id="179" w:name="page180"/>
    <w:bookmarkEnd w:id="179"/>
    <w:p>
      <w:pPr>
        <w:ind w:firstLine="720"/>
        <w:spacing w:after="0" w:line="271" w:lineRule="auto"/>
        <w:rPr>
          <w:sz w:val="20"/>
          <w:szCs w:val="20"/>
          <w:color w:val="auto"/>
        </w:rPr>
      </w:pPr>
      <w:r>
        <w:rPr>
          <w:rFonts w:ascii="Times New Roman" w:cs="Times New Roman" w:eastAsia="Times New Roman" w:hAnsi="Times New Roman"/>
          <w:sz w:val="20"/>
          <w:szCs w:val="20"/>
          <w:color w:val="auto"/>
        </w:rPr>
        <w:t>The following table presents reconciliation of the income tax expense (benefit) at the federal statutory tax rate to the Company's effective income tax rate for the year ended December 31, 2025 after the adoption of ASU 2023-09: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4150995</wp:posOffset>
                </wp:positionH>
                <wp:positionV relativeFrom="paragraph">
                  <wp:posOffset>153670</wp:posOffset>
                </wp:positionV>
                <wp:extent cx="169545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85pt,12.1pt" to="460.35pt,12.1pt" o:allowincell="f" strokecolor="#000000" strokeweight="1pt"/>
            </w:pict>
          </mc:Fallback>
        </mc:AlternateConten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9"/>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30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2"/>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85"/>
              <w:spacing w:after="0"/>
              <w:rPr>
                <w:sz w:val="20"/>
                <w:szCs w:val="20"/>
                <w:color w:val="auto"/>
              </w:rPr>
            </w:pPr>
            <w:r>
              <w:rPr>
                <w:rFonts w:ascii="Times New Roman" w:cs="Times New Roman" w:eastAsia="Times New Roman" w:hAnsi="Times New Roman"/>
                <w:sz w:val="12"/>
                <w:szCs w:val="12"/>
                <w:color w:val="auto"/>
              </w:rPr>
              <w:t>(In thousands)</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0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21.00 %</w:t>
            </w:r>
          </w:p>
        </w:tc>
      </w:tr>
      <w:tr>
        <w:trPr>
          <w:trHeight w:val="26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 Net of Federal (National) Income Tax</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Effect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8"/>
        </w:trPr>
        <w:tc>
          <w:tcPr>
            <w:tcW w:w="5880" w:type="dxa"/>
            <w:vAlign w:val="bottom"/>
          </w:tcPr>
          <w:p>
            <w:pPr>
              <w:spacing w:after="0"/>
              <w:rPr>
                <w:sz w:val="20"/>
                <w:szCs w:val="20"/>
                <w:color w:val="auto"/>
              </w:rPr>
            </w:pPr>
            <w:r>
              <w:rPr>
                <w:rFonts w:ascii="Arial" w:cs="Arial" w:eastAsia="Arial" w:hAnsi="Arial"/>
                <w:sz w:val="20"/>
                <w:szCs w:val="20"/>
                <w:b w:val="1"/>
                <w:bCs w:val="1"/>
                <w:color w:val="auto"/>
              </w:rPr>
              <w:t> </w:t>
            </w:r>
            <w:r>
              <w:rPr>
                <w:rFonts w:ascii="Times New Roman" w:cs="Times New Roman" w:eastAsia="Times New Roman" w:hAnsi="Times New Roman"/>
                <w:sz w:val="20"/>
                <w:szCs w:val="20"/>
                <w:color w:val="auto"/>
              </w:rPr>
              <w:t>Other Foreign Jurisdictions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(0.27)%</w:t>
            </w:r>
          </w:p>
        </w:tc>
      </w:tr>
      <w:tr>
        <w:trPr>
          <w:trHeight w:val="282"/>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&amp; Development Credits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6.67 %</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(26.02)%</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Compensation Limit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(4.42)%</w:t>
            </w: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1.16 %</w:t>
            </w: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LG Chem</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royalty financing</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(0.46)%</w:t>
            </w:r>
          </w:p>
        </w:tc>
      </w:tr>
      <w:tr>
        <w:trPr>
          <w:trHeight w:val="300"/>
        </w:trPr>
        <w:tc>
          <w:tcPr>
            <w:tcW w:w="5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(0.10)%</w:t>
            </w:r>
          </w:p>
        </w:tc>
      </w:tr>
      <w:tr>
        <w:trPr>
          <w:trHeight w:val="303"/>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0.19 %</w:t>
            </w: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tax expense / Effective Tax Rate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(0.25)%</w:t>
            </w: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-3174365</wp:posOffset>
            </wp:positionV>
            <wp:extent cx="5521325" cy="3181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3">
                      <a:extLst>
                        <a:ext uri="{28A0092B-C50C-407E-A947-70E740481C1C}"/>
                      </a:extLst>
                    </a:blip>
                    <a:srcRect/>
                    <a:stretch>
                      <a:fillRect/>
                    </a:stretch>
                  </pic:blipFill>
                  <pic:spPr bwMode="auto">
                    <a:xfrm>
                      <a:off x="0" y="0"/>
                      <a:ext cx="552132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presents a reconciliation of the income tax expense (benefit) at the federal statutory tax rate to the Company's effective income tax rate for the years ended December 31, 2024 and 2023, before the adoption of ASU 2023-09 is as follows:</w:t>
      </w:r>
    </w:p>
    <w:p>
      <w:pPr>
        <w:spacing w:after="0" w:line="281"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3"/>
          </w:tcPr>
          <w:p>
            <w:pPr>
              <w:jc w:val="center"/>
              <w:ind w:left="71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60" w:type="dxa"/>
            <w:vAlign w:val="bottom"/>
          </w:tcPr>
          <w:p>
            <w:pPr>
              <w:spacing w:after="0"/>
              <w:rPr>
                <w:sz w:val="16"/>
                <w:szCs w:val="16"/>
                <w:color w:val="auto"/>
              </w:rPr>
            </w:pPr>
          </w:p>
        </w:tc>
      </w:tr>
      <w:tr>
        <w:trPr>
          <w:trHeight w:val="217"/>
        </w:trPr>
        <w:tc>
          <w:tcPr>
            <w:tcW w:w="58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71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35"/>
        </w:trPr>
        <w:tc>
          <w:tcPr>
            <w:tcW w:w="5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Statutory tax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21.00 %</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State tax, net of federal benefit</w:t>
            </w:r>
          </w:p>
        </w:tc>
        <w:tc>
          <w:tcPr>
            <w:tcW w:w="1380" w:type="dxa"/>
            <w:vAlign w:val="bottom"/>
            <w:gridSpan w:val="2"/>
          </w:tcPr>
          <w:p>
            <w:pPr>
              <w:jc w:val="right"/>
              <w:ind w:right="175"/>
              <w:spacing w:after="0"/>
              <w:rPr>
                <w:sz w:val="20"/>
                <w:szCs w:val="20"/>
                <w:color w:val="auto"/>
              </w:rPr>
            </w:pPr>
            <w:r>
              <w:rPr>
                <w:rFonts w:ascii="Times New Roman" w:cs="Times New Roman" w:eastAsia="Times New Roman" w:hAnsi="Times New Roman"/>
                <w:sz w:val="20"/>
                <w:szCs w:val="20"/>
                <w:color w:val="auto"/>
              </w:rPr>
              <w:t>5.61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10.24</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380" w:type="dxa"/>
            <w:vAlign w:val="bottom"/>
            <w:gridSpan w:val="2"/>
          </w:tcPr>
          <w:p>
            <w:pPr>
              <w:jc w:val="right"/>
              <w:ind w:right="175"/>
              <w:spacing w:after="0"/>
              <w:rPr>
                <w:sz w:val="20"/>
                <w:szCs w:val="20"/>
                <w:color w:val="auto"/>
              </w:rPr>
            </w:pPr>
            <w:r>
              <w:rPr>
                <w:rFonts w:ascii="Times New Roman" w:cs="Times New Roman" w:eastAsia="Times New Roman" w:hAnsi="Times New Roman"/>
                <w:sz w:val="20"/>
                <w:szCs w:val="20"/>
                <w:color w:val="auto"/>
              </w:rPr>
              <w:t>3.75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4.02</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3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(0.57)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(1.37)</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(0.16)</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Rate changes</w:t>
            </w:r>
          </w:p>
        </w:tc>
        <w:tc>
          <w:tcPr>
            <w:tcW w:w="13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(6.52)</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13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(0.32)</w:t>
            </w:r>
          </w:p>
        </w:tc>
      </w:tr>
      <w:tr>
        <w:trPr>
          <w:trHeight w:val="30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w:t>
            </w:r>
          </w:p>
        </w:tc>
        <w:tc>
          <w:tcPr>
            <w:tcW w:w="13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20"/>
                <w:szCs w:val="20"/>
                <w:color w:val="auto"/>
              </w:rPr>
              <w:t>(22.50)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(27.10)</w:t>
            </w:r>
          </w:p>
        </w:tc>
      </w:tr>
      <w:tr>
        <w:trPr>
          <w:trHeight w:val="26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(0.21)%</w:t>
            </w: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-1936115</wp:posOffset>
            </wp:positionV>
            <wp:extent cx="5483225" cy="1943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4">
                      <a:extLst>
                        <a:ext uri="{28A0092B-C50C-407E-A947-70E740481C1C}"/>
                      </a:extLst>
                    </a:blip>
                    <a:srcRect/>
                    <a:stretch>
                      <a:fillRect/>
                    </a:stretch>
                  </pic:blipFill>
                  <pic:spPr bwMode="auto">
                    <a:xfrm>
                      <a:off x="0" y="0"/>
                      <a:ext cx="5483225" cy="1943100"/>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880"/>
          </w:cols>
          <w:pgMar w:left="1180" w:top="838" w:right="1180" w:bottom="0" w:gutter="0" w:footer="0" w:header="0"/>
          <w:type w:val="continuous"/>
        </w:sectPr>
      </w:pPr>
    </w:p>
    <w:bookmarkStart w:id="180" w:name="page181"/>
    <w:bookmarkEnd w:id="180"/>
    <w:p>
      <w:pPr>
        <w:ind w:left="720"/>
        <w:spacing w:after="0"/>
        <w:rPr>
          <w:sz w:val="20"/>
          <w:szCs w:val="20"/>
          <w:color w:val="auto"/>
        </w:rPr>
      </w:pPr>
      <w:r>
        <w:rPr>
          <w:rFonts w:ascii="Times New Roman" w:cs="Times New Roman" w:eastAsia="Times New Roman" w:hAnsi="Times New Roman"/>
          <w:sz w:val="20"/>
          <w:szCs w:val="20"/>
          <w:color w:val="auto"/>
        </w:rPr>
        <w:t>The principal components of the Company's deferred tax assets and liabilities are as follows (in thousands):</w:t>
      </w:r>
    </w:p>
    <w:p>
      <w:pPr>
        <w:spacing w:after="0" w:line="3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1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13970</wp:posOffset>
                </wp:positionV>
                <wp:extent cx="180975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236,991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167,375</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17,604</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Orphan drug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46,211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34,603</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Capitalized license fee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23,418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21,661</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5,113</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174 Costs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67,624</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revenue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336</w:t>
            </w:r>
          </w:p>
        </w:tc>
      </w:tr>
      <w:tr>
        <w:trPr>
          <w:trHeight w:val="30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163(j) Interest Limitation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4,417</w:t>
            </w:r>
          </w:p>
        </w:tc>
      </w:tr>
      <w:tr>
        <w:trPr>
          <w:trHeight w:val="303"/>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Expenses &amp; Other</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7,971</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382,164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326,704</w:t>
            </w:r>
          </w:p>
        </w:tc>
      </w:tr>
      <w:tr>
        <w:trPr>
          <w:trHeight w:val="303"/>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Valuation allowance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(381,166)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(325,503)</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1,201</w:t>
            </w:r>
          </w:p>
        </w:tc>
      </w:tr>
      <w:tr>
        <w:trPr>
          <w:trHeight w:val="30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3"/>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right-of-use asset and other</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(1,201)</w:t>
            </w:r>
          </w:p>
        </w:tc>
      </w:tr>
      <w:tr>
        <w:trPr>
          <w:trHeight w:val="277"/>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w:t>
            </w:r>
          </w:p>
        </w:tc>
      </w:tr>
      <w:tr>
        <w:trPr>
          <w:trHeight w:val="318"/>
        </w:trPr>
        <w:tc>
          <w:tcPr>
            <w:tcW w:w="7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 liabilities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-3469640</wp:posOffset>
            </wp:positionV>
            <wp:extent cx="6311900" cy="36639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5">
                      <a:extLst>
                        <a:ext uri="{28A0092B-C50C-407E-A947-70E740481C1C}"/>
                      </a:extLst>
                    </a:blip>
                    <a:srcRect/>
                    <a:stretch>
                      <a:fillRect/>
                    </a:stretch>
                  </pic:blipFill>
                  <pic:spPr bwMode="auto">
                    <a:xfrm>
                      <a:off x="0" y="0"/>
                      <a:ext cx="6311900" cy="36639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a full valuation allowance against its deferred tax assets at December 31, 2025 and 2024, because the Company's management has determined that is it more likely than not that these assets will not be realized. The increase in the valuation allowance of $55.7 million in 2025 and $58.3 million in 2024 primarily relates to the net loss incurred by the Company during each period.</w:t>
      </w:r>
    </w:p>
    <w:p>
      <w:pPr>
        <w:spacing w:after="0" w:line="206" w:lineRule="exact"/>
        <w:rPr>
          <w:sz w:val="20"/>
          <w:szCs w:val="20"/>
          <w:color w:val="auto"/>
        </w:rPr>
      </w:pPr>
    </w:p>
    <w:p>
      <w:pPr>
        <w:jc w:val="both"/>
        <w:ind w:right="20" w:firstLine="720"/>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had federal and state net operating loss carryforwards of approximately $917.3 million and $807.9 million, respectively, which are available to reduce future taxable income. The net operating loss carryforwards expire at various times beginning in 2033 for federal and state purposes. Of the federal net operating loss carryforwards at December 31, 2025, $844.1 million can be carried forward indefinitely. As of December 31, 2025, the Company had gross foreign net operating loss carryforwards of approximately $4.5 million which have an indefinite carryforward period.</w:t>
      </w:r>
    </w:p>
    <w:p>
      <w:pPr>
        <w:spacing w:after="0" w:line="206"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0"/>
          <w:szCs w:val="20"/>
          <w:color w:val="auto"/>
        </w:rPr>
        <w:t>As of December 31, 2025, the Company had federal and state research tax credits of approximately $15.3 million and $4.6 million, respectively, which may be used to offset future tax liabilities. Additionally, as of 2025, the Company had a federal orphan drug credit related to qualifying research of $46.2 million. These tax credit carryforwards will begin to expire at various times beginning in 2033 for federal purposes and 2028 for state purposes.</w:t>
      </w:r>
    </w:p>
    <w:p>
      <w:pPr>
        <w:spacing w:after="0" w:line="20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and other provisions within the Internal Revenue Code.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900"/>
          </w:cols>
          <w:pgMar w:left="1180" w:top="838" w:right="1160" w:bottom="0" w:gutter="0" w:footer="0" w:header="0"/>
          <w:type w:val="continuous"/>
        </w:sectPr>
      </w:pPr>
    </w:p>
    <w:bookmarkStart w:id="181" w:name="page182"/>
    <w:bookmarkEnd w:id="181"/>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has not provided U.S. deferred income taxes or foreign withholding taxes on unremitted earnings of foreign subsidiaries as such amounts are considered to be indefinitely reinvested in these jurisdictions. The accumulated earnings in the foreign subsidiaries are primarily utilized to fund working capital requirements as its subsidiaries continue to expand their operations. The amount of any unrecognized deferred tax liability related to undistributed foreign earnings is immaterial.</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not recorded any reserves for uncertain tax positions as of December 31, 2025 and 2024. The Company has not, as yet, conducted a study of research and development credit carryforwards. This study may result in an adjustment to the Company's research and development credit carryforwards; however, until a study is completed and any adjustment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and comprehensive loss if an adjustment were required.</w:t>
      </w:r>
    </w:p>
    <w:p>
      <w:pPr>
        <w:spacing w:after="0" w:line="20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Interest and penalty charges, if any, related to unrecognized tax benefits will be classified as provision for income taxes in the accompanying statements of operations and comprehensive loss. As of December 31, 2025 and 2024, the Company had no accrued interest or penalties related to uncertain tax positions.</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is subject to examination by the U.S. federal, state, local, and foreign income tax authorities for tax years 2013 forward. The Company is not currently under examination by the Internal Revenue Service or any other jurisdictions for any tax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 and Geographic Information</w:t>
      </w:r>
    </w:p>
    <w:p>
      <w:pPr>
        <w:spacing w:after="0" w:line="24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Operating segments are defined as components of an entity about which separate discrete information is available for evaluation by the chief operating decision maker, ("CODM"), or decision making group, in deciding how to allocate resources and in assessing performance. The company has identified that there is a single management team that reports to the Chief Executive Officer, who is the CODM and comprehensively manages the entire business. The CODM reviews financial information on a consolidated basis, specifically but not limited to, revenue and operating expenses by key functional area to evaluate performance and allocate resources. Based on the manner in which the CODM reviews operating results, the Company has identified two operating segments: United States ("U.S.") and international. These two operating segments have been aggregated into a single reportable segment in accordance with the aggregation criteria in ASC 280, Segment Reporting, as they have similar economic characteristics and are similar in several qualitative areas including: the nature of products and services provided, the type of customers served, the methods of distribution, and the regulatory environment in which they operate.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880"/>
          </w:cols>
          <w:pgMar w:left="1180" w:top="838" w:right="1180" w:bottom="0" w:gutter="0" w:footer="0" w:header="0"/>
          <w:type w:val="continuous"/>
        </w:sectPr>
      </w:pPr>
    </w:p>
    <w:bookmarkStart w:id="182" w:name="page183"/>
    <w:bookmarkEnd w:id="182"/>
    <w:p>
      <w:pPr>
        <w:ind w:left="720"/>
        <w:spacing w:after="0"/>
        <w:rPr>
          <w:sz w:val="20"/>
          <w:szCs w:val="20"/>
          <w:color w:val="auto"/>
        </w:rPr>
      </w:pPr>
      <w:r>
        <w:rPr>
          <w:rFonts w:ascii="Times New Roman" w:cs="Times New Roman" w:eastAsia="Times New Roman" w:hAnsi="Times New Roman"/>
          <w:sz w:val="19"/>
          <w:szCs w:val="19"/>
          <w:color w:val="auto"/>
        </w:rPr>
        <w:t>The table below is a summary of the segment profit or loss, including significant segment expenses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8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Analysis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49"/>
        </w:trPr>
        <w:tc>
          <w:tcPr>
            <w:tcW w:w="5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592"/>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product revenue - U.S.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62,425</w:t>
            </w:r>
          </w:p>
        </w:tc>
      </w:tr>
      <w:tr>
        <w:trPr>
          <w:trHeight w:val="30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product revenue - International</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34,018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15,002</w:t>
            </w:r>
          </w:p>
        </w:tc>
      </w:tr>
      <w:tr>
        <w:trPr>
          <w:trHeight w:val="277"/>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product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77,428</w:t>
            </w:r>
          </w:p>
        </w:tc>
      </w:tr>
      <w:tr>
        <w:trPr>
          <w:trHeight w:val="30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License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77,428</w:t>
            </w:r>
          </w:p>
        </w:tc>
      </w:tr>
      <w:tr>
        <w:trPr>
          <w:trHeight w:val="615"/>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9,302</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Global headcount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96,413</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Preclinical, clinical and development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74,465</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&amp; medical affairs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47,905</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general &amp;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27,154</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segment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6,571</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r>
      <w:tr>
        <w:trPr>
          <w:trHeight w:val="30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r>
      <w:tr>
        <w:trPr>
          <w:trHeight w:val="30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w:t>
            </w:r>
          </w:p>
        </w:tc>
      </w:tr>
      <w:tr>
        <w:trPr>
          <w:trHeight w:val="26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(260,602)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(184,678)</w:t>
            </w: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-3088640</wp:posOffset>
            </wp:positionV>
            <wp:extent cx="6311900" cy="3095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6">
                      <a:extLst>
                        <a:ext uri="{28A0092B-C50C-407E-A947-70E740481C1C}"/>
                      </a:extLst>
                    </a:blip>
                    <a:srcRect/>
                    <a:stretch>
                      <a:fillRect/>
                    </a:stretch>
                  </pic:blipFill>
                  <pic:spPr bwMode="auto">
                    <a:xfrm>
                      <a:off x="0" y="0"/>
                      <a:ext cx="6311900" cy="30956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Geographic Data</w:t>
      </w:r>
    </w:p>
    <w:p>
      <w:pPr>
        <w:spacing w:after="0" w:line="249"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0"/>
          <w:szCs w:val="20"/>
          <w:color w:val="auto"/>
        </w:rPr>
        <w:t>The Company allocates, for the purpose of geographic data reporting, its revenue based upon the location of its customers. Total revenue by geographic area was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4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2"/>
                <w:szCs w:val="22"/>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96,108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62,425</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34,018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net product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130,126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77,428</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7">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and 2024, long-lived assets at locations outside the United States were not material.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24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as disclosed within the above notes to these consolidated financial statements, and except as described below.</w:t>
      </w:r>
    </w:p>
    <w:p>
      <w:pPr>
        <w:spacing w:after="0" w:line="20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January 26, 2026, and in accordance with the terms described below, the same holder referred to in Note 9, </w:t>
      </w:r>
      <w:r>
        <w:rPr>
          <w:rFonts w:ascii="Times New Roman" w:cs="Times New Roman" w:eastAsia="Times New Roman" w:hAnsi="Times New Roman"/>
          <w:sz w:val="20"/>
          <w:szCs w:val="20"/>
          <w:b w:val="1"/>
          <w:bCs w:val="1"/>
          <w:i w:val="1"/>
          <w:iCs w:val="1"/>
          <w:color w:val="auto"/>
        </w:rPr>
        <w:t>Series A Convertible Preferred Stock</w:t>
      </w:r>
      <w:r>
        <w:rPr>
          <w:rFonts w:ascii="Times New Roman" w:cs="Times New Roman" w:eastAsia="Times New Roman" w:hAnsi="Times New Roman"/>
          <w:sz w:val="20"/>
          <w:szCs w:val="20"/>
          <w:color w:val="auto"/>
        </w:rPr>
        <w:t>, exercised its right to convert another 17,500 shares of Series A Convertible Preferred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to common shares. Each of the 17,500 preferred shares converted to 20.8333 shares of common stock, resulting in a total of 364,582 shares of common stock. The Company reclassified the carrying value of the converted shares of $17.4 million from Series A convertible Preferred Stock to common stock and additional paid in capital.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900"/>
          </w:cols>
          <w:pgMar w:left="1180" w:top="838" w:right="1160" w:bottom="0" w:gutter="0" w:footer="0" w:header="0"/>
          <w:type w:val="continuous"/>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86" w:name="page187"/>
    <w:bookmarkEnd w:id="186"/>
    <w:p>
      <w:pPr>
        <w:ind w:left="160"/>
        <w:spacing w:after="0"/>
        <w:rPr>
          <w:sz w:val="20"/>
          <w:szCs w:val="20"/>
          <w:color w:val="auto"/>
        </w:rPr>
      </w:pPr>
      <w:r>
        <w:rPr>
          <w:rFonts w:ascii="Arial" w:cs="Arial" w:eastAsia="Arial" w:hAnsi="Arial"/>
          <w:sz w:val="50"/>
          <w:szCs w:val="50"/>
          <w:b w:val="1"/>
          <w:bCs w:val="1"/>
          <w:color w:val="0000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Senior</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50"/>
          <w:szCs w:val="50"/>
          <w:b w:val="1"/>
          <w:bCs w:val="1"/>
          <w:color w:val="00004E"/>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240" w:type="dxa"/>
            <w:vAlign w:val="bottom"/>
          </w:tcPr>
          <w:p>
            <w:pPr>
              <w:jc w:val="center"/>
              <w:ind w:right="435"/>
              <w:spacing w:after="0"/>
              <w:rPr>
                <w:sz w:val="20"/>
                <w:szCs w:val="20"/>
                <w:color w:val="auto"/>
              </w:rPr>
            </w:pPr>
            <w:r>
              <w:rPr>
                <w:rFonts w:ascii="Arial" w:cs="Arial" w:eastAsia="Arial" w:hAnsi="Arial"/>
                <w:sz w:val="21"/>
                <w:szCs w:val="21"/>
                <w:b w:val="1"/>
                <w:bCs w:val="1"/>
                <w:color w:val="auto"/>
                <w:w w:val="94"/>
              </w:rPr>
              <w:t>David Meeker, MD</w:t>
            </w:r>
          </w:p>
        </w:tc>
        <w:tc>
          <w:tcPr>
            <w:tcW w:w="2580" w:type="dxa"/>
            <w:vAlign w:val="bottom"/>
          </w:tcPr>
          <w:p>
            <w:pPr>
              <w:jc w:val="center"/>
              <w:spacing w:after="0"/>
              <w:rPr>
                <w:sz w:val="20"/>
                <w:szCs w:val="20"/>
                <w:color w:val="auto"/>
              </w:rPr>
            </w:pPr>
            <w:r>
              <w:rPr>
                <w:rFonts w:ascii="Arial" w:cs="Arial" w:eastAsia="Arial" w:hAnsi="Arial"/>
                <w:sz w:val="21"/>
                <w:szCs w:val="21"/>
                <w:b w:val="1"/>
                <w:bCs w:val="1"/>
                <w:color w:val="auto"/>
                <w:w w:val="94"/>
              </w:rPr>
              <w:t>Alastair Garfield</w:t>
            </w:r>
          </w:p>
        </w:tc>
        <w:tc>
          <w:tcPr>
            <w:tcW w:w="2200" w:type="dxa"/>
            <w:vAlign w:val="bottom"/>
          </w:tcPr>
          <w:p>
            <w:pPr>
              <w:jc w:val="center"/>
              <w:ind w:left="395"/>
              <w:spacing w:after="0"/>
              <w:rPr>
                <w:sz w:val="20"/>
                <w:szCs w:val="20"/>
                <w:color w:val="auto"/>
              </w:rPr>
            </w:pPr>
            <w:r>
              <w:rPr>
                <w:rFonts w:ascii="Arial" w:cs="Arial" w:eastAsia="Arial" w:hAnsi="Arial"/>
                <w:sz w:val="21"/>
                <w:szCs w:val="21"/>
                <w:b w:val="1"/>
                <w:bCs w:val="1"/>
                <w:color w:val="auto"/>
                <w:w w:val="88"/>
              </w:rPr>
              <w:t>Jennifer Lee</w:t>
            </w:r>
          </w:p>
        </w:tc>
      </w:tr>
      <w:tr>
        <w:trPr>
          <w:trHeight w:val="246"/>
        </w:trPr>
        <w:tc>
          <w:tcPr>
            <w:tcW w:w="2240" w:type="dxa"/>
            <w:vAlign w:val="bottom"/>
          </w:tcPr>
          <w:p>
            <w:pPr>
              <w:jc w:val="center"/>
              <w:ind w:right="435"/>
              <w:spacing w:after="0"/>
              <w:rPr>
                <w:sz w:val="20"/>
                <w:szCs w:val="20"/>
                <w:color w:val="auto"/>
              </w:rPr>
            </w:pPr>
            <w:r>
              <w:rPr>
                <w:rFonts w:ascii="Arial" w:cs="Arial" w:eastAsia="Arial" w:hAnsi="Arial"/>
                <w:sz w:val="21"/>
                <w:szCs w:val="21"/>
                <w:color w:val="auto"/>
              </w:rPr>
              <w:t>Chairman,</w:t>
            </w:r>
          </w:p>
        </w:tc>
        <w:tc>
          <w:tcPr>
            <w:tcW w:w="2580" w:type="dxa"/>
            <w:vAlign w:val="bottom"/>
          </w:tcPr>
          <w:p>
            <w:pPr>
              <w:jc w:val="center"/>
              <w:spacing w:after="0"/>
              <w:rPr>
                <w:sz w:val="20"/>
                <w:szCs w:val="20"/>
                <w:color w:val="auto"/>
              </w:rPr>
            </w:pPr>
            <w:r>
              <w:rPr>
                <w:rFonts w:ascii="Arial" w:cs="Arial" w:eastAsia="Arial" w:hAnsi="Arial"/>
                <w:sz w:val="21"/>
                <w:szCs w:val="21"/>
                <w:color w:val="auto"/>
              </w:rPr>
              <w:t>Chief Scientific</w:t>
            </w:r>
          </w:p>
        </w:tc>
        <w:tc>
          <w:tcPr>
            <w:tcW w:w="2200" w:type="dxa"/>
            <w:vAlign w:val="bottom"/>
          </w:tcPr>
          <w:p>
            <w:pPr>
              <w:jc w:val="center"/>
              <w:ind w:left="395"/>
              <w:spacing w:after="0"/>
              <w:rPr>
                <w:sz w:val="20"/>
                <w:szCs w:val="20"/>
                <w:color w:val="auto"/>
              </w:rPr>
            </w:pPr>
            <w:r>
              <w:rPr>
                <w:rFonts w:ascii="Arial" w:cs="Arial" w:eastAsia="Arial" w:hAnsi="Arial"/>
                <w:sz w:val="21"/>
                <w:szCs w:val="21"/>
                <w:color w:val="auto"/>
                <w:w w:val="97"/>
              </w:rPr>
              <w:t>Executive Vice</w:t>
            </w:r>
          </w:p>
        </w:tc>
      </w:tr>
      <w:tr>
        <w:trPr>
          <w:trHeight w:val="252"/>
        </w:trPr>
        <w:tc>
          <w:tcPr>
            <w:tcW w:w="2240" w:type="dxa"/>
            <w:vAlign w:val="bottom"/>
          </w:tcPr>
          <w:p>
            <w:pPr>
              <w:jc w:val="center"/>
              <w:ind w:right="435"/>
              <w:spacing w:after="0"/>
              <w:rPr>
                <w:sz w:val="20"/>
                <w:szCs w:val="20"/>
                <w:color w:val="auto"/>
              </w:rPr>
            </w:pPr>
            <w:r>
              <w:rPr>
                <w:rFonts w:ascii="Arial" w:cs="Arial" w:eastAsia="Arial" w:hAnsi="Arial"/>
                <w:sz w:val="21"/>
                <w:szCs w:val="21"/>
                <w:color w:val="auto"/>
              </w:rPr>
              <w:t>President and</w:t>
            </w:r>
          </w:p>
        </w:tc>
        <w:tc>
          <w:tcPr>
            <w:tcW w:w="2580" w:type="dxa"/>
            <w:vAlign w:val="bottom"/>
          </w:tcPr>
          <w:p>
            <w:pPr>
              <w:jc w:val="center"/>
              <w:spacing w:after="0"/>
              <w:rPr>
                <w:sz w:val="20"/>
                <w:szCs w:val="20"/>
                <w:color w:val="auto"/>
              </w:rPr>
            </w:pPr>
            <w:r>
              <w:rPr>
                <w:rFonts w:ascii="Arial" w:cs="Arial" w:eastAsia="Arial" w:hAnsi="Arial"/>
                <w:sz w:val="21"/>
                <w:szCs w:val="21"/>
                <w:color w:val="auto"/>
              </w:rPr>
              <w:t>Officer</w:t>
            </w:r>
          </w:p>
        </w:tc>
        <w:tc>
          <w:tcPr>
            <w:tcW w:w="2200" w:type="dxa"/>
            <w:vAlign w:val="bottom"/>
          </w:tcPr>
          <w:p>
            <w:pPr>
              <w:jc w:val="center"/>
              <w:ind w:left="395"/>
              <w:spacing w:after="0"/>
              <w:rPr>
                <w:sz w:val="20"/>
                <w:szCs w:val="20"/>
                <w:color w:val="auto"/>
              </w:rPr>
            </w:pPr>
            <w:r>
              <w:rPr>
                <w:rFonts w:ascii="Arial" w:cs="Arial" w:eastAsia="Arial" w:hAnsi="Arial"/>
                <w:sz w:val="21"/>
                <w:szCs w:val="21"/>
                <w:color w:val="auto"/>
                <w:w w:val="97"/>
              </w:rPr>
              <w:t>President, Head of</w:t>
            </w:r>
          </w:p>
        </w:tc>
      </w:tr>
      <w:tr>
        <w:trPr>
          <w:trHeight w:val="252"/>
        </w:trPr>
        <w:tc>
          <w:tcPr>
            <w:tcW w:w="2240" w:type="dxa"/>
            <w:vAlign w:val="bottom"/>
          </w:tcPr>
          <w:p>
            <w:pPr>
              <w:jc w:val="center"/>
              <w:ind w:right="435"/>
              <w:spacing w:after="0"/>
              <w:rPr>
                <w:sz w:val="20"/>
                <w:szCs w:val="20"/>
                <w:color w:val="auto"/>
              </w:rPr>
            </w:pPr>
            <w:r>
              <w:rPr>
                <w:rFonts w:ascii="Arial" w:cs="Arial" w:eastAsia="Arial" w:hAnsi="Arial"/>
                <w:sz w:val="21"/>
                <w:szCs w:val="21"/>
                <w:color w:val="auto"/>
              </w:rPr>
              <w:t>Chief Executive</w:t>
            </w:r>
          </w:p>
        </w:tc>
        <w:tc>
          <w:tcPr>
            <w:tcW w:w="2580" w:type="dxa"/>
            <w:vAlign w:val="bottom"/>
          </w:tcPr>
          <w:p>
            <w:pPr>
              <w:spacing w:after="0"/>
              <w:rPr>
                <w:sz w:val="21"/>
                <w:szCs w:val="21"/>
                <w:color w:val="auto"/>
              </w:rPr>
            </w:pPr>
          </w:p>
        </w:tc>
        <w:tc>
          <w:tcPr>
            <w:tcW w:w="2200" w:type="dxa"/>
            <w:vAlign w:val="bottom"/>
          </w:tcPr>
          <w:p>
            <w:pPr>
              <w:jc w:val="center"/>
              <w:ind w:left="395"/>
              <w:spacing w:after="0"/>
              <w:rPr>
                <w:sz w:val="20"/>
                <w:szCs w:val="20"/>
                <w:color w:val="auto"/>
              </w:rPr>
            </w:pPr>
            <w:r>
              <w:rPr>
                <w:rFonts w:ascii="Arial" w:cs="Arial" w:eastAsia="Arial" w:hAnsi="Arial"/>
                <w:sz w:val="21"/>
                <w:szCs w:val="21"/>
                <w:color w:val="auto"/>
                <w:w w:val="99"/>
              </w:rPr>
              <w:t>North America</w:t>
            </w:r>
          </w:p>
        </w:tc>
      </w:tr>
      <w:tr>
        <w:trPr>
          <w:trHeight w:val="252"/>
        </w:trPr>
        <w:tc>
          <w:tcPr>
            <w:tcW w:w="2240" w:type="dxa"/>
            <w:vAlign w:val="bottom"/>
          </w:tcPr>
          <w:p>
            <w:pPr>
              <w:jc w:val="center"/>
              <w:ind w:right="455"/>
              <w:spacing w:after="0"/>
              <w:rPr>
                <w:sz w:val="20"/>
                <w:szCs w:val="20"/>
                <w:color w:val="auto"/>
              </w:rPr>
            </w:pPr>
            <w:r>
              <w:rPr>
                <w:rFonts w:ascii="Arial" w:cs="Arial" w:eastAsia="Arial" w:hAnsi="Arial"/>
                <w:sz w:val="21"/>
                <w:szCs w:val="21"/>
                <w:color w:val="auto"/>
              </w:rPr>
              <w:t>Officer</w:t>
            </w:r>
          </w:p>
        </w:tc>
        <w:tc>
          <w:tcPr>
            <w:tcW w:w="258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200" w:type="dxa"/>
            <w:vAlign w:val="bottom"/>
          </w:tcPr>
          <w:p>
            <w:pPr>
              <w:jc w:val="center"/>
              <w:ind w:right="515"/>
              <w:spacing w:after="0"/>
              <w:rPr>
                <w:sz w:val="20"/>
                <w:szCs w:val="20"/>
                <w:color w:val="auto"/>
              </w:rPr>
            </w:pPr>
            <w:r>
              <w:rPr>
                <w:rFonts w:ascii="Arial" w:cs="Arial" w:eastAsia="Arial" w:hAnsi="Arial"/>
                <w:sz w:val="21"/>
                <w:szCs w:val="21"/>
                <w:b w:val="1"/>
                <w:bCs w:val="1"/>
                <w:color w:val="auto"/>
                <w:w w:val="94"/>
              </w:rPr>
              <w:t>Yann Mazabraud</w:t>
            </w:r>
          </w:p>
        </w:tc>
        <w:tc>
          <w:tcPr>
            <w:tcW w:w="2600" w:type="dxa"/>
            <w:vAlign w:val="bottom"/>
          </w:tcPr>
          <w:p>
            <w:pPr>
              <w:jc w:val="center"/>
              <w:spacing w:after="0"/>
              <w:rPr>
                <w:sz w:val="20"/>
                <w:szCs w:val="20"/>
                <w:color w:val="auto"/>
              </w:rPr>
            </w:pPr>
            <w:r>
              <w:rPr>
                <w:rFonts w:ascii="Arial" w:cs="Arial" w:eastAsia="Arial" w:hAnsi="Arial"/>
                <w:sz w:val="21"/>
                <w:szCs w:val="21"/>
                <w:b w:val="1"/>
                <w:bCs w:val="1"/>
                <w:color w:val="auto"/>
                <w:w w:val="94"/>
              </w:rPr>
              <w:t>Hunter Smith</w:t>
            </w:r>
          </w:p>
        </w:tc>
        <w:tc>
          <w:tcPr>
            <w:tcW w:w="2040" w:type="dxa"/>
            <w:vAlign w:val="bottom"/>
          </w:tcPr>
          <w:p>
            <w:pPr>
              <w:jc w:val="center"/>
              <w:ind w:left="515"/>
              <w:spacing w:after="0"/>
              <w:rPr>
                <w:sz w:val="20"/>
                <w:szCs w:val="20"/>
                <w:color w:val="auto"/>
              </w:rPr>
            </w:pPr>
            <w:r>
              <w:rPr>
                <w:rFonts w:ascii="Arial" w:cs="Arial" w:eastAsia="Arial" w:hAnsi="Arial"/>
                <w:sz w:val="21"/>
                <w:szCs w:val="21"/>
                <w:b w:val="1"/>
                <w:bCs w:val="1"/>
                <w:color w:val="auto"/>
                <w:w w:val="87"/>
              </w:rPr>
              <w:t>Joe Shulman</w:t>
            </w:r>
          </w:p>
        </w:tc>
      </w:tr>
      <w:tr>
        <w:trPr>
          <w:trHeight w:val="246"/>
        </w:trPr>
        <w:tc>
          <w:tcPr>
            <w:tcW w:w="2200" w:type="dxa"/>
            <w:vAlign w:val="bottom"/>
          </w:tcPr>
          <w:p>
            <w:pPr>
              <w:jc w:val="center"/>
              <w:ind w:right="515"/>
              <w:spacing w:after="0"/>
              <w:rPr>
                <w:sz w:val="20"/>
                <w:szCs w:val="20"/>
                <w:color w:val="auto"/>
              </w:rPr>
            </w:pPr>
            <w:r>
              <w:rPr>
                <w:rFonts w:ascii="Arial" w:cs="Arial" w:eastAsia="Arial" w:hAnsi="Arial"/>
                <w:sz w:val="21"/>
                <w:szCs w:val="21"/>
                <w:color w:val="auto"/>
                <w:w w:val="97"/>
              </w:rPr>
              <w:t>Executive Vice</w:t>
            </w:r>
          </w:p>
        </w:tc>
        <w:tc>
          <w:tcPr>
            <w:tcW w:w="2600" w:type="dxa"/>
            <w:vAlign w:val="bottom"/>
          </w:tcPr>
          <w:p>
            <w:pPr>
              <w:jc w:val="center"/>
              <w:spacing w:after="0"/>
              <w:rPr>
                <w:sz w:val="20"/>
                <w:szCs w:val="20"/>
                <w:color w:val="auto"/>
              </w:rPr>
            </w:pPr>
            <w:r>
              <w:rPr>
                <w:rFonts w:ascii="Arial" w:cs="Arial" w:eastAsia="Arial" w:hAnsi="Arial"/>
                <w:sz w:val="21"/>
                <w:szCs w:val="21"/>
                <w:color w:val="auto"/>
                <w:w w:val="99"/>
              </w:rPr>
              <w:t>Chief Financial</w:t>
            </w:r>
          </w:p>
        </w:tc>
        <w:tc>
          <w:tcPr>
            <w:tcW w:w="2040" w:type="dxa"/>
            <w:vAlign w:val="bottom"/>
          </w:tcPr>
          <w:p>
            <w:pPr>
              <w:jc w:val="center"/>
              <w:ind w:left="515"/>
              <w:spacing w:after="0"/>
              <w:rPr>
                <w:sz w:val="20"/>
                <w:szCs w:val="20"/>
                <w:color w:val="auto"/>
              </w:rPr>
            </w:pPr>
            <w:r>
              <w:rPr>
                <w:rFonts w:ascii="Arial" w:cs="Arial" w:eastAsia="Arial" w:hAnsi="Arial"/>
                <w:sz w:val="21"/>
                <w:szCs w:val="21"/>
                <w:color w:val="auto"/>
                <w:w w:val="98"/>
              </w:rPr>
              <w:t>Chief Technical</w:t>
            </w:r>
          </w:p>
        </w:tc>
      </w:tr>
      <w:tr>
        <w:trPr>
          <w:trHeight w:val="252"/>
        </w:trPr>
        <w:tc>
          <w:tcPr>
            <w:tcW w:w="2200" w:type="dxa"/>
            <w:vAlign w:val="bottom"/>
          </w:tcPr>
          <w:p>
            <w:pPr>
              <w:jc w:val="center"/>
              <w:ind w:right="515"/>
              <w:spacing w:after="0"/>
              <w:rPr>
                <w:sz w:val="20"/>
                <w:szCs w:val="20"/>
                <w:color w:val="auto"/>
              </w:rPr>
            </w:pPr>
            <w:r>
              <w:rPr>
                <w:rFonts w:ascii="Arial" w:cs="Arial" w:eastAsia="Arial" w:hAnsi="Arial"/>
                <w:sz w:val="21"/>
                <w:szCs w:val="21"/>
                <w:color w:val="auto"/>
                <w:w w:val="96"/>
              </w:rPr>
              <w:t>President, Head</w:t>
            </w:r>
          </w:p>
        </w:tc>
        <w:tc>
          <w:tcPr>
            <w:tcW w:w="2600" w:type="dxa"/>
            <w:vAlign w:val="bottom"/>
          </w:tcPr>
          <w:p>
            <w:pPr>
              <w:jc w:val="center"/>
              <w:spacing w:after="0"/>
              <w:rPr>
                <w:sz w:val="20"/>
                <w:szCs w:val="20"/>
                <w:color w:val="auto"/>
              </w:rPr>
            </w:pPr>
            <w:r>
              <w:rPr>
                <w:rFonts w:ascii="Arial" w:cs="Arial" w:eastAsia="Arial" w:hAnsi="Arial"/>
                <w:sz w:val="21"/>
                <w:szCs w:val="21"/>
                <w:color w:val="auto"/>
              </w:rPr>
              <w:t>Officer</w:t>
            </w:r>
          </w:p>
        </w:tc>
        <w:tc>
          <w:tcPr>
            <w:tcW w:w="2040" w:type="dxa"/>
            <w:vAlign w:val="bottom"/>
          </w:tcPr>
          <w:p>
            <w:pPr>
              <w:jc w:val="center"/>
              <w:ind w:left="535"/>
              <w:spacing w:after="0"/>
              <w:rPr>
                <w:sz w:val="20"/>
                <w:szCs w:val="20"/>
                <w:color w:val="auto"/>
              </w:rPr>
            </w:pPr>
            <w:r>
              <w:rPr>
                <w:rFonts w:ascii="Arial" w:cs="Arial" w:eastAsia="Arial" w:hAnsi="Arial"/>
                <w:sz w:val="21"/>
                <w:szCs w:val="21"/>
                <w:color w:val="auto"/>
              </w:rPr>
              <w:t>Officer</w:t>
            </w:r>
          </w:p>
        </w:tc>
      </w:tr>
      <w:tr>
        <w:trPr>
          <w:trHeight w:val="252"/>
        </w:trPr>
        <w:tc>
          <w:tcPr>
            <w:tcW w:w="2200" w:type="dxa"/>
            <w:vAlign w:val="bottom"/>
          </w:tcPr>
          <w:p>
            <w:pPr>
              <w:jc w:val="center"/>
              <w:ind w:right="515"/>
              <w:spacing w:after="0"/>
              <w:rPr>
                <w:sz w:val="20"/>
                <w:szCs w:val="20"/>
                <w:color w:val="auto"/>
              </w:rPr>
            </w:pPr>
            <w:r>
              <w:rPr>
                <w:rFonts w:ascii="Arial" w:cs="Arial" w:eastAsia="Arial" w:hAnsi="Arial"/>
                <w:sz w:val="21"/>
                <w:szCs w:val="21"/>
                <w:color w:val="auto"/>
              </w:rPr>
              <w:t>of International</w:t>
            </w:r>
          </w:p>
        </w:tc>
        <w:tc>
          <w:tcPr>
            <w:tcW w:w="2600" w:type="dxa"/>
            <w:vAlign w:val="bottom"/>
          </w:tcPr>
          <w:p>
            <w:pPr>
              <w:spacing w:after="0"/>
              <w:rPr>
                <w:sz w:val="21"/>
                <w:szCs w:val="21"/>
                <w:color w:val="auto"/>
              </w:rPr>
            </w:pPr>
          </w:p>
        </w:tc>
        <w:tc>
          <w:tcPr>
            <w:tcW w:w="2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2100" w:type="dxa"/>
            <w:vAlign w:val="bottom"/>
          </w:tcPr>
          <w:p>
            <w:pPr>
              <w:jc w:val="center"/>
              <w:ind w:right="335"/>
              <w:spacing w:after="0"/>
              <w:rPr>
                <w:sz w:val="20"/>
                <w:szCs w:val="20"/>
                <w:color w:val="auto"/>
              </w:rPr>
            </w:pPr>
            <w:r>
              <w:rPr>
                <w:rFonts w:ascii="Arial" w:cs="Arial" w:eastAsia="Arial" w:hAnsi="Arial"/>
                <w:sz w:val="21"/>
                <w:szCs w:val="21"/>
                <w:b w:val="1"/>
                <w:bCs w:val="1"/>
                <w:color w:val="auto"/>
                <w:w w:val="92"/>
              </w:rPr>
              <w:t>Pam Cramer</w:t>
            </w:r>
          </w:p>
        </w:tc>
        <w:tc>
          <w:tcPr>
            <w:tcW w:w="2720" w:type="dxa"/>
            <w:vAlign w:val="bottom"/>
          </w:tcPr>
          <w:p>
            <w:pPr>
              <w:jc w:val="center"/>
              <w:ind w:left="35"/>
              <w:spacing w:after="0"/>
              <w:rPr>
                <w:sz w:val="20"/>
                <w:szCs w:val="20"/>
                <w:color w:val="auto"/>
              </w:rPr>
            </w:pPr>
            <w:r>
              <w:rPr>
                <w:rFonts w:ascii="Arial" w:cs="Arial" w:eastAsia="Arial" w:hAnsi="Arial"/>
                <w:sz w:val="21"/>
                <w:szCs w:val="21"/>
                <w:b w:val="1"/>
                <w:bCs w:val="1"/>
                <w:color w:val="auto"/>
                <w:w w:val="88"/>
              </w:rPr>
              <w:t>Jim Flaherty</w:t>
            </w:r>
          </w:p>
        </w:tc>
        <w:tc>
          <w:tcPr>
            <w:tcW w:w="2340" w:type="dxa"/>
            <w:vAlign w:val="bottom"/>
          </w:tcPr>
          <w:p>
            <w:pPr>
              <w:jc w:val="center"/>
              <w:ind w:left="215"/>
              <w:spacing w:after="0"/>
              <w:rPr>
                <w:sz w:val="20"/>
                <w:szCs w:val="20"/>
                <w:color w:val="auto"/>
              </w:rPr>
            </w:pPr>
            <w:r>
              <w:rPr>
                <w:rFonts w:ascii="Arial" w:cs="Arial" w:eastAsia="Arial" w:hAnsi="Arial"/>
                <w:sz w:val="21"/>
                <w:szCs w:val="21"/>
                <w:b w:val="1"/>
                <w:bCs w:val="1"/>
                <w:color w:val="auto"/>
                <w:w w:val="92"/>
              </w:rPr>
              <w:t>Elisabeth</w:t>
            </w:r>
          </w:p>
        </w:tc>
      </w:tr>
      <w:tr>
        <w:trPr>
          <w:trHeight w:val="252"/>
        </w:trPr>
        <w:tc>
          <w:tcPr>
            <w:tcW w:w="2100" w:type="dxa"/>
            <w:vAlign w:val="bottom"/>
          </w:tcPr>
          <w:p>
            <w:pPr>
              <w:jc w:val="center"/>
              <w:ind w:right="335"/>
              <w:spacing w:after="0"/>
              <w:rPr>
                <w:sz w:val="20"/>
                <w:szCs w:val="20"/>
                <w:color w:val="auto"/>
              </w:rPr>
            </w:pPr>
            <w:r>
              <w:rPr>
                <w:rFonts w:ascii="Arial" w:cs="Arial" w:eastAsia="Arial" w:hAnsi="Arial"/>
                <w:sz w:val="21"/>
                <w:szCs w:val="21"/>
                <w:color w:val="auto"/>
                <w:w w:val="99"/>
              </w:rPr>
              <w:t>Chief Human</w:t>
            </w:r>
          </w:p>
        </w:tc>
        <w:tc>
          <w:tcPr>
            <w:tcW w:w="2720" w:type="dxa"/>
            <w:vAlign w:val="bottom"/>
          </w:tcPr>
          <w:p>
            <w:pPr>
              <w:jc w:val="center"/>
              <w:ind w:left="35"/>
              <w:spacing w:after="0"/>
              <w:rPr>
                <w:sz w:val="20"/>
                <w:szCs w:val="20"/>
                <w:color w:val="auto"/>
              </w:rPr>
            </w:pPr>
            <w:r>
              <w:rPr>
                <w:rFonts w:ascii="Arial" w:cs="Arial" w:eastAsia="Arial" w:hAnsi="Arial"/>
                <w:sz w:val="21"/>
                <w:szCs w:val="21"/>
                <w:color w:val="auto"/>
                <w:w w:val="98"/>
              </w:rPr>
              <w:t>Senior Vice President</w:t>
            </w:r>
          </w:p>
        </w:tc>
        <w:tc>
          <w:tcPr>
            <w:tcW w:w="2340" w:type="dxa"/>
            <w:vAlign w:val="bottom"/>
          </w:tcPr>
          <w:p>
            <w:pPr>
              <w:jc w:val="center"/>
              <w:ind w:left="215"/>
              <w:spacing w:after="0"/>
              <w:rPr>
                <w:sz w:val="20"/>
                <w:szCs w:val="20"/>
                <w:color w:val="auto"/>
              </w:rPr>
            </w:pPr>
            <w:r>
              <w:rPr>
                <w:rFonts w:ascii="Arial" w:cs="Arial" w:eastAsia="Arial" w:hAnsi="Arial"/>
                <w:sz w:val="21"/>
                <w:szCs w:val="21"/>
                <w:b w:val="1"/>
                <w:bCs w:val="1"/>
                <w:color w:val="auto"/>
                <w:w w:val="94"/>
              </w:rPr>
              <w:t>Crönert-Bendell</w:t>
            </w:r>
          </w:p>
        </w:tc>
      </w:tr>
      <w:tr>
        <w:trPr>
          <w:trHeight w:val="246"/>
        </w:trPr>
        <w:tc>
          <w:tcPr>
            <w:tcW w:w="2100" w:type="dxa"/>
            <w:vAlign w:val="bottom"/>
          </w:tcPr>
          <w:p>
            <w:pPr>
              <w:jc w:val="center"/>
              <w:ind w:right="335"/>
              <w:spacing w:after="0"/>
              <w:rPr>
                <w:sz w:val="20"/>
                <w:szCs w:val="20"/>
                <w:color w:val="auto"/>
              </w:rPr>
            </w:pPr>
            <w:r>
              <w:rPr>
                <w:rFonts w:ascii="Arial" w:cs="Arial" w:eastAsia="Arial" w:hAnsi="Arial"/>
                <w:sz w:val="21"/>
                <w:szCs w:val="21"/>
                <w:color w:val="auto"/>
                <w:w w:val="98"/>
              </w:rPr>
              <w:t>Resources Officer</w:t>
            </w:r>
          </w:p>
        </w:tc>
        <w:tc>
          <w:tcPr>
            <w:tcW w:w="2720" w:type="dxa"/>
            <w:vAlign w:val="bottom"/>
          </w:tcPr>
          <w:p>
            <w:pPr>
              <w:jc w:val="center"/>
              <w:ind w:left="15"/>
              <w:spacing w:after="0"/>
              <w:rPr>
                <w:sz w:val="20"/>
                <w:szCs w:val="20"/>
                <w:color w:val="auto"/>
              </w:rPr>
            </w:pPr>
            <w:r>
              <w:rPr>
                <w:rFonts w:ascii="Arial" w:cs="Arial" w:eastAsia="Arial" w:hAnsi="Arial"/>
                <w:sz w:val="21"/>
                <w:szCs w:val="21"/>
                <w:color w:val="auto"/>
                <w:w w:val="96"/>
              </w:rPr>
              <w:t>and General Counsel</w:t>
            </w:r>
          </w:p>
        </w:tc>
        <w:tc>
          <w:tcPr>
            <w:tcW w:w="2340" w:type="dxa"/>
            <w:vAlign w:val="bottom"/>
          </w:tcPr>
          <w:p>
            <w:pPr>
              <w:jc w:val="center"/>
              <w:ind w:left="215"/>
              <w:spacing w:after="0"/>
              <w:rPr>
                <w:sz w:val="20"/>
                <w:szCs w:val="20"/>
                <w:color w:val="auto"/>
              </w:rPr>
            </w:pPr>
            <w:r>
              <w:rPr>
                <w:rFonts w:ascii="Arial" w:cs="Arial" w:eastAsia="Arial" w:hAnsi="Arial"/>
                <w:sz w:val="21"/>
                <w:szCs w:val="21"/>
                <w:color w:val="auto"/>
                <w:w w:val="97"/>
              </w:rPr>
              <w:t>Senior Vice President,</w:t>
            </w:r>
          </w:p>
        </w:tc>
      </w:tr>
      <w:tr>
        <w:trPr>
          <w:trHeight w:val="252"/>
        </w:trPr>
        <w:tc>
          <w:tcPr>
            <w:tcW w:w="2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340" w:type="dxa"/>
            <w:vAlign w:val="bottom"/>
          </w:tcPr>
          <w:p>
            <w:pPr>
              <w:jc w:val="center"/>
              <w:ind w:left="215"/>
              <w:spacing w:after="0"/>
              <w:rPr>
                <w:sz w:val="20"/>
                <w:szCs w:val="20"/>
                <w:color w:val="auto"/>
              </w:rPr>
            </w:pPr>
            <w:r>
              <w:rPr>
                <w:rFonts w:ascii="Arial" w:cs="Arial" w:eastAsia="Arial" w:hAnsi="Arial"/>
                <w:sz w:val="21"/>
                <w:szCs w:val="21"/>
                <w:color w:val="auto"/>
              </w:rPr>
              <w:t>Head of Strategy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320"/>
        <w:spacing w:after="0"/>
        <w:rPr>
          <w:sz w:val="20"/>
          <w:szCs w:val="20"/>
          <w:color w:val="auto"/>
        </w:rPr>
      </w:pPr>
      <w:r>
        <w:rPr>
          <w:rFonts w:ascii="Arial" w:cs="Arial" w:eastAsia="Arial" w:hAnsi="Arial"/>
          <w:sz w:val="21"/>
          <w:szCs w:val="21"/>
          <w:b w:val="1"/>
          <w:bCs w:val="1"/>
          <w:color w:val="auto"/>
        </w:rPr>
        <w:t>Alicia Fiscus</w:t>
      </w:r>
    </w:p>
    <w:p>
      <w:pPr>
        <w:spacing w:after="0" w:line="16" w:lineRule="exact"/>
        <w:rPr>
          <w:sz w:val="20"/>
          <w:szCs w:val="20"/>
          <w:color w:val="auto"/>
        </w:rPr>
      </w:pPr>
    </w:p>
    <w:p>
      <w:pPr>
        <w:jc w:val="center"/>
        <w:ind w:right="5320"/>
        <w:spacing w:after="0"/>
        <w:rPr>
          <w:sz w:val="20"/>
          <w:szCs w:val="20"/>
          <w:color w:val="auto"/>
        </w:rPr>
      </w:pPr>
      <w:r>
        <w:rPr>
          <w:rFonts w:ascii="Arial" w:cs="Arial" w:eastAsia="Arial" w:hAnsi="Arial"/>
          <w:sz w:val="20"/>
          <w:szCs w:val="20"/>
          <w:color w:val="auto"/>
        </w:rPr>
        <w:t>Senior Vice President,</w:t>
      </w:r>
    </w:p>
    <w:p>
      <w:pPr>
        <w:spacing w:after="0" w:line="11" w:lineRule="exact"/>
        <w:rPr>
          <w:sz w:val="20"/>
          <w:szCs w:val="20"/>
          <w:color w:val="auto"/>
        </w:rPr>
      </w:pPr>
    </w:p>
    <w:p>
      <w:pPr>
        <w:jc w:val="center"/>
        <w:ind w:right="5320"/>
        <w:spacing w:after="0"/>
        <w:rPr>
          <w:sz w:val="20"/>
          <w:szCs w:val="20"/>
          <w:color w:val="auto"/>
        </w:rPr>
      </w:pPr>
      <w:r>
        <w:rPr>
          <w:rFonts w:ascii="Arial" w:cs="Arial" w:eastAsia="Arial" w:hAnsi="Arial"/>
          <w:sz w:val="21"/>
          <w:szCs w:val="21"/>
          <w:color w:val="auto"/>
        </w:rPr>
        <w:t>Global Regulatory</w:t>
      </w:r>
    </w:p>
    <w:p>
      <w:pPr>
        <w:spacing w:after="0" w:line="11" w:lineRule="exact"/>
        <w:rPr>
          <w:sz w:val="20"/>
          <w:szCs w:val="20"/>
          <w:color w:val="auto"/>
        </w:rPr>
      </w:pPr>
    </w:p>
    <w:p>
      <w:pPr>
        <w:jc w:val="center"/>
        <w:ind w:right="5320"/>
        <w:spacing w:after="0"/>
        <w:rPr>
          <w:sz w:val="20"/>
          <w:szCs w:val="20"/>
          <w:color w:val="auto"/>
        </w:rPr>
      </w:pPr>
      <w:r>
        <w:rPr>
          <w:rFonts w:ascii="Arial" w:cs="Arial" w:eastAsia="Arial" w:hAnsi="Arial"/>
          <w:sz w:val="21"/>
          <w:szCs w:val="21"/>
          <w:color w:val="auto"/>
        </w:rPr>
        <w:t>Affairs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0"/>
          <w:szCs w:val="50"/>
          <w:b w:val="1"/>
          <w:bCs w:val="1"/>
          <w:color w:val="00004E"/>
        </w:rPr>
        <w:t>Board</w:t>
      </w:r>
    </w:p>
    <w:p>
      <w:pPr>
        <w:spacing w:after="0" w:line="37" w:lineRule="exact"/>
        <w:rPr>
          <w:sz w:val="20"/>
          <w:szCs w:val="20"/>
          <w:color w:val="auto"/>
        </w:rPr>
      </w:pPr>
    </w:p>
    <w:p>
      <w:pPr>
        <w:spacing w:after="0"/>
        <w:rPr>
          <w:sz w:val="20"/>
          <w:szCs w:val="20"/>
          <w:color w:val="auto"/>
        </w:rPr>
      </w:pPr>
      <w:r>
        <w:rPr>
          <w:rFonts w:ascii="Arial" w:cs="Arial" w:eastAsia="Arial" w:hAnsi="Arial"/>
          <w:sz w:val="49"/>
          <w:szCs w:val="49"/>
          <w:b w:val="1"/>
          <w:bCs w:val="1"/>
          <w:color w:val="00004E"/>
        </w:rPr>
        <w:t>of Directors</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David Meeker, MD</w:t>
      </w:r>
    </w:p>
    <w:p>
      <w:pPr>
        <w:ind w:left="20"/>
        <w:spacing w:after="0" w:line="238" w:lineRule="auto"/>
        <w:rPr>
          <w:sz w:val="20"/>
          <w:szCs w:val="20"/>
          <w:color w:val="auto"/>
        </w:rPr>
      </w:pPr>
      <w:r>
        <w:rPr>
          <w:rFonts w:ascii="Arial" w:cs="Arial" w:eastAsia="Arial" w:hAnsi="Arial"/>
          <w:sz w:val="21"/>
          <w:szCs w:val="21"/>
          <w:b w:val="1"/>
          <w:bCs w:val="1"/>
          <w:color w:val="2D98C5"/>
        </w:rPr>
        <w:t>Chairman</w:t>
      </w:r>
    </w:p>
    <w:p>
      <w:pPr>
        <w:spacing w:after="0" w:line="247" w:lineRule="exact"/>
        <w:rPr>
          <w:sz w:val="20"/>
          <w:szCs w:val="20"/>
          <w:color w:val="auto"/>
        </w:rPr>
      </w:pPr>
    </w:p>
    <w:p>
      <w:pPr>
        <w:ind w:left="20" w:right="580"/>
        <w:spacing w:after="0" w:line="236" w:lineRule="auto"/>
        <w:rPr>
          <w:sz w:val="20"/>
          <w:szCs w:val="20"/>
          <w:color w:val="auto"/>
        </w:rPr>
      </w:pPr>
      <w:r>
        <w:rPr>
          <w:rFonts w:ascii="Arial" w:cs="Arial" w:eastAsia="Arial" w:hAnsi="Arial"/>
          <w:sz w:val="21"/>
          <w:szCs w:val="21"/>
          <w:b w:val="1"/>
          <w:bCs w:val="1"/>
          <w:color w:val="auto"/>
        </w:rPr>
        <w:t xml:space="preserve">Stuart Arbuckle </w:t>
      </w:r>
      <w:r>
        <w:rPr>
          <w:rFonts w:ascii="Arial" w:cs="Arial" w:eastAsia="Arial" w:hAnsi="Arial"/>
          <w:sz w:val="21"/>
          <w:szCs w:val="21"/>
          <w:color w:val="auto"/>
        </w:rPr>
        <w:t>Former Executive Vice President and Chief Operating Officer, Vertex Pharmaceuticals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Jennifer Good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and Chief Executive</w:t>
      </w:r>
    </w:p>
    <w:p>
      <w:pPr>
        <w:ind w:left="20"/>
        <w:spacing w:after="0" w:line="238" w:lineRule="auto"/>
        <w:rPr>
          <w:sz w:val="20"/>
          <w:szCs w:val="20"/>
          <w:color w:val="auto"/>
        </w:rPr>
      </w:pPr>
      <w:r>
        <w:rPr>
          <w:rFonts w:ascii="Arial" w:cs="Arial" w:eastAsia="Arial" w:hAnsi="Arial"/>
          <w:sz w:val="21"/>
          <w:szCs w:val="21"/>
          <w:color w:val="auto"/>
        </w:rPr>
        <w:t>Officer,</w:t>
      </w:r>
    </w:p>
    <w:p>
      <w:pPr>
        <w:ind w:left="20"/>
        <w:spacing w:after="0"/>
        <w:rPr>
          <w:sz w:val="20"/>
          <w:szCs w:val="20"/>
          <w:color w:val="auto"/>
        </w:rPr>
      </w:pPr>
      <w:r>
        <w:rPr>
          <w:rFonts w:ascii="Arial" w:cs="Arial" w:eastAsia="Arial" w:hAnsi="Arial"/>
          <w:sz w:val="21"/>
          <w:szCs w:val="21"/>
          <w:color w:val="auto"/>
        </w:rPr>
        <w:t>Trevi Therapeutics, Inc.</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Christophe R. Jean</w:t>
      </w:r>
    </w:p>
    <w:p>
      <w:pPr>
        <w:ind w:left="20"/>
        <w:spacing w:after="0" w:line="232" w:lineRule="auto"/>
        <w:rPr>
          <w:sz w:val="20"/>
          <w:szCs w:val="20"/>
          <w:color w:val="auto"/>
        </w:rPr>
      </w:pPr>
      <w:r>
        <w:rPr>
          <w:rFonts w:ascii="Arial" w:cs="Arial" w:eastAsia="Arial" w:hAnsi="Arial"/>
          <w:sz w:val="21"/>
          <w:szCs w:val="21"/>
          <w:color w:val="auto"/>
        </w:rPr>
        <w:t>Strategic Advisor,</w:t>
      </w:r>
    </w:p>
    <w:p>
      <w:pPr>
        <w:ind w:left="20"/>
        <w:spacing w:after="0"/>
        <w:rPr>
          <w:sz w:val="20"/>
          <w:szCs w:val="20"/>
          <w:color w:val="auto"/>
        </w:rPr>
      </w:pPr>
      <w:r>
        <w:rPr>
          <w:rFonts w:ascii="Arial" w:cs="Arial" w:eastAsia="Arial" w:hAnsi="Arial"/>
          <w:sz w:val="21"/>
          <w:szCs w:val="21"/>
          <w:color w:val="auto"/>
        </w:rPr>
        <w:t>Oraxys S.A.</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David McGirr</w:t>
      </w:r>
    </w:p>
    <w:p>
      <w:pPr>
        <w:ind w:left="20"/>
        <w:spacing w:after="0" w:line="232" w:lineRule="auto"/>
        <w:rPr>
          <w:sz w:val="20"/>
          <w:szCs w:val="20"/>
          <w:color w:val="auto"/>
        </w:rPr>
      </w:pPr>
      <w:r>
        <w:rPr>
          <w:rFonts w:ascii="Arial" w:cs="Arial" w:eastAsia="Arial" w:hAnsi="Arial"/>
          <w:sz w:val="21"/>
          <w:szCs w:val="21"/>
          <w:color w:val="auto"/>
        </w:rPr>
        <w:t>Former Senior Vice President</w:t>
      </w:r>
    </w:p>
    <w:p>
      <w:pPr>
        <w:ind w:left="20"/>
        <w:spacing w:after="0"/>
        <w:rPr>
          <w:sz w:val="20"/>
          <w:szCs w:val="20"/>
          <w:color w:val="auto"/>
        </w:rPr>
      </w:pPr>
      <w:r>
        <w:rPr>
          <w:rFonts w:ascii="Arial" w:cs="Arial" w:eastAsia="Arial" w:hAnsi="Arial"/>
          <w:sz w:val="21"/>
          <w:szCs w:val="21"/>
          <w:color w:val="auto"/>
        </w:rPr>
        <w:t>and Chief Financial Officer,</w:t>
      </w:r>
    </w:p>
    <w:p>
      <w:pPr>
        <w:ind w:left="20"/>
        <w:spacing w:after="0" w:line="237" w:lineRule="auto"/>
        <w:rPr>
          <w:sz w:val="20"/>
          <w:szCs w:val="20"/>
          <w:color w:val="auto"/>
        </w:rPr>
      </w:pPr>
      <w:r>
        <w:rPr>
          <w:rFonts w:ascii="Arial" w:cs="Arial" w:eastAsia="Arial" w:hAnsi="Arial"/>
          <w:sz w:val="21"/>
          <w:szCs w:val="21"/>
          <w:color w:val="auto"/>
        </w:rPr>
        <w:t>Cubist Pharmaceuticals, Inc.</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Kimberly J. Popovits</w:t>
      </w:r>
    </w:p>
    <w:p>
      <w:pPr>
        <w:spacing w:after="0" w:line="20" w:lineRule="exact"/>
        <w:rPr>
          <w:sz w:val="20"/>
          <w:szCs w:val="20"/>
          <w:color w:val="auto"/>
        </w:rPr>
      </w:pPr>
    </w:p>
    <w:p>
      <w:pPr>
        <w:ind w:left="20" w:right="120"/>
        <w:spacing w:after="0" w:line="237" w:lineRule="auto"/>
        <w:rPr>
          <w:sz w:val="20"/>
          <w:szCs w:val="20"/>
          <w:color w:val="auto"/>
        </w:rPr>
      </w:pPr>
      <w:r>
        <w:rPr>
          <w:rFonts w:ascii="Arial" w:cs="Arial" w:eastAsia="Arial" w:hAnsi="Arial"/>
          <w:sz w:val="21"/>
          <w:szCs w:val="21"/>
          <w:color w:val="auto"/>
        </w:rPr>
        <w:t>Senior Advisor to Blackstone Life Sciences</w:t>
      </w:r>
    </w:p>
    <w:p>
      <w:pPr>
        <w:spacing w:after="0" w:line="253" w:lineRule="exact"/>
        <w:rPr>
          <w:sz w:val="20"/>
          <w:szCs w:val="20"/>
          <w:color w:val="auto"/>
        </w:rPr>
      </w:pPr>
    </w:p>
    <w:p>
      <w:pPr>
        <w:ind w:left="20" w:right="720"/>
        <w:spacing w:after="0" w:line="236" w:lineRule="auto"/>
        <w:rPr>
          <w:sz w:val="20"/>
          <w:szCs w:val="20"/>
          <w:color w:val="auto"/>
        </w:rPr>
      </w:pPr>
      <w:r>
        <w:rPr>
          <w:rFonts w:ascii="Arial" w:cs="Arial" w:eastAsia="Arial" w:hAnsi="Arial"/>
          <w:sz w:val="21"/>
          <w:szCs w:val="21"/>
          <w:b w:val="1"/>
          <w:bCs w:val="1"/>
          <w:color w:val="auto"/>
        </w:rPr>
        <w:t xml:space="preserve">Lynn Tetrault, JD </w:t>
      </w:r>
      <w:r>
        <w:rPr>
          <w:rFonts w:ascii="Arial" w:cs="Arial" w:eastAsia="Arial" w:hAnsi="Arial"/>
          <w:sz w:val="21"/>
          <w:szCs w:val="21"/>
          <w:color w:val="auto"/>
        </w:rPr>
        <w:t>Former Executive Vice President of Human Resources and Corporate Affairs, Astra Zeneca, PLC</w:t>
      </w:r>
    </w:p>
    <w:p>
      <w:pPr>
        <w:spacing w:after="0" w:line="4313" w:lineRule="exact"/>
        <w:rPr>
          <w:sz w:val="20"/>
          <w:szCs w:val="20"/>
          <w:color w:val="auto"/>
        </w:rPr>
      </w:pPr>
    </w:p>
    <w:p>
      <w:pPr>
        <w:sectPr>
          <w:pgSz w:w="11880" w:h="15480" w:orient="portrait"/>
          <w:cols w:equalWidth="0" w:num="2">
            <w:col w:w="7340" w:space="460"/>
            <w:col w:w="2820"/>
          </w:cols>
          <w:pgMar w:left="560" w:top="632" w:right="700" w:bottom="12" w:gutter="0" w:footer="0" w:header="0"/>
        </w:sect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00004E"/>
        </w:rPr>
        <w:t>RHYTHM PHARMACEUTICALS | 2025 ANNUAL REPORT</w:t>
      </w:r>
    </w:p>
    <w:p>
      <w:pPr>
        <w:sectPr>
          <w:pgSz w:w="11880" w:h="15480" w:orient="portrait"/>
          <w:cols w:equalWidth="0" w:num="1">
            <w:col w:w="10620"/>
          </w:cols>
          <w:pgMar w:left="560" w:top="632" w:right="700" w:bottom="12" w:gutter="0" w:footer="0" w:header="0"/>
          <w:type w:val="continuous"/>
        </w:sectPr>
      </w:pPr>
    </w:p>
    <w:bookmarkStart w:id="187" w:name="page188"/>
    <w:bookmarkEnd w:id="187"/>
    <w:p>
      <w:pPr>
        <w:ind w:right="3860"/>
        <w:spacing w:after="0" w:line="285" w:lineRule="auto"/>
        <w:rPr>
          <w:sz w:val="20"/>
          <w:szCs w:val="20"/>
          <w:color w:val="auto"/>
        </w:rPr>
      </w:pPr>
      <w:r>
        <w:rPr>
          <w:rFonts w:ascii="Arial" w:cs="Arial" w:eastAsia="Arial" w:hAnsi="Arial"/>
          <w:sz w:val="46"/>
          <w:szCs w:val="46"/>
          <w:b w:val="1"/>
          <w:bCs w:val="1"/>
          <w:color w:val="00004E"/>
        </w:rPr>
        <w:drawing>
          <wp:anchor simplePos="0" relativeHeight="251657728" behindDoc="1" locked="0" layoutInCell="0" allowOverlap="1">
            <wp:simplePos x="0" y="0"/>
            <wp:positionH relativeFrom="page">
              <wp:posOffset>7523480</wp:posOffset>
            </wp:positionH>
            <wp:positionV relativeFrom="page">
              <wp:posOffset>0</wp:posOffset>
            </wp:positionV>
            <wp:extent cx="20320" cy="9829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9">
                      <a:extLst>
                        <a:ext uri="{28A0092B-C50C-407E-A947-70E740481C1C}"/>
                      </a:extLst>
                    </a:blip>
                    <a:srcRect/>
                    <a:stretch>
                      <a:fillRect/>
                    </a:stretch>
                  </pic:blipFill>
                  <pic:spPr bwMode="auto">
                    <a:xfrm>
                      <a:off x="0" y="0"/>
                      <a:ext cx="20320" cy="9829800"/>
                    </a:xfrm>
                    <a:prstGeom prst="rect">
                      <a:avLst/>
                    </a:prstGeom>
                    <a:noFill/>
                  </pic:spPr>
                </pic:pic>
              </a:graphicData>
            </a:graphic>
          </wp:anchor>
        </w:drawing>
        <w:t>Cautionary Note Regarding Forward-Looking Statements</w:t>
      </w: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This Annual Report contains forward-looking statements within the meaning of Section 27A of the Securities Act of 1933, as amended, or the Securities Act, and Section 21E of the Securities Exchange Act of 1934, as amended, or the Exchange Act, and is subject to the “safe harbor” created by those sections. Any statements about our expectations, beliefs, plans, objectives, assumptions or future events or performance are not historical facts and may be forward looking. Some of the forward-looking statements can be identified by the use of forward-looking terms such as “anticipates,” “believes,” “could,” “estimates,” “expects,” “intends,” “may,” “might,” “likely,” “plans,” “potential,” “predicts,” “projects,” “seeks,” “should,” “target,” “will,” “would,” or similar expressions and the negatives of those terms include forward looking statements that involve risks and uncertainties. Forward-looking statements include, but are not limited to, statements regarding the safety, efficacy, and regulatory and clinical design or progress of our product candidates and the ability of MC4R agonists, including setmelanotide, bivamelagon and RM-718, to treat certain MC4R pathway diseases; the marketing and commercialization of IMCIVREE® (setmelanotide), including plans for expansion in Europe and Japan, bivamelagon, and RM-718, and the timing of commercialization; the success, cost and timing of our product development activities and clinical trials; the ongoing enrollment of patients in our clinical trials; our expectations surrounding potential regulatory submissions, progress, or approvals and timing thereof for any of our product candidates; the estimated market size and addressable population for our drug products; the Company’s long-term objectives to develop its comprehensive portfolio and become a global biopharmaceutical company; and the announcement of data from our clinical trials, and the timing thereof. We have based these forward-looking statements largely on our current expectations and projections about future events and financial trends that we believe may affect our business, financial condition and results of operations. We cannot guarantee future results, levels of activity, performance or achievements, and you should not place undue reliance on our forward-looking statements. Our actual results may differ significantly from the results discussed in the forward-looking statements. Important factors that might cause such a difference include, but are not limited to, those set forth in Item 1A. “Risk Factors” and elsewhere in this Annual Report. Moreover, we operate in an evolving environment. New risk factors and uncertainties may emerge from time to time, and it is not possible for management to predict all risk factors and uncertainties. Except as may be required by law, we have no plans to update our forward-looking statements to reflect events or circumstances after the date of this Annual Report. We caution readers not to place undue reliance upon any such forward-looking statements, which speak only as of the date made.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Rhythmtx.com</w:t>
      </w:r>
    </w:p>
    <w:p>
      <w:pPr>
        <w:spacing w:after="0" w:line="258"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color w:val="auto"/>
        </w:rPr>
        <w:t>© 2026. Rhythm Pharmaceuticals, Inc. All rights reserved. Rhythm, IMCIVREE, Uncovering Rare Obesity, Different Obesity, Pioneering a path forward and their logos are trademarks of Rhythm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685800</wp:posOffset>
            </wp:positionV>
            <wp:extent cx="3014345" cy="878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0">
                      <a:extLst>
                        <a:ext uri="{28A0092B-C50C-407E-A947-70E740481C1C}"/>
                      </a:extLst>
                    </a:blip>
                    <a:srcRect/>
                    <a:stretch>
                      <a:fillRect/>
                    </a:stretch>
                  </pic:blipFill>
                  <pic:spPr bwMode="auto">
                    <a:xfrm>
                      <a:off x="0" y="0"/>
                      <a:ext cx="3014345" cy="8788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1745615</wp:posOffset>
            </wp:positionV>
            <wp:extent cx="3028315" cy="3213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1">
                      <a:extLst>
                        <a:ext uri="{28A0092B-C50C-407E-A947-70E740481C1C}"/>
                      </a:extLst>
                    </a:blip>
                    <a:srcRect/>
                    <a:stretch>
                      <a:fillRect/>
                    </a:stretch>
                  </pic:blipFill>
                  <pic:spPr bwMode="auto">
                    <a:xfrm>
                      <a:off x="0" y="0"/>
                      <a:ext cx="3028315" cy="321310"/>
                    </a:xfrm>
                    <a:prstGeom prst="rect">
                      <a:avLst/>
                    </a:prstGeom>
                    <a:noFill/>
                  </pic:spPr>
                </pic:pic>
              </a:graphicData>
            </a:graphic>
          </wp:anchor>
        </w:drawing>
      </w:r>
    </w:p>
    <w:sectPr>
      <w:pgSz w:w="11880" w:h="15480" w:orient="portrait"/>
      <w:cols w:equalWidth="0" w:num="1">
        <w:col w:w="10360"/>
      </w:cols>
      <w:pgMar w:left="740" w:top="636" w:right="7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2"/>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Letter"/>
      <w:start w:val="4"/>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lvl w:ilvl="1">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lvl w:ilvl="1">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lvl w:ilvl="1">
      <w:lvlJc w:val="left"/>
      <w:lvlText w:val="(%2)"/>
      <w:numFmt w:val="lowerRoman"/>
      <w:start w:val="3"/>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lvl w:ilvl="1">
      <w:lvlJc w:val="left"/>
      <w:lvlText w:val="•"/>
      <w:numFmt w:val="bullet"/>
      <w:start w:val="1"/>
    </w:lvl>
  </w:abstractNum>
  <w:abstractNum w:abstractNumId="42">
    <w:nsid w:val="5DB70AE5"/>
    <w:multiLevelType w:val="hybridMultilevel"/>
    <w:lvl w:ilvl="0">
      <w:lvlJc w:val="left"/>
      <w:lvlText w:val="•"/>
      <w:numFmt w:val="bullet"/>
      <w:start w:val="1"/>
    </w:lvl>
    <w:lvl w:ilvl="1">
      <w:lvlJc w:val="left"/>
      <w:lvlText w:val="•"/>
      <w:numFmt w:val="bullet"/>
      <w:start w:val="1"/>
    </w:lvl>
  </w:abstractNum>
  <w:abstractNum w:abstractNumId="43">
    <w:nsid w:val="100F8FCA"/>
    <w:multiLevelType w:val="hybridMultilevel"/>
    <w:lvl w:ilvl="0">
      <w:lvlJc w:val="left"/>
      <w:lvlText w:val="•"/>
      <w:numFmt w:val="bullet"/>
      <w:start w:val="1"/>
    </w:lvl>
    <w:lvl w:ilvl="1">
      <w:lvlJc w:val="left"/>
      <w:lvlText w:val="•"/>
      <w:numFmt w:val="bullet"/>
      <w:start w:val="1"/>
    </w:lvl>
  </w:abstractNum>
  <w:abstractNum w:abstractNumId="44">
    <w:nsid w:val="6590700B"/>
    <w:multiLevelType w:val="hybridMultilevel"/>
    <w:lvl w:ilvl="0">
      <w:lvlJc w:val="left"/>
      <w:lvlText w:val="•"/>
      <w:numFmt w:val="bullet"/>
      <w:start w:val="1"/>
    </w:lvl>
    <w:lvl w:ilvl="1">
      <w:lvlJc w:val="left"/>
      <w:lvlText w:val="•"/>
      <w:numFmt w:val="bullet"/>
      <w:start w:val="1"/>
    </w:lvl>
  </w:abstractNum>
  <w:abstractNum w:abstractNumId="45">
    <w:nsid w:val="15014ACB"/>
    <w:multiLevelType w:val="hybridMultilevel"/>
    <w:lvl w:ilvl="0">
      <w:lvlJc w:val="left"/>
      <w:lvlText w:val="•"/>
      <w:numFmt w:val="bullet"/>
      <w:start w:val="1"/>
    </w:lvl>
    <w:lvl w:ilvl="1">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1)"/>
      <w:numFmt w:val="decimal"/>
      <w:start w:val="2"/>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2026-05-02T00:26:16Z</dcterms:created>
  <dcterms:modified xsi:type="dcterms:W3CDTF">2026-05-02T00:26:16Z</dcterms:modified>
</cp:coreProperties>
</file>