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180340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231775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5" w:lineRule="exact"/>
        <w:rPr>
          <w:sz w:val="24"/>
          <w:szCs w:val="24"/>
          <w:color w:val="auto"/>
        </w:rPr>
      </w:pPr>
    </w:p>
    <w:p>
      <w:pPr>
        <w:ind w:left="500" w:hanging="450"/>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1" w:lineRule="exact"/>
        <w:rPr>
          <w:sz w:val="24"/>
          <w:szCs w:val="24"/>
          <w:color w:val="auto"/>
        </w:rPr>
      </w:pPr>
    </w:p>
    <w:p>
      <w:pPr>
        <w:ind w:left="500" w:hanging="450"/>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0" w:lineRule="exact"/>
        <w:rPr>
          <w:sz w:val="24"/>
          <w:szCs w:val="24"/>
          <w:color w:val="auto"/>
        </w:rPr>
      </w:pPr>
    </w:p>
    <w:p>
      <w:pPr>
        <w:ind w:left="3320"/>
        <w:spacing w:after="0"/>
        <w:tabs>
          <w:tab w:leader="none" w:pos="52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001-38223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RHYTHM PHARMACEUTICALS,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62230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3" w:lineRule="exact"/>
        <w:rPr>
          <w:sz w:val="24"/>
          <w:szCs w:val="24"/>
          <w:color w:val="auto"/>
        </w:rPr>
      </w:pPr>
    </w:p>
    <w:tbl>
      <w:tblPr>
        <w:tblLayout w:type="fixed"/>
        <w:tblInd w:w="70" w:type="dxa"/>
        <w:tblCellMar>
          <w:top w:w="0" w:type="dxa"/>
          <w:left w:w="0" w:type="dxa"/>
          <w:bottom w:w="0" w:type="dxa"/>
          <w:right w:w="0" w:type="dxa"/>
        </w:tblCellMar>
      </w:tblPr>
      <w:tr>
        <w:trPr>
          <w:trHeight w:val="149"/>
        </w:trPr>
        <w:tc>
          <w:tcPr>
            <w:tcW w:w="3060" w:type="dxa"/>
            <w:vAlign w:val="bottom"/>
            <w:gridSpan w:val="2"/>
          </w:tcPr>
          <w:p>
            <w:pPr>
              <w:jc w:val="center"/>
              <w:ind w:left="13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760" w:type="dxa"/>
            <w:vAlign w:val="bottom"/>
          </w:tcPr>
          <w:p>
            <w:pPr>
              <w:spacing w:after="0"/>
              <w:rPr>
                <w:sz w:val="12"/>
                <w:szCs w:val="12"/>
                <w:color w:val="auto"/>
              </w:rPr>
            </w:pPr>
          </w:p>
        </w:tc>
        <w:tc>
          <w:tcPr>
            <w:tcW w:w="3100" w:type="dxa"/>
            <w:vAlign w:val="bottom"/>
          </w:tcPr>
          <w:p>
            <w:pPr>
              <w:jc w:val="center"/>
              <w:ind w:right="1337"/>
              <w:spacing w:after="0"/>
              <w:rPr>
                <w:sz w:val="20"/>
                <w:szCs w:val="20"/>
                <w:color w:val="auto"/>
              </w:rPr>
            </w:pPr>
            <w:r>
              <w:rPr>
                <w:rFonts w:ascii="Times New Roman" w:cs="Times New Roman" w:eastAsia="Times New Roman" w:hAnsi="Times New Roman"/>
                <w:sz w:val="13"/>
                <w:szCs w:val="13"/>
                <w:b w:val="1"/>
                <w:bCs w:val="1"/>
                <w:color w:val="auto"/>
                <w:w w:val="98"/>
              </w:rPr>
              <w:t>46-2159271</w:t>
            </w:r>
          </w:p>
        </w:tc>
      </w:tr>
      <w:tr>
        <w:trPr>
          <w:trHeight w:val="135"/>
        </w:trPr>
        <w:tc>
          <w:tcPr>
            <w:tcW w:w="3060" w:type="dxa"/>
            <w:vAlign w:val="bottom"/>
            <w:gridSpan w:val="2"/>
          </w:tcPr>
          <w:p>
            <w:pPr>
              <w:jc w:val="center"/>
              <w:ind w:left="133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60" w:type="dxa"/>
            <w:vAlign w:val="bottom"/>
          </w:tcPr>
          <w:p>
            <w:pPr>
              <w:spacing w:after="0"/>
              <w:rPr>
                <w:sz w:val="11"/>
                <w:szCs w:val="11"/>
                <w:color w:val="auto"/>
              </w:rPr>
            </w:pPr>
          </w:p>
        </w:tc>
        <w:tc>
          <w:tcPr>
            <w:tcW w:w="3100" w:type="dxa"/>
            <w:vAlign w:val="bottom"/>
          </w:tcPr>
          <w:p>
            <w:pPr>
              <w:jc w:val="center"/>
              <w:ind w:right="133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3060" w:type="dxa"/>
            <w:vAlign w:val="bottom"/>
            <w:gridSpan w:val="2"/>
          </w:tcPr>
          <w:p>
            <w:pPr>
              <w:jc w:val="center"/>
              <w:ind w:left="1317"/>
              <w:spacing w:after="0"/>
              <w:rPr>
                <w:sz w:val="20"/>
                <w:szCs w:val="20"/>
                <w:color w:val="auto"/>
              </w:rPr>
            </w:pPr>
            <w:r>
              <w:rPr>
                <w:rFonts w:ascii="Times New Roman" w:cs="Times New Roman" w:eastAsia="Times New Roman" w:hAnsi="Times New Roman"/>
                <w:sz w:val="13"/>
                <w:szCs w:val="13"/>
                <w:color w:val="auto"/>
                <w:w w:val="97"/>
              </w:rPr>
              <w:t>Incorporation or Organization)</w:t>
            </w:r>
          </w:p>
        </w:tc>
        <w:tc>
          <w:tcPr>
            <w:tcW w:w="2760" w:type="dxa"/>
            <w:vAlign w:val="bottom"/>
          </w:tcPr>
          <w:p>
            <w:pPr>
              <w:spacing w:after="0"/>
              <w:rPr>
                <w:sz w:val="14"/>
                <w:szCs w:val="14"/>
                <w:color w:val="auto"/>
              </w:rPr>
            </w:pPr>
          </w:p>
        </w:tc>
        <w:tc>
          <w:tcPr>
            <w:tcW w:w="3100" w:type="dxa"/>
            <w:vAlign w:val="bottom"/>
          </w:tcPr>
          <w:p>
            <w:pPr>
              <w:jc w:val="center"/>
              <w:ind w:right="1337"/>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178"/>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222 Berkeley Street</w:t>
            </w:r>
          </w:p>
        </w:tc>
        <w:tc>
          <w:tcPr>
            <w:tcW w:w="310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12</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tc>
        <w:tc>
          <w:tcPr>
            <w:tcW w:w="3100" w:type="dxa"/>
            <w:vAlign w:val="bottom"/>
          </w:tcPr>
          <w:p>
            <w:pPr>
              <w:spacing w:after="0"/>
              <w:rPr>
                <w:sz w:val="12"/>
                <w:szCs w:val="12"/>
                <w:color w:val="auto"/>
              </w:rPr>
            </w:pPr>
          </w:p>
        </w:tc>
      </w:tr>
      <w:tr>
        <w:trPr>
          <w:trHeight w:val="137"/>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5"/>
              </w:rPr>
              <w:t>Boston, MA 02116</w:t>
            </w:r>
          </w:p>
        </w:tc>
        <w:tc>
          <w:tcPr>
            <w:tcW w:w="3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3100" w:type="dxa"/>
            <w:vAlign w:val="bottom"/>
          </w:tcPr>
          <w:p>
            <w:pPr>
              <w:spacing w:after="0"/>
              <w:rPr>
                <w:sz w:val="11"/>
                <w:szCs w:val="11"/>
                <w:color w:val="auto"/>
              </w:rPr>
            </w:pPr>
          </w:p>
        </w:tc>
      </w:tr>
      <w:tr>
        <w:trPr>
          <w:trHeight w:val="164"/>
        </w:trPr>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(Zip Code)</w:t>
            </w:r>
          </w:p>
        </w:tc>
        <w:tc>
          <w:tcPr>
            <w:tcW w:w="3100" w:type="dxa"/>
            <w:vAlign w:val="bottom"/>
          </w:tcPr>
          <w:p>
            <w:pPr>
              <w:spacing w:after="0"/>
              <w:rPr>
                <w:sz w:val="14"/>
                <w:szCs w:val="14"/>
                <w:color w:val="auto"/>
              </w:rPr>
            </w:pPr>
          </w:p>
        </w:tc>
      </w:tr>
      <w:tr>
        <w:trPr>
          <w:trHeight w:val="160"/>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(857) 264-4280</w:t>
            </w:r>
          </w:p>
        </w:tc>
        <w:tc>
          <w:tcPr>
            <w:tcW w:w="3100" w:type="dxa"/>
            <w:vAlign w:val="bottom"/>
          </w:tcPr>
          <w:p>
            <w:pPr>
              <w:spacing w:after="0"/>
              <w:rPr>
                <w:sz w:val="13"/>
                <w:szCs w:val="13"/>
                <w:color w:val="auto"/>
              </w:rPr>
            </w:pPr>
          </w:p>
        </w:tc>
      </w:tr>
      <w:tr>
        <w:trPr>
          <w:trHeight w:val="160"/>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100" w:type="dxa"/>
            <w:vAlign w:val="bottom"/>
          </w:tcPr>
          <w:p>
            <w:pPr>
              <w:spacing w:after="0"/>
              <w:rPr>
                <w:sz w:val="13"/>
                <w:szCs w:val="13"/>
                <w:color w:val="auto"/>
              </w:rPr>
            </w:pPr>
          </w:p>
        </w:tc>
      </w:tr>
      <w:tr>
        <w:trPr>
          <w:trHeight w:val="137"/>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8"/>
              </w:rPr>
              <w:t>N/A</w:t>
            </w:r>
          </w:p>
        </w:tc>
        <w:tc>
          <w:tcPr>
            <w:tcW w:w="3100" w:type="dxa"/>
            <w:vAlign w:val="bottom"/>
          </w:tcPr>
          <w:p>
            <w:pPr>
              <w:spacing w:after="0"/>
              <w:rPr>
                <w:sz w:val="11"/>
                <w:szCs w:val="11"/>
                <w:color w:val="auto"/>
              </w:rPr>
            </w:pPr>
          </w:p>
        </w:tc>
      </w:tr>
      <w:tr>
        <w:trPr>
          <w:trHeight w:val="164"/>
        </w:trPr>
        <w:tc>
          <w:tcPr>
            <w:tcW w:w="892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175"/>
        </w:trPr>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27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84"/>
        </w:trPr>
        <w:tc>
          <w:tcPr>
            <w:tcW w:w="2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r>
      <w:tr>
        <w:trPr>
          <w:trHeight w:val="155"/>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140" w:type="dxa"/>
            <w:vAlign w:val="bottom"/>
            <w:tcBorders>
              <w:bottom w:val="single" w:sz="8" w:color="auto"/>
            </w:tcBorders>
          </w:tcPr>
          <w:p>
            <w:pPr>
              <w:spacing w:after="0"/>
              <w:rPr>
                <w:sz w:val="13"/>
                <w:szCs w:val="13"/>
                <w:color w:val="auto"/>
              </w:rPr>
            </w:pPr>
          </w:p>
        </w:tc>
        <w:tc>
          <w:tcPr>
            <w:tcW w:w="2760" w:type="dxa"/>
            <w:vAlign w:val="bottom"/>
            <w:tcBorders>
              <w:bottom w:val="single" w:sz="8" w:color="auto"/>
              <w:right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29"/>
        </w:trPr>
        <w:tc>
          <w:tcPr>
            <w:tcW w:w="292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14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3"/>
                <w:szCs w:val="13"/>
                <w:color w:val="auto"/>
                <w:w w:val="95"/>
              </w:rPr>
              <w:t>RYTM</w:t>
            </w:r>
          </w:p>
        </w:tc>
        <w:tc>
          <w:tcPr>
            <w:tcW w:w="310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The Nasdaq Stock Market LLC (Nasdaq Global Market)</w:t>
            </w: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62230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32" w:lineRule="exact"/>
        <w:rPr>
          <w:sz w:val="24"/>
          <w:szCs w:val="24"/>
          <w:color w:val="auto"/>
        </w:rPr>
      </w:pPr>
    </w:p>
    <w:p>
      <w:pPr>
        <w:ind w:left="60" w:right="2119"/>
        <w:spacing w:after="0" w:line="209"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ind w:left="60" w:right="59"/>
        <w:spacing w:after="0" w:line="16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w:t>
      </w:r>
    </w:p>
    <w:p>
      <w:pPr>
        <w:spacing w:after="0" w:line="1" w:lineRule="exact"/>
        <w:rPr>
          <w:sz w:val="24"/>
          <w:szCs w:val="24"/>
          <w:color w:val="auto"/>
        </w:rPr>
      </w:pPr>
    </w:p>
    <w:p>
      <w:pPr>
        <w:ind w:left="8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ind w:left="60" w:right="559"/>
        <w:spacing w:after="0" w:line="17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ind w:left="60" w:right="99"/>
        <w:spacing w:after="0" w:line="26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ind w:left="1640"/>
        <w:spacing w:after="0" w:line="150"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2">
            <w:col w:w="5740" w:space="720"/>
            <w:col w:w="2559"/>
          </w:cols>
          <w:pgMar w:left="1440" w:top="661" w:right="1440" w:bottom="1440" w:gutter="0" w:footer="0" w:header="0"/>
          <w:type w:val="continuous"/>
        </w:sectPr>
      </w:pPr>
    </w:p>
    <w:p>
      <w:pPr>
        <w:ind w:left="16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3"/>
          <w:szCs w:val="13"/>
          <w:color w:val="auto"/>
        </w:rPr>
        <w:t>☐</w:t>
      </w:r>
    </w:p>
    <w:p>
      <w:pPr>
        <w:spacing w:after="0" w:line="89"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3"/>
          <w:szCs w:val="13"/>
          <w:color w:val="auto"/>
        </w:rPr>
        <w:t>☐</w:t>
      </w:r>
    </w:p>
    <w:p>
      <w:pPr>
        <w:spacing w:after="0" w:line="29" w:lineRule="exact"/>
        <w:rPr>
          <w:sz w:val="24"/>
          <w:szCs w:val="24"/>
          <w:color w:val="auto"/>
        </w:rPr>
      </w:pPr>
    </w:p>
    <w:p>
      <w:pPr>
        <w:sectPr>
          <w:pgSz w:w="11900" w:h="16838" w:orient="portrait"/>
          <w:cols w:equalWidth="0" w:num="2">
            <w:col w:w="5220" w:space="720"/>
            <w:col w:w="3079"/>
          </w:cols>
          <w:pgMar w:left="1440" w:top="661" w:right="1440" w:bottom="1440" w:gutter="0" w:footer="0" w:header="0"/>
          <w:type w:val="continuous"/>
        </w:sectPr>
      </w:pPr>
    </w:p>
    <w:p>
      <w:pPr>
        <w:ind w:left="60" w:right="219"/>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5" w:lineRule="exact"/>
        <w:rPr>
          <w:sz w:val="24"/>
          <w:szCs w:val="24"/>
          <w:color w:val="auto"/>
        </w:rPr>
      </w:pPr>
    </w:p>
    <w:p>
      <w:pPr>
        <w:ind w:left="60" w:right="399"/>
        <w:spacing w:after="0" w:line="17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5" w:lineRule="exact"/>
        <w:rPr>
          <w:sz w:val="24"/>
          <w:szCs w:val="24"/>
          <w:color w:val="auto"/>
        </w:rPr>
      </w:pPr>
    </w:p>
    <w:p>
      <w:pPr>
        <w:ind w:left="60" w:right="479"/>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left="60" w:right="479"/>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w:t>
      </w:r>
    </w:p>
    <w:p>
      <w:pPr>
        <w:spacing w:after="0" w:line="1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The aggregate market value of the voting and non-voting common equity held by non-affiliates of the registrant was approximately $2.4 billion, based on the closing price of</w:t>
      </w:r>
    </w:p>
    <w:p>
      <w:pPr>
        <w:spacing w:after="0" w:line="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the registrant’s Common Stock on June 28, 2024, the last business day of the registrant’s most recently completed second fiscal quarter. Solely for purposes of this disclosure,</w:t>
      </w:r>
    </w:p>
    <w:p>
      <w:pPr>
        <w:spacing w:after="0" w:line="26" w:lineRule="exact"/>
        <w:rPr>
          <w:sz w:val="24"/>
          <w:szCs w:val="24"/>
          <w:color w:val="auto"/>
        </w:rPr>
      </w:pPr>
    </w:p>
    <w:p>
      <w:pPr>
        <w:ind w:left="60" w:right="259"/>
        <w:spacing w:after="0" w:line="238" w:lineRule="auto"/>
        <w:rPr>
          <w:sz w:val="20"/>
          <w:szCs w:val="20"/>
          <w:color w:val="auto"/>
        </w:rPr>
      </w:pPr>
      <w:r>
        <w:rPr>
          <w:rFonts w:ascii="Times New Roman" w:cs="Times New Roman" w:eastAsia="Times New Roman" w:hAnsi="Times New Roman"/>
          <w:sz w:val="13"/>
          <w:szCs w:val="13"/>
          <w:color w:val="auto"/>
        </w:rPr>
        <w:t>Common Stock held by executive officers, directors and certain stockholders of the registrant as of such date have been excluded because such holders may be deemed to be affiliates. There were 63,223,727 shares of the registrant's Common Stock outstanding as of February 24,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left="60" w:right="79"/>
        <w:spacing w:after="0"/>
        <w:rPr>
          <w:sz w:val="20"/>
          <w:szCs w:val="20"/>
          <w:color w:val="auto"/>
        </w:rPr>
      </w:pPr>
      <w:r>
        <w:rPr>
          <w:rFonts w:ascii="Times New Roman" w:cs="Times New Roman" w:eastAsia="Times New Roman" w:hAnsi="Times New Roman"/>
          <w:sz w:val="13"/>
          <w:szCs w:val="13"/>
          <w:color w:val="auto"/>
        </w:rPr>
        <w:t>The registrant intends to file a definitive proxy statement for the registrant's 2025 Annual Meeting of Stockholders within 120 days of the end of the fiscal year ended December 31, 2024.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455930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36195</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78740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3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60" w:type="dxa"/>
            <w:vAlign w:val="bottom"/>
            <w:tcBorders>
              <w:bottom w:val="single" w:sz="8" w:color="0000EE"/>
            </w:tcBorders>
            <w:gridSpan w:val="2"/>
          </w:tcPr>
          <w:p>
            <w:pPr>
              <w:ind w:left="120"/>
              <w:spacing w:after="0"/>
              <w:rPr>
                <w:sz w:val="20"/>
                <w:szCs w:val="20"/>
                <w:color w:val="auto"/>
              </w:rPr>
            </w:pPr>
            <w:r>
              <w:rPr>
                <w:rFonts w:ascii="Times New Roman" w:cs="Times New Roman" w:eastAsia="Times New Roman" w:hAnsi="Times New Roman"/>
                <w:sz w:val="18"/>
                <w:szCs w:val="18"/>
                <w:color w:val="0000EE"/>
                <w:w w:val="96"/>
              </w:rPr>
              <w:t>Business</w:t>
            </w:r>
          </w:p>
        </w:tc>
        <w:tc>
          <w:tcPr>
            <w:tcW w:w="6020" w:type="dxa"/>
            <w:vAlign w:val="bottom"/>
            <w:gridSpan w:val="2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760" w:type="dxa"/>
            <w:vAlign w:val="bottom"/>
            <w:gridSpan w:val="21"/>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1B. Unresolved Staff Comments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1C. Cybersecurity</w:t>
            </w:r>
          </w:p>
        </w:tc>
        <w:tc>
          <w:tcPr>
            <w:tcW w:w="4640" w:type="dxa"/>
            <w:vAlign w:val="bottom"/>
            <w:gridSpan w:val="13"/>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100" w:type="dxa"/>
            <w:vAlign w:val="bottom"/>
            <w:tcBorders>
              <w:top w:val="single" w:sz="8" w:color="0000EE"/>
            </w:tcBorders>
            <w:gridSpan w:val="6"/>
          </w:tcPr>
          <w:p>
            <w:pPr>
              <w:ind w:left="120"/>
              <w:spacing w:after="0"/>
              <w:rPr>
                <w:sz w:val="20"/>
                <w:szCs w:val="20"/>
                <w:color w:val="auto"/>
              </w:rPr>
            </w:pPr>
            <w:r>
              <w:rPr>
                <w:rFonts w:ascii="Times New Roman" w:cs="Times New Roman" w:eastAsia="Times New Roman" w:hAnsi="Times New Roman"/>
                <w:sz w:val="18"/>
                <w:szCs w:val="18"/>
                <w:color w:val="0000EE"/>
              </w:rPr>
              <w:t>Properties</w:t>
            </w:r>
          </w:p>
        </w:tc>
        <w:tc>
          <w:tcPr>
            <w:tcW w:w="5680" w:type="dxa"/>
            <w:vAlign w:val="bottom"/>
            <w:gridSpan w:val="20"/>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780" w:type="dxa"/>
            <w:vAlign w:val="bottom"/>
            <w:gridSpan w:val="26"/>
          </w:tcPr>
          <w:p>
            <w:pPr>
              <w:ind w:left="120"/>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880" w:type="dxa"/>
            <w:vAlign w:val="bottom"/>
            <w:gridSpan w:val="1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w:t>
            </w:r>
          </w:p>
        </w:tc>
        <w:tc>
          <w:tcPr>
            <w:tcW w:w="780" w:type="dxa"/>
            <w:vAlign w:val="bottom"/>
            <w:gridSpan w:val="3"/>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44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860" w:type="dxa"/>
            <w:vAlign w:val="bottom"/>
            <w:tcBorders>
              <w:bottom w:val="single" w:sz="8" w:color="0000EE"/>
            </w:tcBorders>
            <w:gridSpan w:val="4"/>
          </w:tcPr>
          <w:p>
            <w:pPr>
              <w:ind w:left="60"/>
              <w:spacing w:after="0"/>
              <w:rPr>
                <w:sz w:val="20"/>
                <w:szCs w:val="20"/>
                <w:color w:val="auto"/>
              </w:rPr>
            </w:pPr>
            <w:r>
              <w:rPr>
                <w:rFonts w:ascii="Times New Roman" w:cs="Times New Roman" w:eastAsia="Times New Roman" w:hAnsi="Times New Roman"/>
                <w:sz w:val="18"/>
                <w:szCs w:val="18"/>
                <w:color w:val="0000EE"/>
                <w:w w:val="98"/>
              </w:rPr>
              <w:t>[Reserved]</w:t>
            </w:r>
          </w:p>
        </w:tc>
        <w:tc>
          <w:tcPr>
            <w:tcW w:w="5920" w:type="dxa"/>
            <w:vAlign w:val="bottom"/>
            <w:gridSpan w:val="22"/>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2100" w:type="dxa"/>
            <w:vAlign w:val="bottom"/>
            <w:tcBorders>
              <w:top w:val="single" w:sz="8" w:color="0000EE"/>
            </w:tcBorders>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3380" w:type="dxa"/>
            <w:vAlign w:val="bottom"/>
            <w:gridSpan w:val="9"/>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Disclosures</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900" w:type="dxa"/>
            <w:vAlign w:val="bottom"/>
            <w:gridSpan w:val="15"/>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5340" w:type="dxa"/>
            <w:vAlign w:val="bottom"/>
            <w:gridSpan w:val="19"/>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1780" w:type="dxa"/>
            <w:vAlign w:val="bottom"/>
            <w:gridSpan w:val="6"/>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III</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2620" w:type="dxa"/>
            <w:vAlign w:val="bottom"/>
            <w:gridSpan w:val="8"/>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w:t>
            </w:r>
          </w:p>
        </w:tc>
        <w:tc>
          <w:tcPr>
            <w:tcW w:w="920" w:type="dxa"/>
            <w:vAlign w:val="bottom"/>
            <w:gridSpan w:val="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300" w:type="dxa"/>
            <w:vAlign w:val="bottom"/>
            <w:gridSpan w:val="5"/>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580" w:type="dxa"/>
            <w:vAlign w:val="bottom"/>
            <w:tcBorders>
              <w:top w:val="single" w:sz="8" w:color="0000EE"/>
            </w:tcBorders>
            <w:gridSpan w:val="2"/>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16. Form 10-K Summary</w:t>
            </w:r>
          </w:p>
        </w:tc>
        <w:tc>
          <w:tcPr>
            <w:tcW w:w="1600" w:type="dxa"/>
            <w:vAlign w:val="bottom"/>
            <w:tcBorders>
              <w:top w:val="single" w:sz="8" w:color="0000EE"/>
            </w:tcBorders>
            <w:gridSpan w:val="7"/>
          </w:tcPr>
          <w:p>
            <w:pPr>
              <w:spacing w:after="0"/>
              <w:rPr>
                <w:sz w:val="24"/>
                <w:szCs w:val="24"/>
                <w:color w:val="auto"/>
              </w:rPr>
            </w:pPr>
          </w:p>
        </w:tc>
        <w:tc>
          <w:tcPr>
            <w:tcW w:w="3560" w:type="dxa"/>
            <w:vAlign w:val="bottom"/>
            <w:gridSpan w:val="10"/>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16"/>
          </w:tcPr>
          <w:p>
            <w:pPr>
              <w:ind w:left="31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within the meaning of Section 27A of the Securities Act of 1933, as amended, or the Securities Act, and Section 21E of the Securities Exchange Act of 1934, as amended, or the Exchange Act, and is subject to the “safe harbor” created by those sections. Any statements about our expectations, beliefs, plans, objectives, assumptions or future events or performance are not historical facts and may be forward-looking. Some of the forward-looking statements can be identified by the use of forward-looking terms such as “anticipates,” “believes,” “could,” “estimates,” “expects,” “intends,” “may,” “might,” “likely,” “plans,” “potential,” “predicts,” “projects,” “seeks,” “should,” “target,” “will,” “would,” or similar expressions and the negatives of those terms include forward-looking statements that involve risks and uncertainties. Forward-looking statements include, but are not limited to, statements regarding the marketing and commercialization of IMCIVREE® (setmelanotide), bivamelagon (formerly LB54640), and RM-718, and the timing of commercialization, the success, cost and timing of our product development activities and clinical trials, the ongoing enrollment of patients in our clinical trials, our expectations surrounding potential regulatory submissions, progress, or approvals and timing thereof for any of our product candidates; the estimated market size and addressable population for our drug products; the announcement of data from our clinical trials, including our Phase 3 trial evaluating setmelanotide for patients with acquired hypothalamic obesity, the substudy evaluating setmelanotide for patients with congenital hypothalamic obesity, the Phase 3 EMANATE trial evaluating setmelanotide in genetically caused MC4R pathway diseases, and the Phase 2 trial evaluating the oral MC4R agonist bivamelagon in acquired hypothalamic obesity; Part C of the Phase 1 trial evaluating RM-718; the open-label Phase 2 trial evaluating setmelanotide in patients with Prader-Willi syndrome, our financial performance, including our expectations regarding our existing cash, operating losses, expenses, sources of future financing and sufficiency of cash, our ability to hire and retain necessary personnel, including in international regions, patient enrollments and the timing thereof, the timing of announcements regarding results of clinical trials and filing of regulatory applications, our ability to protect our intellectual property, our ability to negotiate our collaboration agreements, if needed, our relationship with third parties, our marketing, commercial sales, and revenue generation, expectations surrounding our manufacturing arrangements, the potential financial impact, growth prospects and future benefits of our ongoing discovery efforts with respect to congenital hyperinsulinism, the impact of economic conditions on our business and operations and our future financial results, changes in the political and regulatory landscape, and the impact of accounting pronouncements. We have based these forward-looking statements largely on our current expectations and projections about future events and financial trends that we believe may affect our business, financial condition and results of operations. We cannot guarantee future results, levels of activity, performance or achievements, and you should not place undue reliance on our forward-looking statements. Our actual results may differ significantly from the results discussed in the forward-looking statements. Important factors that might cause such a difference include, but are not limited to, those set forth in Item 1A. “Risk Factors” and elsewhere in this Annual Report. Moreover, we operate in an evolving environment. New risk factors and uncertainties may emerge from time to time, and it is not possible for management to predict all risk factors and uncertainties. Except as may be required by law, we have no plans to update our forward-looking statements to reflect events or circumstances after the date of this Annual Report. We caution readers not to place undue reliance upon any such forward-looking statements, which speak only as of the date made.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the content requires otherwise, references to “Rhythm Pharmaceuticals,” “Rhythm,” “the Company,” “we,” “our,” and “us,” in this Annual Report refer to Rhythm Pharmaceuticals, Inc. and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may include trademarks, tradenames and service marks that are the property of other organizations. Solely for convenience, trademarks and tradenames referred to in this Annual Report may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commercial-stage biopharmaceutical company with a limited operating history. To date, we have generated approximately $227.6 million from product sales. We have incurred significant operating losses since our inception, anticipate that we will incur continued losses for the foreseeable future and may never achieve profitability.</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Interest Financing Agreement with Healthcare Royalty Partners, our license agreement with LGC, and our other agreements, could restrict our ability to commercialize IMCIVREE, limit cash flow available for our operations and expose us to risks that could adversely affect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one approved product, which is still in clinical development in additional indications, and we may not be successful in any future efforts to identify and develop additional product candidates.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IMCIVREE and any other product candidates will depend in part on the extent to which governmental authorities, private health insurers, and other third-party payors provide coverage and adequate reimbursement. Failure to obtain or maintain coverage and adequate reimbursement for setmelanotide or our other product candidates, if any and if approved, could severely limit our ability to market those products and decrease our ability to generate revenue.</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clinical trials of setmelanotide may not be predictive of the results of later clinical trials of setmelanotide and preliminary data may not be predictive of final results. If we cannot generate positive results in our later clinical trials of setmelanotide, we may be unable to successfully develop, obtain regulatory approval for and commercialize additional indications for setmelanotide.</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each of the MC4R pathway deficiencies is very small and has not been established with precision. If the actual number of patients with any of these conditions is smaller than we had estimated, our revenue and ability to achieve profitability will be materially adversely affected. Moreover, our ability to recruit patients to our trials may be materially adversely affected. Patient enrollment may also be adversely affected by competition and other factors.</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commencement or completion of our planned clinical trials of setmelanotide could result in increased costs to us and could delay, prevent or limit our ability to generate revenue and continue our business.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in the United States or abroad, or unanticipated events during our clinical trials of setmelanotide may occur, which may result in changes to clinical trial protocols or additional clinical trial requirements, which could result in increased costs to us and could delay our development timeline. Additionally, it may be necessary to validate different or additional instruments for measuring subjective symptoms, and to show that setmelanotide has a clinically meaningful impact on specified endpoints in order to obtain regulatory approval.</w:t>
      </w:r>
    </w:p>
    <w:p>
      <w:pPr>
        <w:spacing w:after="0" w:line="18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the regulatory and marketing approval process is expensive, time consuming and uncertain and may prevent us from obtaining additional approvals for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8" w:lineRule="auto"/>
        <w:rPr>
          <w:sz w:val="20"/>
          <w:szCs w:val="20"/>
          <w:color w:val="auto"/>
        </w:rPr>
      </w:pPr>
      <w:r>
        <w:rPr>
          <w:rFonts w:ascii="Times New Roman" w:cs="Times New Roman" w:eastAsia="Times New Roman" w:hAnsi="Times New Roman"/>
          <w:sz w:val="18"/>
          <w:szCs w:val="18"/>
          <w:color w:val="auto"/>
        </w:rPr>
        <w:t>commercialization of setmelanotide. We depend entirely on the success of setmelanotide, and we cannot be certain that we will be able to obtain additional regulatory approvals for, or successfully commercialize, setmelanotide. If we are not able to obtain, or if there are delays in obtaining, required additional regulatory approvals, we will not be able to commercialize setmelanotide in additional indications in the United States or in foreign jurisdictions, and our ability to generate revenue will be materially impaired.</w:t>
      </w:r>
    </w:p>
    <w:p>
      <w:pPr>
        <w:spacing w:after="0" w:line="183" w:lineRule="exact"/>
        <w:rPr>
          <w:sz w:val="20"/>
          <w:szCs w:val="20"/>
          <w:color w:val="auto"/>
        </w:rPr>
      </w:pPr>
    </w:p>
    <w:p>
      <w:pPr>
        <w:jc w:val="both"/>
        <w:ind w:left="1040" w:right="79" w:hanging="315"/>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 marking of an in vitro companion diagnostic device to ensure appropriate selection of patients as a condition of approving setmelanotide in additional indications. The requirement that we obtain clearance, approval or CE marking of an in vitro companion diagnostic device would require substantial financial resources, and could delay or prevent the receipt of additional regulatory approvals for setmelanotide, or adversely affect those we have already obtained.</w:t>
      </w:r>
    </w:p>
    <w:p>
      <w:pPr>
        <w:spacing w:after="0" w:line="19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that could delay or prevent their regulatory approval, limit the commercial profile of an approved labeling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 program remains in the discovery stage and although we intend to identify an investigational candidate in 2025, we cannot be assured that we will ever successfully develop and commercialize a CHI product candidate.</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we rely on, and will continue to rely on, do not successfully carry out their contractual obligations or meet expected timelines, we may not be able to obtain additional regulatory approvals for or continue to commercialize setmelanotide and our business could be materially adversely affected.</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intensely competitive. If we are not able to compete effectively against current and future competitors, we may not be able to generate sufficient revenue from the sale of IMCIVREE, our business will not grow and our financial condition and operations will suffer.</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maintain issued patents that are sufficient to protect setmelanotide or our other product candidates, others could compete against us more directly, which would have a material adverse impact on our business, results of operations, financial condition and prospects.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such as pandemics, economic, political and regulatory changes and uncertainties, have and may continue to adversely impact our business, including our preclinical studies, clinical trials and other commercialization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43"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dedicated to transforming the lives of patients living with rare neuroendocrine diseases. We are focused on advancing our melanocortin-4 receptor (MC4R)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(setmelanotide), as precision medicines designed to treat hyperphagia and severe obesity caused by rare MC4R pathway diseases. While obesity affects hundreds of millions of people worldwide, we are developing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that is marketed in the United States, European Union (EU), United Kingdom, Canada and several other countries and regions for certain rare MC4R pathway diseases, including BBS.</w:t>
      </w:r>
    </w:p>
    <w:p>
      <w:pPr>
        <w:spacing w:after="0" w:line="20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late-stage clinical development program in acquired hypothalamic obesity presents a meaningful expansion opportunity for setmelanotide. Acquired hypothalamic obesity is a rapid-onset, severe obesity caused by injury to the hypothalamus, which may impair MC4R pathway signaling. We believe there are between 5,000 and 10,000 patients in United States living with acquired hypothalamic obesity with an annual incidence of 500 new cases, with similar prevalence and incidence in Europe, as well as between 5,000 and 8,000 patients in Japan. We believe this represents a significant global unmet need as there are no therapies specifically approved for hypothalamic obesity. With setmelanotide, we observed positive efficacy results in our Phase 2 trial, with a clinically meaningful BMI reduction of 25.5% in 11 patients who reached 12 months or more on therapy through the extension phase of the trial. In addition, similar positive data suggesting potential efficacy have been reported from a pre-approval, early-access program in France. We have completed enrollment in our Phase 3 trial in patients with acquired hypothalamic obesity and we are on track to disclose topline data in the second quarter of 2025. During the first quarter of 2025, we completed enrollment in a supplemental, 12-patient Japanese cohort of the global Phase 3 trial in acquired hypothalamic obesity designed to enable potential registration of setmelanotide in Japan for this rare disease. In addition, we added an independent substudy to our ongoing global trial, in order to evaluate setmelanotide in patients with congenital hypothalamic obesity, a rare disease caused by certain brain abnormalities that may impair the function of the MC4R pathway, with enrollment of the first patients in this substudy expected in the first quarter of 2025. Our preliminary estimate of the prevalence of congenital hypothalamic obesity is in excess of 1,000 patients in the United States with a similar prevalence in Europe, and this is in addition to the prevalence for acquired hypothalamic obesity above.</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8"/>
          <w:szCs w:val="18"/>
          <w:color w:val="auto"/>
        </w:rPr>
        <w:t xml:space="preserve">For IMCIVREE, which was first approved in the United States in 2020, we have demonstrated success in achieving regulatory approvals and securing market access in approved indications in more than 15 countries in addition to the United States, and we continue to seek access in additional markets. IMCIVREE is approved by the U.S. Food and Drug Administration (FDA) to reduce excess body weight and maintain weight reduction long term in adult and pediatric patients aged 2 years and older with syndromic or monogenic obesity due to BBS or pro-opiomelanocortin (POMC), proprotein convertase subtilisin/kexin type 1 (PCSK1), or leptin receptor (LEPR) deficiency as determined by an FDA-approved test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With our efforts in hypothalamic obesity and other potential indications, we are advancing what we believe is the most comprehensive clinical research and development program ever initiated in MC4R pathway diseases, with multiple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ongoing and planned clinical trials. Our MC4R pathway program is designed to expand the total number of patients who we believe could benefit from setmelanotide therapy or from one of our new drug candidates. Our Phase 3 EMANATE trial, comprised of four independent substudies evaluating setmelanotide in genetically caused MC4R pathway diseases, is ongoing. Following the completion of our Phase 2 DAYBREAK trial, we identified six genetically-defined cohorts that we believe merit further investigation for potential setmelanotide efficacy. We also are evaluating setmelanotide for the treatment of Prader-Willi syndrome (PWS) in a 26-week, open-label Phase 2 trial which was initiated at a single site in the United States during the first quarter of 2025.</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setmelanotide, we have two earlier-stage investigational MC4R agonists in clinical development, RM-718, designed for weekly administration, and bivamelagon (formerly LB54640), an oral small molecule, which are each advancing in Phase 1 and 2 clinical trials, respectively. These investigational assets are designed to be highly selective for the MC4R and MC1R sparing and thereby not cause hyperpigmentation. We completed enrollment in our Phase 2 trial evaluating bivamelagon, in acquired hypothalamic obesity in the first quarter of 2025. With RM-718, we anticipate initiating Part C of our Phase 1 trial to evaluate this weekly MC4R agonist in patients with acquired hypothalamic obesity in the first quarter of 2025.</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leveraging what we believe is the largest known DNA database focused on obesity - with approximately 100,000 sequencing samples as of December 31, 2024 - to improve the understanding, diagnosis and care of people living 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BBS and biallelic POMC, PCSK1 or LEPR deficiencies. Our epidemiology estimates for the two more prevalent indications being studied in our Phase 3 EMANATE trial (SH2B1 and POMC/PCSK1) suggest that approximately 29,000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All these patients face similar challenges as other patients with rare diseases, namely lack of awareness, resources, tests, tools and especially therapeutic options.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working to expand access to IMCIVREE globally. Our disease awareness and patient finding efforts are aligned with a singular focus on building a community of caregivers and healthcare providers focused on transforming the treatment of these diseases. We have multiple field teams in the United States and Europe engaging with physicians who treat patients with severe obesity, and we plan to build out our own team in Japan in preparation for potential registration of setmelanotide for acquired hypothalamic obesity. We continue to bring together health care providers, patients and families with educational and awareness events. Our genetic testing programs fuel MC4R pathway research, disease education and awareness and patient finding.</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With 283 employees, including 76 employees in 11 countries outside of North America, as of February 1, 2025, an ever-expanding network of key opinion leaders, and an increasing number of identified, diagnosed and treated patients, we are focused on changing the paradigm for the treatment of rare MC4R pathway diseases. Our focused disease awareness and patient finding efforts fuel the key elements of our strategy, including:</w:t>
      </w:r>
    </w:p>
    <w:p>
      <w:pPr>
        <w:spacing w:after="0" w:line="176" w:lineRule="exact"/>
        <w:rPr>
          <w:sz w:val="20"/>
          <w:szCs w:val="20"/>
          <w:color w:val="auto"/>
        </w:rPr>
      </w:pPr>
    </w:p>
    <w:p>
      <w:pPr>
        <w:jc w:val="both"/>
        <w:ind w:left="720" w:right="79" w:hanging="319"/>
        <w:spacing w:after="0" w:line="26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Prepare for potential global launch of IMCIVREE in hypothalamic obesity</w:t>
      </w:r>
      <w:r>
        <w:rPr>
          <w:rFonts w:ascii="Times New Roman" w:cs="Times New Roman" w:eastAsia="Times New Roman" w:hAnsi="Times New Roman"/>
          <w:sz w:val="18"/>
          <w:szCs w:val="18"/>
          <w:color w:val="auto"/>
        </w:rPr>
        <w:t>: With topline data in our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pivotal trial on track to be disclosed in the second quarter of 2025, we are focused on efficiently analyzing that data, and submitting regulatory filings in the United States, the EU and the United Kingdom – to be followed by a regulatory submission in Japan - and preparing for global commercialization, if approved.</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increase global access to IMCIVREE</w:t>
      </w:r>
      <w:r>
        <w:rPr>
          <w:rFonts w:ascii="Times New Roman" w:cs="Times New Roman" w:eastAsia="Times New Roman" w:hAnsi="Times New Roman"/>
          <w:sz w:val="18"/>
          <w:szCs w:val="18"/>
          <w:color w:val="auto"/>
        </w:rPr>
        <w:t>: With access for IMCIVREE achieved in more than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in addition to the United States for BBS and/or POMC and LEPR deficiencies, we remain focused on community building programs, disease awareness and education efforts, patient finding and securing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reimbursement. We continue to seek market access for IMCIVREE on a country-by-country basis in Europe and additional international markets.</w:t>
      </w:r>
    </w:p>
    <w:p>
      <w:pPr>
        <w:spacing w:after="0" w:line="158" w:lineRule="exact"/>
        <w:rPr>
          <w:sz w:val="20"/>
          <w:szCs w:val="20"/>
          <w:color w:val="auto"/>
        </w:rPr>
      </w:pPr>
    </w:p>
    <w:p>
      <w:pPr>
        <w:jc w:val="both"/>
        <w:ind w:left="720" w:right="79" w:hanging="319"/>
        <w:spacing w:after="0" w:line="253"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MC4R-focused pipeline</w:t>
      </w:r>
      <w:r>
        <w:rPr>
          <w:rFonts w:ascii="Times New Roman" w:cs="Times New Roman" w:eastAsia="Times New Roman" w:hAnsi="Times New Roman"/>
          <w:sz w:val="18"/>
          <w:szCs w:val="18"/>
          <w:color w:val="auto"/>
        </w:rPr>
        <w:t>: Our clinical development programs are designed to expand the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population that we believe may benefit from MC4R agonism, both in additional disease states and next generation assets. Life-cycle management is a key driver for advancing our pipeline. Bivamelagon and RM-718, which are being evaluated in the clinic for hypothalamic obesity, have composition of matter patent protection in the United States out to 2040 (with the possibility of patent term extension out to 2045) and 2036 (with the possibility of patent term extension out to 2041), respectively, provided, however, that in each case the maximum patent term extension is 14 years following initial FDA approval, so the ultimate patent term extension date could be earlier, depending on the first approval date for each product candidate. In addition to our pivotal trial evaluating setmelanotide in hypothalamic obesity, our Phase 3 EMANATE trial and our Phase 2 PWS trial with setmelanotide are ongoing, and therefore may add significant opportunity to the total addressable market for our first-generation MC4R agonist. In addition, we are advancing new product candidates for congenital hyperinsulinism (CHI), a rare genetic disease.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Severe Obesity, Hyperphagia, and the MC4R Pathway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Rare MC4R pathway diseases are distinct from general obesity. The hallmark characteristics of rare MC4R pathway diseases are severe obesity and hyperphagia, a pathological and insatiable hunger that drives a severe preoccupation with food and extreme food-seeking behaviors. Lifestyle interventions are not therapeutic in patients with these diseases because they fail to address the underlying genetic or acquired impairment of central energy regulation and satiety.</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Accordingly, the discovery that the MC4R pathway regulates both energy intake (hunger) and energy expenditure has made it an important target for therapeutics. Studies have shown that injuries to the hypothalamus region of the brain in patients with certain tumors impair MC4R signaling, leading to increased hunger, reduced energy expenditure and rapid onset of severe obesity. In addition to obesity due to BBS and POMC, PCSK1 or LEPR deficiencies, recent advances in genetic studies have identified several diseases characterized at least in part with hyperphagia and early-onset, severe obesity that appear to be the result of genetic variants affecting the MC4R pathway, including certain variants of the </w:t>
      </w:r>
      <w:r>
        <w:rPr>
          <w:rFonts w:ascii="Times New Roman" w:cs="Times New Roman" w:eastAsia="Times New Roman" w:hAnsi="Times New Roman"/>
          <w:sz w:val="18"/>
          <w:szCs w:val="18"/>
          <w:i w:val="1"/>
          <w:iCs w:val="1"/>
          <w:color w:val="auto"/>
        </w:rPr>
        <w:t xml:space="preserve">POMC, PCSK1, LEPR, SRC1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SH2B1 </w:t>
      </w:r>
      <w:r>
        <w:rPr>
          <w:rFonts w:ascii="Times New Roman" w:cs="Times New Roman" w:eastAsia="Times New Roman" w:hAnsi="Times New Roman"/>
          <w:sz w:val="18"/>
          <w:szCs w:val="18"/>
          <w:color w:val="auto"/>
        </w:rPr>
        <w:t>genes, as well as MC4R deficiency obesity and deficiencies in many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genes with strong or very strong relevance to the MC4R pathway. With a deeper understanding of this critical signaling pathway, we are taking a different approach to drug development by focusing on specific genetic variants and acquired injury affecting the MC4R pathway. We believe that this approach has the potential to provide clinically meaningful improvements in the treatment of rare obesity and hyperphagia by addressing lost function in the MC4R pathway.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Rare MC4R Pathway Diseases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MC4R pathway has been the focus of extensive scientific investigation for many years. This neuro-endocrine pathway in the hypothalamus is a key signaling pathway responsible for regulating hunger, caloric intake, and energy expenditure, which consequently affects body weight. It is known to be a critical component in the regulation of energy balance. The critical role of the MC4R pathway in weight regulation is supported by the observation that single gene variants at various points in this pathway may result in early-onset, severe obesity.</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MC4R pathway is illustrated in the figure below. Under normal conditions, POMC neurons are activated by adiposity and satiety signals, including the hormone leptin acting through the LEPR. POMC neurons produce a protein, which is processed by the PCSK1 enzyme, into melanocyte stimulating hormone, or MSH, the natural agonist, or activator of the MC4R. When upstream genetic variants, traumatic injuries or lesions disrupt this pathway, it can lead to insufficient MC4R activation and downstream signaling, the result of which can be hyperphagia, reduced energy expenditure and severe obesity.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figure below also illustrates some of the genes that are upstream of the MC4R and the potential effect variants in those genes can have on the activation of the MC4R, which regulates food intake and energy expenditure.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MC4R Agonism Development Targets: Upstream Deficiencies Affecting the MC4R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156845</wp:posOffset>
            </wp:positionV>
            <wp:extent cx="4989195" cy="2477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right="379"/>
        <w:spacing w:after="0" w:line="243" w:lineRule="auto"/>
        <w:rPr>
          <w:sz w:val="20"/>
          <w:szCs w:val="20"/>
          <w:color w:val="auto"/>
        </w:rPr>
      </w:pPr>
      <w:r>
        <w:rPr>
          <w:rFonts w:ascii="Times New Roman" w:cs="Times New Roman" w:eastAsia="Times New Roman" w:hAnsi="Times New Roman"/>
          <w:sz w:val="14"/>
          <w:szCs w:val="14"/>
          <w:i w:val="1"/>
          <w:iCs w:val="1"/>
          <w:color w:val="auto"/>
        </w:rPr>
        <w:t>AgRP, agouti-related protein; LEPR, leptin receptor; MC4R, melanocortin-4 receptor; MSH, melanocyte-stimulating hormone; ACTH, adrenocorticotropic hormone; PCSK1, proprotein convertase subtilisin/kexin-type 1; POMC, proopiomelanocortin. Reference: Yazdi FT et al. PeerJ. 2015;3:e856.</w:t>
      </w:r>
    </w:p>
    <w:p>
      <w:pPr>
        <w:spacing w:after="0" w:line="17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focused on developing our MC4R agonists, including our lead asset setmelanotide, as a precision treatment for certain rare MC4R pathway diseases. In addition to acquired hypothalamic obesity, congenital hypothalamic obesity and PWS, we are evaluating setmelanotide for the treatment of obesity due to variants in one of a number of genes associated with the MC4R pathway. Setmelanotide has the potential to restore lost function in this pathway by activating the intact MC4R-expressing neuron downstream of the genetic impairment. In this way, we believe setmelanotide may act as restorative therapy, to restore lost signaling of the MC4R pathway.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Epidemiology Estimates of Rare MC4R Pathway Diseases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While obesity is a global epidemic, we are focused on rare MC4R pathway diseases. Impairment of the MC4R pathway is characterized by hyperphagia and rapid-onset obesity or the presence of early-onset, severe obesity. Of the tens of millions of individuals with obesity in the United States, the U.S. Center for Disease Control (CDC) estimates that there are approximately 5 million individuals whose severe obesity had onset between the ages of 2 and 5 years old. The tables below summarizes the estimated prevalence for indications currently approved or under pivotal clinical investigation. These calculations rely on internal and proprietary sequencing data and current estimated responder rates to setmelanotide therapy, and they assume a U.S. population of 327 million, of which 1.7% have early-onset, severe obesity (Hales et al in JAMA – April 2018: </w:t>
      </w:r>
      <w:r>
        <w:rPr>
          <w:rFonts w:ascii="Times New Roman" w:cs="Times New Roman" w:eastAsia="Times New Roman" w:hAnsi="Times New Roman"/>
          <w:sz w:val="18"/>
          <w:szCs w:val="18"/>
          <w:i w:val="1"/>
          <w:iCs w:val="1"/>
          <w:color w:val="auto"/>
        </w:rPr>
        <w:t>Trends in Obesity and Severe Obesity Prevalence in US Youth and Adults by Sex and Age</w:t>
      </w:r>
      <w:r>
        <w:rPr>
          <w:rFonts w:ascii="Times New Roman" w:cs="Times New Roman" w:eastAsia="Times New Roman" w:hAnsi="Times New Roman"/>
          <w:sz w:val="18"/>
          <w:szCs w:val="18"/>
          <w:color w:val="auto"/>
        </w:rPr>
        <w:t>, 2007-2008 to 2015-2016).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Approved by the U.S. FDA and authorized by the EC and United Kingdom’s MHRA</w:t>
      </w:r>
      <w:r>
        <w:rPr>
          <w:rFonts w:ascii="Times New Roman" w:cs="Times New Roman" w:eastAsia="Times New Roman" w:hAnsi="Times New Roman"/>
          <w:sz w:val="26"/>
          <w:szCs w:val="26"/>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-178435</wp:posOffset>
            </wp:positionV>
            <wp:extent cx="5452110" cy="1551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1551305"/>
                    </a:xfrm>
                    <a:prstGeom prst="rect">
                      <a:avLst/>
                    </a:prstGeom>
                    <a:noFill/>
                  </pic:spPr>
                </pic:pic>
              </a:graphicData>
            </a:graphic>
          </wp:anchor>
        </w:drawing>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Estimated U.S. prevalence</w:t>
            </w:r>
          </w:p>
        </w:tc>
        <w:tc>
          <w:tcPr>
            <w:tcW w:w="2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Estimated European prevalence</w:t>
            </w:r>
          </w:p>
        </w:tc>
      </w:tr>
      <w:tr>
        <w:trPr>
          <w:trHeight w:val="198"/>
        </w:trPr>
        <w:tc>
          <w:tcPr>
            <w:tcW w:w="2040" w:type="dxa"/>
            <w:vAlign w:val="bottom"/>
            <w:tcBorders>
              <w:bottom w:val="single" w:sz="8" w:color="auto"/>
            </w:tcBorders>
            <w:gridSpan w:val="2"/>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860" w:type="dxa"/>
            <w:vAlign w:val="bottom"/>
            <w:tcBorders>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348"/>
        </w:trPr>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Bardet-Biedl syndrome</w:t>
            </w:r>
          </w:p>
        </w:tc>
        <w:tc>
          <w:tcPr>
            <w:tcW w:w="84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4,000 – 5,000</w:t>
            </w:r>
            <w:r>
              <w:rPr>
                <w:rFonts w:ascii="Times New Roman" w:cs="Times New Roman" w:eastAsia="Times New Roman" w:hAnsi="Times New Roman"/>
                <w:sz w:val="26"/>
                <w:szCs w:val="26"/>
                <w:color w:val="auto"/>
                <w:vertAlign w:val="superscript"/>
              </w:rPr>
              <w:t>b</w:t>
            </w: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4,000 – 5,000</w:t>
            </w:r>
            <w:r>
              <w:rPr>
                <w:rFonts w:ascii="Times New Roman" w:cs="Times New Roman" w:eastAsia="Times New Roman" w:hAnsi="Times New Roman"/>
                <w:sz w:val="26"/>
                <w:szCs w:val="26"/>
                <w:color w:val="auto"/>
                <w:vertAlign w:val="superscript"/>
              </w:rPr>
              <w:t>b</w:t>
            </w:r>
          </w:p>
        </w:tc>
      </w:tr>
      <w:tr>
        <w:trPr>
          <w:trHeight w:val="77"/>
        </w:trPr>
        <w:tc>
          <w:tcPr>
            <w:tcW w:w="1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r>
      <w:tr>
        <w:trPr>
          <w:trHeight w:val="191"/>
        </w:trPr>
        <w:tc>
          <w:tcPr>
            <w:tcW w:w="11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Obesity  due</w:t>
            </w:r>
          </w:p>
        </w:tc>
        <w:tc>
          <w:tcPr>
            <w:tcW w:w="9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  POMC</w:t>
            </w:r>
          </w:p>
        </w:tc>
        <w:tc>
          <w:tcPr>
            <w:tcW w:w="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or  LEPR</w:t>
            </w:r>
          </w:p>
        </w:tc>
        <w:tc>
          <w:tcPr>
            <w:tcW w:w="28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~600 – 2,500</w:t>
            </w:r>
          </w:p>
        </w:tc>
        <w:tc>
          <w:tcPr>
            <w:tcW w:w="2860" w:type="dxa"/>
            <w:vAlign w:val="bottom"/>
          </w:tcPr>
          <w:p>
            <w:pPr>
              <w:ind w:left="80"/>
              <w:spacing w:after="0" w:line="191" w:lineRule="exact"/>
              <w:rPr>
                <w:sz w:val="20"/>
                <w:szCs w:val="20"/>
                <w:color w:val="auto"/>
              </w:rPr>
            </w:pPr>
            <w:r>
              <w:rPr>
                <w:rFonts w:ascii="Times New Roman" w:cs="Times New Roman" w:eastAsia="Times New Roman" w:hAnsi="Times New Roman"/>
                <w:sz w:val="16"/>
                <w:szCs w:val="16"/>
                <w:color w:val="auto"/>
              </w:rPr>
              <w:t>Similar prevalence as U.S.</w:t>
            </w:r>
            <w:r>
              <w:rPr>
                <w:rFonts w:ascii="Times New Roman" w:cs="Times New Roman" w:eastAsia="Times New Roman" w:hAnsi="Times New Roman"/>
                <w:sz w:val="22"/>
                <w:szCs w:val="22"/>
                <w:color w:val="auto"/>
                <w:vertAlign w:val="superscript"/>
              </w:rPr>
              <w:t>c</w:t>
            </w:r>
          </w:p>
        </w:tc>
      </w:tr>
      <w:tr>
        <w:trPr>
          <w:trHeight w:val="214"/>
        </w:trPr>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deficiency</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caused  by</w:t>
            </w:r>
          </w:p>
        </w:tc>
        <w:tc>
          <w:tcPr>
            <w:tcW w:w="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biallelic</w:t>
            </w:r>
          </w:p>
        </w:tc>
        <w:tc>
          <w:tcPr>
            <w:tcW w:w="286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2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variants in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 or</w:t>
            </w:r>
          </w:p>
        </w:tc>
        <w:tc>
          <w:tcPr>
            <w:tcW w:w="286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36"/>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LEPR </w:t>
            </w:r>
            <w:r>
              <w:rPr>
                <w:rFonts w:ascii="Times New Roman" w:cs="Times New Roman" w:eastAsia="Times New Roman" w:hAnsi="Times New Roman"/>
                <w:sz w:val="18"/>
                <w:szCs w:val="18"/>
                <w:color w:val="auto"/>
              </w:rPr>
              <w:t>genes</w:t>
            </w:r>
          </w:p>
        </w:tc>
        <w:tc>
          <w:tcPr>
            <w:tcW w:w="9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EC and MHRA for use in patients 2 years of age and older. Approved by the FDA for use in patients 2 years of age and older with monogenic or syndromic obesity.</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BBS, prevalence estimates vary between populations, from 1 in 100,000 in northern European populations with higher prevalence rates in some additional regions throughout the world. We estimate the number of patients with BBS in the United States is between 4,000 and 5,000, with a similar number in continental Europe and the United Kingdom (UK). These estimates are based on our patient identification efforts in the United States and Europe and our proprietary genetic sequencing data, as well as our belief that BBS, like most rare diseases, is underdiagnosed. We believe the BBS health care provider network in EU member states and the UK is particularly well-established and more advanced than in the United States, and based on field work, we believe there are approximately 1,500 patients diagnosed and being cared for at academic centers in Europe. Applying these population-adjusted identified patient populations to the United States and other countries with comparable population genetics supports our epidemiology estimates.</w:t>
      </w:r>
    </w:p>
    <w:p>
      <w:pPr>
        <w:spacing w:after="0" w:line="194"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POMC or LEPR deficiencies, we estimate European prevalence is similar to the United States. While our sequencing data include patients from the United States and Europe, at the time, we did not have a comparable number of sequencing samples from European countries, and these estimates are therefore based on applying relative population percentages to the Rhythm-derived estimates described above.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Separately, in Canada, where IMCIVREE is approved for weight management in adult and pediatric patients 6 years of age and older with obesity due to BBS or biallelic POMC, PSCK1 or LEPR deficiency, we estimated at the time of our filing for approval with Health Canada that there are approximately 300 – 400 individuals with BBS. This was based on data on file, a range of prevalence estimates for BBS in Canada between 1 in 125,000 to 1 in 160,000, and a population in Canada of 38,929,902 as of July 1, 2022, according to StatsCan. Also, our prevalence estimate accounted for a reported founder effect in the province of Newfoundland, where estimated prevalence is approximately 1 in 17,500 (Forsythe E, Beales PL. Eur J Hum Genet. 2013;21(1):8-13). The prevalence of POMC, PCSK1, and LEPR deficiency obesity in Canada is not well characterized as very little data are available.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Setmelanotide currently being evaluated in Phase 3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452110" cy="3643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364363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48"/>
        </w:trPr>
        <w:tc>
          <w:tcPr>
            <w:tcW w:w="2880" w:type="dxa"/>
            <w:vAlign w:val="bottom"/>
            <w:tcBorders>
              <w:top w:val="single" w:sz="8" w:color="auto"/>
              <w:right w:val="single" w:sz="8" w:color="auto"/>
            </w:tcBorders>
          </w:tcPr>
          <w:p>
            <w:pPr>
              <w:spacing w:after="0"/>
              <w:rPr>
                <w:sz w:val="21"/>
                <w:szCs w:val="21"/>
                <w:color w:val="auto"/>
              </w:rPr>
            </w:pPr>
          </w:p>
        </w:tc>
        <w:tc>
          <w:tcPr>
            <w:tcW w:w="2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Estimated U.S. population</w:t>
            </w:r>
          </w:p>
        </w:tc>
        <w:tc>
          <w:tcPr>
            <w:tcW w:w="40" w:type="dxa"/>
            <w:vAlign w:val="bottom"/>
            <w:tcBorders>
              <w:top w:val="single" w:sz="8" w:color="auto"/>
              <w:right w:val="single" w:sz="8" w:color="auto"/>
            </w:tcBorders>
          </w:tcPr>
          <w:p>
            <w:pPr>
              <w:spacing w:after="0"/>
              <w:rPr>
                <w:sz w:val="21"/>
                <w:szCs w:val="21"/>
                <w:color w:val="auto"/>
              </w:rPr>
            </w:pPr>
          </w:p>
        </w:tc>
        <w:tc>
          <w:tcPr>
            <w:tcW w:w="2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Estimated European population</w:t>
            </w:r>
          </w:p>
        </w:tc>
      </w:tr>
      <w:tr>
        <w:trPr>
          <w:trHeight w:val="198"/>
        </w:trPr>
        <w:tc>
          <w:tcPr>
            <w:tcW w:w="288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348"/>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Acquired hypothalamic obesity</w:t>
            </w:r>
          </w:p>
        </w:tc>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5,000 – 10,000</w:t>
            </w:r>
            <w:r>
              <w:rPr>
                <w:rFonts w:ascii="Times New Roman" w:cs="Times New Roman" w:eastAsia="Times New Roman" w:hAnsi="Times New Roman"/>
                <w:sz w:val="26"/>
                <w:szCs w:val="26"/>
                <w:color w:val="auto"/>
                <w:vertAlign w:val="superscript"/>
              </w:rPr>
              <w:t>d</w:t>
            </w:r>
          </w:p>
        </w:tc>
        <w:tc>
          <w:tcPr>
            <w:tcW w:w="40" w:type="dxa"/>
            <w:vAlign w:val="bottom"/>
            <w:tcBorders>
              <w:right w:val="single" w:sz="8" w:color="auto"/>
            </w:tcBorders>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3,500 – 10,000</w:t>
            </w:r>
            <w:r>
              <w:rPr>
                <w:rFonts w:ascii="Times New Roman" w:cs="Times New Roman" w:eastAsia="Times New Roman" w:hAnsi="Times New Roman"/>
                <w:sz w:val="26"/>
                <w:szCs w:val="26"/>
                <w:color w:val="auto"/>
                <w:vertAlign w:val="superscript"/>
              </w:rPr>
              <w:t>e</w:t>
            </w:r>
          </w:p>
        </w:tc>
      </w:tr>
      <w:tr>
        <w:trPr>
          <w:trHeight w:val="77"/>
        </w:trPr>
        <w:tc>
          <w:tcPr>
            <w:tcW w:w="288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r>
      <w:tr>
        <w:trPr>
          <w:trHeight w:val="348"/>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Congenital hypothalamic obesity</w:t>
            </w:r>
          </w:p>
        </w:tc>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&gt;1,000</w:t>
            </w:r>
            <w:r>
              <w:rPr>
                <w:rFonts w:ascii="Times New Roman" w:cs="Times New Roman" w:eastAsia="Times New Roman" w:hAnsi="Times New Roman"/>
                <w:sz w:val="26"/>
                <w:szCs w:val="26"/>
                <w:color w:val="auto"/>
                <w:vertAlign w:val="superscript"/>
              </w:rPr>
              <w:t>f</w:t>
            </w:r>
          </w:p>
        </w:tc>
        <w:tc>
          <w:tcPr>
            <w:tcW w:w="40" w:type="dxa"/>
            <w:vAlign w:val="bottom"/>
            <w:tcBorders>
              <w:right w:val="single" w:sz="8" w:color="auto"/>
            </w:tcBorders>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&gt;1,000</w:t>
            </w:r>
            <w:r>
              <w:rPr>
                <w:rFonts w:ascii="Times New Roman" w:cs="Times New Roman" w:eastAsia="Times New Roman" w:hAnsi="Times New Roman"/>
                <w:sz w:val="26"/>
                <w:szCs w:val="26"/>
                <w:color w:val="auto"/>
                <w:vertAlign w:val="superscript"/>
              </w:rPr>
              <w:t>f</w:t>
            </w:r>
          </w:p>
        </w:tc>
      </w:tr>
      <w:tr>
        <w:trPr>
          <w:trHeight w:val="77"/>
        </w:trPr>
        <w:tc>
          <w:tcPr>
            <w:tcW w:w="288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r>
      <w:tr>
        <w:trPr>
          <w:trHeight w:val="191"/>
        </w:trPr>
        <w:tc>
          <w:tcPr>
            <w:tcW w:w="2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Obesity due to POMC insufficiency</w:t>
            </w:r>
          </w:p>
        </w:tc>
        <w:tc>
          <w:tcPr>
            <w:tcW w:w="2820" w:type="dxa"/>
            <w:vAlign w:val="bottom"/>
          </w:tcPr>
          <w:p>
            <w:pPr>
              <w:ind w:left="80"/>
              <w:spacing w:after="0" w:line="191" w:lineRule="exact"/>
              <w:rPr>
                <w:sz w:val="20"/>
                <w:szCs w:val="20"/>
                <w:color w:val="auto"/>
              </w:rPr>
            </w:pPr>
            <w:r>
              <w:rPr>
                <w:rFonts w:ascii="Times New Roman" w:cs="Times New Roman" w:eastAsia="Times New Roman" w:hAnsi="Times New Roman"/>
                <w:sz w:val="16"/>
                <w:szCs w:val="16"/>
                <w:color w:val="auto"/>
              </w:rPr>
              <w:t>6,000</w:t>
            </w:r>
            <w:r>
              <w:rPr>
                <w:rFonts w:ascii="Times New Roman" w:cs="Times New Roman" w:eastAsia="Times New Roman" w:hAnsi="Times New Roman"/>
                <w:sz w:val="22"/>
                <w:szCs w:val="22"/>
                <w:color w:val="auto"/>
                <w:vertAlign w:val="superscript"/>
              </w:rPr>
              <w:t>g</w:t>
            </w:r>
          </w:p>
        </w:tc>
        <w:tc>
          <w:tcPr>
            <w:tcW w:w="40" w:type="dxa"/>
            <w:vAlign w:val="bottom"/>
            <w:tcBorders>
              <w:right w:val="single" w:sz="8" w:color="auto"/>
            </w:tcBorders>
          </w:tcPr>
          <w:p>
            <w:pPr>
              <w:spacing w:after="0"/>
              <w:rPr>
                <w:sz w:val="16"/>
                <w:szCs w:val="16"/>
                <w:color w:val="auto"/>
              </w:rPr>
            </w:pPr>
          </w:p>
        </w:tc>
        <w:tc>
          <w:tcPr>
            <w:tcW w:w="2860" w:type="dxa"/>
            <w:vAlign w:val="bottom"/>
          </w:tcPr>
          <w:p>
            <w:pPr>
              <w:ind w:left="140"/>
              <w:spacing w:after="0" w:line="191" w:lineRule="exact"/>
              <w:rPr>
                <w:sz w:val="20"/>
                <w:szCs w:val="20"/>
                <w:color w:val="auto"/>
              </w:rPr>
            </w:pPr>
            <w:r>
              <w:rPr>
                <w:rFonts w:ascii="Times New Roman" w:cs="Times New Roman" w:eastAsia="Times New Roman" w:hAnsi="Times New Roman"/>
                <w:sz w:val="16"/>
                <w:szCs w:val="16"/>
                <w:color w:val="auto"/>
              </w:rPr>
              <w:t xml:space="preserve">Similar prevalence as U.S. </w:t>
            </w:r>
            <w:r>
              <w:rPr>
                <w:rFonts w:ascii="Times New Roman" w:cs="Times New Roman" w:eastAsia="Times New Roman" w:hAnsi="Times New Roman"/>
                <w:sz w:val="22"/>
                <w:szCs w:val="22"/>
                <w:color w:val="auto"/>
                <w:vertAlign w:val="superscript"/>
              </w:rPr>
              <w:t>g</w:t>
            </w:r>
          </w:p>
        </w:tc>
      </w:tr>
      <w:tr>
        <w:trPr>
          <w:trHeight w:val="214"/>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caused by heterozygous variants in</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3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genes</w:t>
            </w:r>
          </w:p>
        </w:tc>
        <w:tc>
          <w:tcPr>
            <w:tcW w:w="28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28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191"/>
        </w:trPr>
        <w:tc>
          <w:tcPr>
            <w:tcW w:w="2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Obesity due to LEPR insufficiency</w:t>
            </w:r>
          </w:p>
        </w:tc>
        <w:tc>
          <w:tcPr>
            <w:tcW w:w="2820" w:type="dxa"/>
            <w:vAlign w:val="bottom"/>
          </w:tcPr>
          <w:p>
            <w:pPr>
              <w:ind w:left="80"/>
              <w:spacing w:after="0" w:line="191" w:lineRule="exact"/>
              <w:rPr>
                <w:sz w:val="20"/>
                <w:szCs w:val="20"/>
                <w:color w:val="auto"/>
              </w:rPr>
            </w:pPr>
            <w:r>
              <w:rPr>
                <w:rFonts w:ascii="Times New Roman" w:cs="Times New Roman" w:eastAsia="Times New Roman" w:hAnsi="Times New Roman"/>
                <w:sz w:val="16"/>
                <w:szCs w:val="16"/>
                <w:color w:val="auto"/>
              </w:rPr>
              <w:t xml:space="preserve">4,000 </w:t>
            </w:r>
            <w:r>
              <w:rPr>
                <w:rFonts w:ascii="Times New Roman" w:cs="Times New Roman" w:eastAsia="Times New Roman" w:hAnsi="Times New Roman"/>
                <w:sz w:val="22"/>
                <w:szCs w:val="22"/>
                <w:color w:val="auto"/>
                <w:vertAlign w:val="superscript"/>
              </w:rPr>
              <w:t>g</w:t>
            </w:r>
          </w:p>
        </w:tc>
        <w:tc>
          <w:tcPr>
            <w:tcW w:w="40" w:type="dxa"/>
            <w:vAlign w:val="bottom"/>
            <w:tcBorders>
              <w:right w:val="single" w:sz="8" w:color="auto"/>
            </w:tcBorders>
          </w:tcPr>
          <w:p>
            <w:pPr>
              <w:spacing w:after="0"/>
              <w:rPr>
                <w:sz w:val="16"/>
                <w:szCs w:val="16"/>
                <w:color w:val="auto"/>
              </w:rPr>
            </w:pPr>
          </w:p>
        </w:tc>
        <w:tc>
          <w:tcPr>
            <w:tcW w:w="2860" w:type="dxa"/>
            <w:vAlign w:val="bottom"/>
          </w:tcPr>
          <w:p>
            <w:pPr>
              <w:ind w:left="140"/>
              <w:spacing w:after="0" w:line="191" w:lineRule="exact"/>
              <w:rPr>
                <w:sz w:val="20"/>
                <w:szCs w:val="20"/>
                <w:color w:val="auto"/>
              </w:rPr>
            </w:pPr>
            <w:r>
              <w:rPr>
                <w:rFonts w:ascii="Times New Roman" w:cs="Times New Roman" w:eastAsia="Times New Roman" w:hAnsi="Times New Roman"/>
                <w:sz w:val="16"/>
                <w:szCs w:val="16"/>
                <w:color w:val="auto"/>
              </w:rPr>
              <w:t xml:space="preserve">Similar prevalence as U.S. </w:t>
            </w:r>
            <w:r>
              <w:rPr>
                <w:rFonts w:ascii="Times New Roman" w:cs="Times New Roman" w:eastAsia="Times New Roman" w:hAnsi="Times New Roman"/>
                <w:sz w:val="22"/>
                <w:szCs w:val="22"/>
                <w:color w:val="auto"/>
                <w:vertAlign w:val="superscript"/>
              </w:rPr>
              <w:t>g</w:t>
            </w:r>
          </w:p>
        </w:tc>
      </w:tr>
      <w:tr>
        <w:trPr>
          <w:trHeight w:val="214"/>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caused by heterozygous variants in</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3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w:t>
            </w:r>
          </w:p>
        </w:tc>
        <w:tc>
          <w:tcPr>
            <w:tcW w:w="28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28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191"/>
        </w:trPr>
        <w:tc>
          <w:tcPr>
            <w:tcW w:w="2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Obesity due to SRC1 deficiency</w:t>
            </w:r>
          </w:p>
        </w:tc>
        <w:tc>
          <w:tcPr>
            <w:tcW w:w="2820" w:type="dxa"/>
            <w:vAlign w:val="bottom"/>
          </w:tcPr>
          <w:p>
            <w:pPr>
              <w:ind w:left="80"/>
              <w:spacing w:after="0" w:line="191" w:lineRule="exact"/>
              <w:rPr>
                <w:sz w:val="20"/>
                <w:szCs w:val="20"/>
                <w:color w:val="auto"/>
              </w:rPr>
            </w:pPr>
            <w:r>
              <w:rPr>
                <w:rFonts w:ascii="Times New Roman" w:cs="Times New Roman" w:eastAsia="Times New Roman" w:hAnsi="Times New Roman"/>
                <w:sz w:val="16"/>
                <w:szCs w:val="16"/>
                <w:color w:val="auto"/>
              </w:rPr>
              <w:t xml:space="preserve">~20,000 </w:t>
            </w:r>
            <w:r>
              <w:rPr>
                <w:rFonts w:ascii="Times New Roman" w:cs="Times New Roman" w:eastAsia="Times New Roman" w:hAnsi="Times New Roman"/>
                <w:sz w:val="22"/>
                <w:szCs w:val="22"/>
                <w:color w:val="auto"/>
                <w:vertAlign w:val="superscript"/>
              </w:rPr>
              <w:t>g</w:t>
            </w:r>
          </w:p>
        </w:tc>
        <w:tc>
          <w:tcPr>
            <w:tcW w:w="40" w:type="dxa"/>
            <w:vAlign w:val="bottom"/>
            <w:tcBorders>
              <w:right w:val="single" w:sz="8" w:color="auto"/>
            </w:tcBorders>
          </w:tcPr>
          <w:p>
            <w:pPr>
              <w:spacing w:after="0"/>
              <w:rPr>
                <w:sz w:val="16"/>
                <w:szCs w:val="16"/>
                <w:color w:val="auto"/>
              </w:rPr>
            </w:pPr>
          </w:p>
        </w:tc>
        <w:tc>
          <w:tcPr>
            <w:tcW w:w="2860" w:type="dxa"/>
            <w:vAlign w:val="bottom"/>
          </w:tcPr>
          <w:p>
            <w:pPr>
              <w:ind w:left="140"/>
              <w:spacing w:after="0" w:line="191" w:lineRule="exact"/>
              <w:rPr>
                <w:sz w:val="20"/>
                <w:szCs w:val="20"/>
                <w:color w:val="auto"/>
              </w:rPr>
            </w:pPr>
            <w:r>
              <w:rPr>
                <w:rFonts w:ascii="Times New Roman" w:cs="Times New Roman" w:eastAsia="Times New Roman" w:hAnsi="Times New Roman"/>
                <w:sz w:val="16"/>
                <w:szCs w:val="16"/>
                <w:color w:val="auto"/>
              </w:rPr>
              <w:t xml:space="preserve">Similar prevalence as U.S. </w:t>
            </w:r>
            <w:r>
              <w:rPr>
                <w:rFonts w:ascii="Times New Roman" w:cs="Times New Roman" w:eastAsia="Times New Roman" w:hAnsi="Times New Roman"/>
                <w:sz w:val="22"/>
                <w:szCs w:val="22"/>
                <w:color w:val="auto"/>
                <w:vertAlign w:val="superscript"/>
              </w:rPr>
              <w:t>g</w:t>
            </w:r>
          </w:p>
        </w:tc>
      </w:tr>
      <w:tr>
        <w:trPr>
          <w:trHeight w:val="21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caused by a variant in the NCOA1</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34"/>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 (SRC1 deficiency obesity)</w:t>
            </w:r>
          </w:p>
        </w:tc>
        <w:tc>
          <w:tcPr>
            <w:tcW w:w="28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28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191"/>
        </w:trPr>
        <w:tc>
          <w:tcPr>
            <w:tcW w:w="2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Obesity due to SH2B1 deficiency</w:t>
            </w:r>
          </w:p>
        </w:tc>
        <w:tc>
          <w:tcPr>
            <w:tcW w:w="2820" w:type="dxa"/>
            <w:vAlign w:val="bottom"/>
          </w:tcPr>
          <w:p>
            <w:pPr>
              <w:ind w:left="80"/>
              <w:spacing w:after="0" w:line="191" w:lineRule="exact"/>
              <w:rPr>
                <w:sz w:val="20"/>
                <w:szCs w:val="20"/>
                <w:color w:val="auto"/>
              </w:rPr>
            </w:pPr>
            <w:r>
              <w:rPr>
                <w:rFonts w:ascii="Times New Roman" w:cs="Times New Roman" w:eastAsia="Times New Roman" w:hAnsi="Times New Roman"/>
                <w:sz w:val="16"/>
                <w:szCs w:val="16"/>
                <w:color w:val="auto"/>
              </w:rPr>
              <w:t xml:space="preserve">~23,000 </w:t>
            </w:r>
            <w:r>
              <w:rPr>
                <w:rFonts w:ascii="Times New Roman" w:cs="Times New Roman" w:eastAsia="Times New Roman" w:hAnsi="Times New Roman"/>
                <w:sz w:val="22"/>
                <w:szCs w:val="22"/>
                <w:color w:val="auto"/>
                <w:vertAlign w:val="superscript"/>
              </w:rPr>
              <w:t>g</w:t>
            </w:r>
          </w:p>
        </w:tc>
        <w:tc>
          <w:tcPr>
            <w:tcW w:w="40" w:type="dxa"/>
            <w:vAlign w:val="bottom"/>
            <w:tcBorders>
              <w:right w:val="single" w:sz="8" w:color="auto"/>
            </w:tcBorders>
          </w:tcPr>
          <w:p>
            <w:pPr>
              <w:spacing w:after="0"/>
              <w:rPr>
                <w:sz w:val="16"/>
                <w:szCs w:val="16"/>
                <w:color w:val="auto"/>
              </w:rPr>
            </w:pPr>
          </w:p>
        </w:tc>
        <w:tc>
          <w:tcPr>
            <w:tcW w:w="2860" w:type="dxa"/>
            <w:vAlign w:val="bottom"/>
          </w:tcPr>
          <w:p>
            <w:pPr>
              <w:ind w:left="140"/>
              <w:spacing w:after="0" w:line="191" w:lineRule="exact"/>
              <w:rPr>
                <w:sz w:val="20"/>
                <w:szCs w:val="20"/>
                <w:color w:val="auto"/>
              </w:rPr>
            </w:pPr>
            <w:r>
              <w:rPr>
                <w:rFonts w:ascii="Times New Roman" w:cs="Times New Roman" w:eastAsia="Times New Roman" w:hAnsi="Times New Roman"/>
                <w:sz w:val="16"/>
                <w:szCs w:val="16"/>
                <w:color w:val="auto"/>
              </w:rPr>
              <w:t xml:space="preserve">Similar prevalence as U.S. </w:t>
            </w:r>
            <w:r>
              <w:rPr>
                <w:rFonts w:ascii="Times New Roman" w:cs="Times New Roman" w:eastAsia="Times New Roman" w:hAnsi="Times New Roman"/>
                <w:sz w:val="22"/>
                <w:szCs w:val="22"/>
                <w:color w:val="auto"/>
                <w:vertAlign w:val="superscript"/>
              </w:rPr>
              <w:t>g</w:t>
            </w:r>
          </w:p>
        </w:tc>
      </w:tr>
      <w:tr>
        <w:trPr>
          <w:trHeight w:val="21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caused by a variant in the SH2B1</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 or 16p11.2 deletion</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encompassing the SH2B1 gene</w:t>
            </w:r>
          </w:p>
        </w:tc>
        <w:tc>
          <w:tcPr>
            <w:tcW w:w="28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234"/>
        </w:trPr>
        <w:tc>
          <w:tcPr>
            <w:tcW w:w="2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(SH2B1 deficiency obesity)</w:t>
            </w:r>
          </w:p>
        </w:tc>
        <w:tc>
          <w:tcPr>
            <w:tcW w:w="28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28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20"/>
        </w:trPr>
        <w:tc>
          <w:tcPr>
            <w:tcW w:w="8600" w:type="dxa"/>
            <w:vAlign w:val="bottom"/>
            <w:tcBorders>
              <w:bottom w:val="single" w:sz="8" w:color="auto"/>
            </w:tcBorders>
            <w:gridSpan w:val="4"/>
          </w:tcPr>
          <w:p>
            <w:pPr>
              <w:spacing w:after="0" w:line="20" w:lineRule="exact"/>
              <w:rPr>
                <w:sz w:val="1"/>
                <w:szCs w:val="1"/>
                <w:color w:val="auto"/>
              </w:rPr>
            </w:pPr>
          </w:p>
        </w:tc>
      </w:tr>
      <w:tr>
        <w:trPr>
          <w:trHeight w:val="195"/>
        </w:trPr>
        <w:tc>
          <w:tcPr>
            <w:tcW w:w="8600" w:type="dxa"/>
            <w:vAlign w:val="bottom"/>
            <w:tcBorders>
              <w:left w:val="single" w:sz="8" w:color="auto"/>
              <w:right w:val="single" w:sz="8" w:color="auto"/>
            </w:tcBorders>
            <w:gridSpan w:val="4"/>
          </w:tcPr>
          <w:p>
            <w:pPr>
              <w:ind w:left="1840"/>
              <w:spacing w:after="0" w:line="196" w:lineRule="exact"/>
              <w:rPr>
                <w:sz w:val="20"/>
                <w:szCs w:val="20"/>
                <w:color w:val="auto"/>
              </w:rPr>
            </w:pPr>
            <w:r>
              <w:rPr>
                <w:rFonts w:ascii="Calibri" w:cs="Calibri" w:eastAsia="Calibri" w:hAnsi="Calibri"/>
                <w:sz w:val="18"/>
                <w:szCs w:val="18"/>
                <w:b w:val="1"/>
                <w:bCs w:val="1"/>
                <w:color w:val="auto"/>
              </w:rPr>
              <w:t>Setmelanotde currently being evaluated in Phase 2 DAYBREAK trial</w:t>
            </w:r>
          </w:p>
        </w:tc>
      </w:tr>
      <w:tr>
        <w:trPr>
          <w:trHeight w:val="42"/>
        </w:trPr>
        <w:tc>
          <w:tcPr>
            <w:tcW w:w="288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900" w:type="dxa"/>
            <w:vAlign w:val="bottom"/>
            <w:tcBorders>
              <w:bottom w:val="single" w:sz="8" w:color="auto"/>
              <w:right w:val="single" w:sz="8" w:color="auto"/>
            </w:tcBorders>
            <w:gridSpan w:val="2"/>
          </w:tcPr>
          <w:p>
            <w:pPr>
              <w:spacing w:after="0"/>
              <w:rPr>
                <w:sz w:val="3"/>
                <w:szCs w:val="3"/>
                <w:color w:val="auto"/>
              </w:rPr>
            </w:pPr>
          </w:p>
        </w:tc>
      </w:tr>
      <w:tr>
        <w:trPr>
          <w:trHeight w:val="191"/>
        </w:trPr>
        <w:tc>
          <w:tcPr>
            <w:tcW w:w="2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Obesity due a deficiency in the MC4R</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6"/>
                <w:szCs w:val="16"/>
                <w:color w:val="auto"/>
              </w:rPr>
              <w:t>~65,300</w:t>
            </w:r>
            <w:r>
              <w:rPr>
                <w:rFonts w:ascii="Times New Roman" w:cs="Times New Roman" w:eastAsia="Times New Roman" w:hAnsi="Times New Roman"/>
                <w:sz w:val="22"/>
                <w:szCs w:val="22"/>
                <w:color w:val="auto"/>
                <w:vertAlign w:val="superscript"/>
              </w:rPr>
              <w:t>g,h</w:t>
            </w:r>
          </w:p>
        </w:tc>
        <w:tc>
          <w:tcPr>
            <w:tcW w:w="29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6"/>
                <w:szCs w:val="16"/>
                <w:color w:val="auto"/>
              </w:rPr>
              <w:t>Similar prevalence as U.S.</w:t>
            </w:r>
            <w:r>
              <w:rPr>
                <w:rFonts w:ascii="Times New Roman" w:cs="Times New Roman" w:eastAsia="Times New Roman" w:hAnsi="Times New Roman"/>
                <w:sz w:val="22"/>
                <w:szCs w:val="22"/>
                <w:color w:val="auto"/>
                <w:vertAlign w:val="superscript"/>
              </w:rPr>
              <w:t>f</w:t>
            </w:r>
          </w:p>
        </w:tc>
      </w:tr>
      <w:tr>
        <w:trPr>
          <w:trHeight w:val="216"/>
        </w:trPr>
        <w:tc>
          <w:tcPr>
            <w:tcW w:w="2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pathway caused by variants in the</w:t>
            </w:r>
          </w:p>
        </w:tc>
        <w:tc>
          <w:tcPr>
            <w:tcW w:w="28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SEMA3 family, PHIP, TBX3 or</w:t>
            </w:r>
          </w:p>
        </w:tc>
        <w:tc>
          <w:tcPr>
            <w:tcW w:w="28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PLXNA family</w:t>
            </w:r>
          </w:p>
        </w:tc>
        <w:tc>
          <w:tcPr>
            <w:tcW w:w="28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r>
      <w:tr>
        <w:trPr>
          <w:trHeight w:val="216"/>
        </w:trPr>
        <w:tc>
          <w:tcPr>
            <w:tcW w:w="288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ind w:left="60" w:right="59" w:firstLine="638"/>
        <w:spacing w:after="0" w:line="261" w:lineRule="auto"/>
        <w:tabs>
          <w:tab w:leader="none" w:pos="9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acquired hypothalamic obesity in the United States, our internal Company estimates are based on reported incidence of hypothalamic obesity following craniopharyngioma and long-term survival rates, (Zacharia, et al</w:t>
      </w:r>
      <w:r>
        <w:rPr>
          <w:rFonts w:ascii="Times New Roman" w:cs="Times New Roman" w:eastAsia="Times New Roman" w:hAnsi="Times New Roman"/>
          <w:sz w:val="18"/>
          <w:szCs w:val="18"/>
          <w:i w:val="1"/>
          <w:iCs w:val="1"/>
          <w:color w:val="auto"/>
        </w:rPr>
        <w:t xml:space="preserve">., Neuro-Oncology </w:t>
      </w:r>
      <w:r>
        <w:rPr>
          <w:rFonts w:ascii="Times New Roman" w:cs="Times New Roman" w:eastAsia="Times New Roman" w:hAnsi="Times New Roman"/>
          <w:sz w:val="18"/>
          <w:szCs w:val="18"/>
          <w:color w:val="auto"/>
        </w:rPr>
        <w:t>14(8):1070–1078, 2012. doi:10.1093/neuonc/nos142; and Muller, et al.,</w:t>
      </w:r>
      <w:r>
        <w:rPr>
          <w:rFonts w:ascii="Times New Roman" w:cs="Times New Roman" w:eastAsia="Times New Roman" w:hAnsi="Times New Roman"/>
          <w:sz w:val="18"/>
          <w:szCs w:val="18"/>
          <w:i w:val="1"/>
          <w:iCs w:val="1"/>
          <w:color w:val="auto"/>
        </w:rPr>
        <w:t xml:space="preserve"> Neuro-Oncology </w:t>
      </w:r>
      <w:r>
        <w:rPr>
          <w:rFonts w:ascii="Times New Roman" w:cs="Times New Roman" w:eastAsia="Times New Roman" w:hAnsi="Times New Roman"/>
          <w:sz w:val="18"/>
          <w:szCs w:val="18"/>
          <w:color w:val="auto"/>
        </w:rPr>
        <w:t>17(7), 1029–1038,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doi:10.1093/neuonc/nov044.)</w:t>
      </w:r>
    </w:p>
    <w:p>
      <w:pPr>
        <w:spacing w:after="0" w:line="179"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European prevalence estimate for acquired hypothalamic obesity is limited to the EU4 (Germany, France, Spain, Italy), UK and the Netherlands. The total 2020 population estimates for the six key countries (EU4, the Netherlands, and UK) of 339,295,304 was used to reach a final prevalence of 0.1-0.3 in 10,000 patients. In addition, we estimate the prevalence of acquired hypothalamic obesity in Japan to be approximately 5,000 to 8,000 based on our review of tumor registries and claims data.</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58" w:lineRule="auto"/>
        <w:tabs>
          <w:tab w:leader="none" w:pos="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Epidemiology of congenital hypothalamic obesity is expected to be comparable between the United States and EU4 (Germany, France, Spain, Italy), United Kingdom and the Netherlands combined in the absence of specific regional data. Our internal Company estimate is driven mainly by septo-optic dysplasia (Garne, et al., European Journal of Medical Genetics 61(9):483–488, 2018. doi: 10.1016/j.ejmg.2018.05.010; and Cerbone, et al., EClinicalMedicine 19, 2020. doi: 10.1016/j.eclinm.2019.11.017.).</w:t>
      </w:r>
    </w:p>
    <w:p>
      <w:pPr>
        <w:spacing w:after="0" w:line="183"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11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genetic variants of the MC4R pathway, the rarity and the genetic pathophysiology of our target indications means that there is no comprehensive patient registry or other method of establishing with precision the actual number of patients. As a result, we have had to rely on other available sources to derive clinical prevalence estimates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these monogenic indications. For the four rare MC4R pathway diseases we are studying on the Phase 3 EMANATE trial (POMC insufficiency, LEPR insufficiency, SRC1 deficiency and SH2B1 deficiency), we believe that the patient populations in continental Europe and UK are at least as large as those in the United States. While our sequencing data include patients from the United States and Europe, we do not have comparable sequencing data from European countries and these estimates are therefore based on applying relative population percentages to the Rhythm-derived estimates described above. Because the published epidemiology studies for these genetic deficiencies are based on relatively small population samples, and are not amenable to robust statistical analyses, it is possible that these projections may significantly under- or overestimate the addressable population. While our projected estimates of the aggregate total addressable population continue to expand with the addition of new genes, the addressable population faces the challenges of a rare disease population.</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 As announced on December 6, 2023, during our ‘Update on MC4R Pathway Programs’ event for investors and analysts. U.S. prevalence estimates based on results from our URO genetic testing program with samples from more than 36,000 participants, classification of variants for pathogenic, likely pathogenic and 20% of VUS and applied to established estimate of approximately 5 million people in the United States with early-onset obesity; 1. van der Klaauw et al. Cell. 2019;176:729-742.e18. 2. Marenne et al. Cell Metab. 2020;31:1107-1119.e12. 3. Bamshad et al. Am J Hum Genet.1999;64:1550-1562. 4. Ackinci et al. J Clin Res Pediatr Endocrinol. 2019;11:341-349.</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Therapies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drugs approved for general obesity potentially can be used in patients with obesity and rare MC4R pathway diseases, other than IMCIVREE, all currently available products have limited efficacy and treat symptoms without addressing the underlying biology of MC4R impairment. For example, drugs which delay gastric emptying may cause a patient to feel full and eat less, but are also often associated with nausea and vomiting as a consequence of the delayed emptying. In the case of individuals with rare MC4R pathway diseases, these therapies also do not specifically address the impaired signaling in this central energy regulating pathway. Similarly, metabolic and bariatric surgery which has been shown to be quite effective in the general population with obesity, may be unsuccessful in patients with rare MC4R pathway diseases for the same reason.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MC4R Pathway Program</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IMCIVREE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(setmelanotide)</w:t>
      </w:r>
    </w:p>
    <w:p>
      <w:pPr>
        <w:spacing w:after="0" w:line="14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IMCIVREE is approved by the FDA to reduce excess body weight and maintain weight reduction long term in adult and pediatric patients aged 2 years and older with syndromic or monogenic obesity due to BBS, or POMC, PCSK1, or LEPR deficiency as determined by an FDA-approved test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VUS. The EC and United Kingdom’s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IMCIVREE also was approved by Health Canada, where it is indicated in adults and pediatric patients 6 years of age and older with impairments in the MC4R pathway due to genetic diseases, for the treatment of obesity and control of hunger in BBS or biallelic POMC, PCSK1, or LEPR deficiency.</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IMCIVREE is the only therapeutic specifically approved for patients with these diseases. As an MC4R agonist, IMCIVREE is designed to address impaired MC4R pathway activity arising due to genetic impairments upstream of the MC4R. IMCIVREE contains setmelanotide acetate, an MC4R agonist. Setmelanotide is an 8 amino acid cyclic peptide analog of endogenous melanocortin peptide α-MSH. The chemical name for setmelanotide acetate is acetyl-L-arginyl-L-cysteinyl-D-alanyl-L-histidinyl-D-phenylalanyl-L-arginyl-L-tryptophanyl-L-cysteinamide cyclic (2→8)-disulfide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acetate. Its molecular formula is C49H68N18O9S2 (anhydrous, free-base), and molecular mass is 1117.3 Daltons (anhydrous, free-base).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chemical structure of setmelanotide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154305</wp:posOffset>
            </wp:positionV>
            <wp:extent cx="3943350" cy="154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IMCIVREE injection is a sterile, clear to slightly opalescent, colorless to slightly yellow solution. Each 1 mL of IMCIVREE contains 10 mg of setmelanotide provided as setmelanotide acetate, which is a salt with 2 to 4 molar equivalents of acetate, and the following inactive ingredients: 100 mg N-(carbonyl-methoxypolyethylene glycol 2000)-1,2-distearoyl- glycero-3- phosphoethanolamine sodium salt, 8 mg carboxymethylcellulose sodium (average MWt 90,500), 11 mg mannitol, 5 mg phenol, 10 mg benzyl alcohol, 1 mg edetate disodium dihydrate, and Water for Injection. The pH of IMCIVREE is 5 to 6.</w:t>
      </w:r>
    </w:p>
    <w:p>
      <w:pPr>
        <w:spacing w:after="0" w:line="185" w:lineRule="exact"/>
        <w:rPr>
          <w:sz w:val="20"/>
          <w:szCs w:val="20"/>
          <w:color w:val="auto"/>
        </w:rPr>
      </w:pPr>
    </w:p>
    <w:p>
      <w:pPr>
        <w:jc w:val="both"/>
        <w:ind w:left="60" w:right="59" w:firstLine="648"/>
        <w:spacing w:after="0" w:line="290" w:lineRule="auto"/>
        <w:rPr>
          <w:sz w:val="20"/>
          <w:szCs w:val="20"/>
          <w:color w:val="auto"/>
        </w:rPr>
      </w:pPr>
      <w:r>
        <w:rPr>
          <w:rFonts w:ascii="Times New Roman" w:cs="Times New Roman" w:eastAsia="Times New Roman" w:hAnsi="Times New Roman"/>
          <w:sz w:val="17"/>
          <w:szCs w:val="17"/>
          <w:color w:val="auto"/>
        </w:rPr>
        <w:t xml:space="preserve">Obesity due to POMC, PCSK1 or LEPR deficiency are ultra-rare diseases caused by variants in </w:t>
      </w:r>
      <w:r>
        <w:rPr>
          <w:rFonts w:ascii="Times New Roman" w:cs="Times New Roman" w:eastAsia="Times New Roman" w:hAnsi="Times New Roman"/>
          <w:sz w:val="17"/>
          <w:szCs w:val="17"/>
          <w:i w:val="1"/>
          <w:iCs w:val="1"/>
          <w:color w:val="auto"/>
        </w:rPr>
        <w:t>POMC, PCSK1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 xml:space="preserve">LEPR </w:t>
      </w:r>
      <w:r>
        <w:rPr>
          <w:rFonts w:ascii="Times New Roman" w:cs="Times New Roman" w:eastAsia="Times New Roman" w:hAnsi="Times New Roman"/>
          <w:sz w:val="17"/>
          <w:szCs w:val="17"/>
          <w:color w:val="auto"/>
        </w:rPr>
        <w:t>genes that impair the MC4R pathway. People living with obesity due to POMC, PCSK1 or LEPR deficiency struggle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hyperphagia, an extreme, insatiable hunger, beginning at a young age and resulting in early-onset, severe obesity.</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Bardet-Biedl syndrome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Bardet-Biedl syndrome (BBS) is a life-threatening, ultra-rare orphan disease. BBS is a disease that causes hyperphagia and severe obesity beginning in early childhood, as well as vision loss, polydactyly, kidney abnormalities, and other signs and symptoms. For patients with BBS, hyperphagia and obesity can have significant health consequences. BBS is part of a class of disorders called ciliopathies, or disorders associated with the impairment of cilia function in cells. Cilia are hair-like cellular projections that play a fundamental role in the regulation of several biological processes, including satiety signaling. Cilia dysfunction in the hypothalamus, including in the MC4R pathway, is thought to contribute to hyperphagia and obesity in BBS. BBS is a genetically heterogeneous disease that has been associated with mutations in 29 genes, to date. All result in a similar syndrome of clinical manifestations. Recent scientific studies identify deficiencies affecting the MC4R pathway as a potential cause of the hyperphagia and obesity associated with BBS, and demonstrate that an MC4R agonist can directly impact these symptoms.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Pivotal Phase 3 Clinical Trial Evaluating Setmelanotide in BBS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Approvals and marketing authorizations for BBS in the United States, the EU, the United Kingdom, and Canada were based on data from our pivotal Phase 3 clinical trial of setmelanotide in patients with BBS. As we first reported in December 2020, the trial met its primary endpoint and all key secondary endpoints, with statistically significant and clinically meaningful reductions in weight and hunger at 52 weeks on therapy.</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pivotal data that formed the basis for IMCIVREE’s approvals in BBS were published in the peer-reviewed journal </w:t>
      </w:r>
      <w:r>
        <w:rPr>
          <w:rFonts w:ascii="Times New Roman" w:cs="Times New Roman" w:eastAsia="Times New Roman" w:hAnsi="Times New Roman"/>
          <w:sz w:val="18"/>
          <w:szCs w:val="18"/>
          <w:i w:val="1"/>
          <w:iCs w:val="1"/>
          <w:color w:val="auto"/>
        </w:rPr>
        <w:t>The Lancet Diabetes and Endocrinology</w:t>
      </w:r>
      <w:r>
        <w:rPr>
          <w:rFonts w:ascii="Times New Roman" w:cs="Times New Roman" w:eastAsia="Times New Roman" w:hAnsi="Times New Roman"/>
          <w:sz w:val="18"/>
          <w:szCs w:val="18"/>
          <w:color w:val="auto"/>
        </w:rPr>
        <w:t xml:space="preserve"> in November 2022. As previously disclosed, treatment with setmelanotide resulted in significant weight and hunger reductions after one year of treatment among patients with BBS. The primary endpoint was achieved by 32.3% (95% confidence interval (CI), 16.7%, 51.4%; p=0.0006) of patients ≥12 years old, all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of whom were patients with BBS. Data highlights among patients with BBS (n=32) after 52 weeks of setmelanotide include:</w:t>
      </w:r>
    </w:p>
    <w:p>
      <w:pPr>
        <w:spacing w:after="0" w:line="162" w:lineRule="exact"/>
        <w:rPr>
          <w:sz w:val="20"/>
          <w:szCs w:val="20"/>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(15) patients ≥18 years achieved a mean (SD) percent reduction in BMI of -9.1% (6.8%; 95% CI, −13.4%, −4.8%);</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(14) patients &lt;18 years achieved a mean (SD) change in BMI Z score of −0.8 (0.5; 95% CI, −1.0, −0.5), and 12 patients (85.7%) achieved ≥0.2-point reduction in BMI Z;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(14) patients ≥12 years who reported hunger scores achieved reduction of -30.5% in maximal hunger score.</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safety results observed in this study were consistent with that observed with setmelanotide in previous clinical trials in patients with other rare MC4R pathway diseases. Skin hyperpigmentation (n=23; 60.5%) was the most common adverse event (AE). Two patients experienced serious AEs, neither of which was considered related to setmelanotide treatment.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Pivotal Phase 3 Clinical Trials Evaluating Setmelanotide in Biallelic POMC and LEPR Deficiency Obesities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assessed the safety and efficacy of IMCIVREE in two pivotal trials that were identically designed: one-year, open-label studies, each with an eight-week, double-blind withdrawal period. The studies enrolled patients with homozygous or presumed compound heterozygous pathogenic, likely pathogenic variants, or VUS, for either the POMC, PCSK1 or LEPR gene. In both studies, adult patients had a body mass index (BMI) of ≥30 kg/m2. Weight in pediatric patients was ≥95th percentile using growth chart assessments.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Efficacy analyses were conducted in 21 patients who had completed at least one year of treatment at the time of a pre-specified data cutoff. Of the 21 patients included in the efficacy analysis in both pivotal studies, 62% were adults and 38% were aged 16 years or younger. In Study 1, 50% of patients were female, 70% were White, and the median baseline BMI was 40.0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(range: 26.6-53.3). In Study 2, 73% of patients were female, 91% were White, and the median baseline BMI was 46.6 kg/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(range: 35.8-64.6).</w:t>
      </w:r>
    </w:p>
    <w:p>
      <w:pPr>
        <w:spacing w:after="0" w:line="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POMC/PCSK1 study, 80% of patients with obesity due to POMC or PCSK1 deficiency met the primary endpoint, achieving a ≥10% weight loss after one year of treatment with IMCIVREE. In the LEPR study, 46% of patients with obesity due to LEPR deficiency met the primary endpoint by achieving a ≥10% weight loss after 1 year of treatment with IMCIVREE.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3 Trial Results in Patients Between 2 Years Old and Younger than 6</w:t>
      </w:r>
    </w:p>
    <w:p>
      <w:pPr>
        <w:spacing w:after="0" w:line="227" w:lineRule="exact"/>
        <w:rPr>
          <w:sz w:val="20"/>
          <w:szCs w:val="20"/>
          <w:color w:val="auto"/>
        </w:rPr>
      </w:pPr>
    </w:p>
    <w:p>
      <w:pPr>
        <w:jc w:val="both"/>
        <w:ind w:left="60" w:right="59" w:firstLine="389"/>
        <w:spacing w:after="0" w:line="255" w:lineRule="auto"/>
        <w:rPr>
          <w:sz w:val="20"/>
          <w:szCs w:val="20"/>
          <w:color w:val="auto"/>
        </w:rPr>
      </w:pPr>
      <w:r>
        <w:rPr>
          <w:rFonts w:ascii="Times New Roman" w:cs="Times New Roman" w:eastAsia="Times New Roman" w:hAnsi="Times New Roman"/>
          <w:sz w:val="18"/>
          <w:szCs w:val="18"/>
          <w:color w:val="auto"/>
        </w:rPr>
        <w:t>The hyperphagia and severe obesity of rare, genetically-caused MC4R pathway diseases can present early in life. Therefore, we believe access to treatment earlier in life will lead to better outcomes for children. In 2023, we completed our 52-week, Phase 3 pediatrics trial and demonstrated that setmelanotide met the primary endpoint and achieved clinically meaningful weight reduction in patients within this age range. This trial was a multi-center, one-year, open-label trial in pediatric patients with obesity due to biallelic POMC, PCSK1 or LEPR deficiency or a clinical diagnosis of BBS with genetic confirmation. The primary efficacy endpoint was a responder analysis, based on the proportion of patients who experience a decrease from baseline in BMI-Z score of ≥0.2.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These data were published in the peer-reviewed journal </w:t>
      </w:r>
      <w:r>
        <w:rPr>
          <w:rFonts w:ascii="Times New Roman" w:cs="Times New Roman" w:eastAsia="Times New Roman" w:hAnsi="Times New Roman"/>
          <w:sz w:val="18"/>
          <w:szCs w:val="18"/>
          <w:i w:val="1"/>
          <w:iCs w:val="1"/>
          <w:color w:val="auto"/>
        </w:rPr>
        <w:t>The Lancet Diabetes &amp; Endocrinology</w:t>
      </w:r>
      <w:r>
        <w:rPr>
          <w:rFonts w:ascii="Times New Roman" w:cs="Times New Roman" w:eastAsia="Times New Roman" w:hAnsi="Times New Roman"/>
          <w:sz w:val="18"/>
          <w:szCs w:val="18"/>
          <w:color w:val="auto"/>
        </w:rPr>
        <w:t xml:space="preserve"> in November 2024:</w:t>
      </w:r>
    </w:p>
    <w:p>
      <w:pPr>
        <w:spacing w:after="0" w:line="227"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percent of all patients (10 of 12) achieved ≥ 0.2 reduction in BMI-Z score from baseline to week 52;</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percent mean reduction from baseline in BMI at week 52 (N=12);</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mean reduction from baseline in BMI-Z score at week 52 (N=12);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was consistent with past trials evaluating setmelanotide.</w:t>
      </w:r>
    </w:p>
    <w:p>
      <w:pPr>
        <w:spacing w:after="0" w:line="225"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Based on these data, IMCIVREE received authorization as the first-ever precision medicine in the EU for control of hunger and treatment of obesity in adults and children as young as 2 years old, living with BBS or POMC, PCSK1, or LEPR deficiency on July 31, 2024. The UK’s MHRA also expanded marketing authorization for IMCIVREE to include patients as young as 2 years with BBS or POMC, PCSK1 or LEPR deficiency on December 3, 2024. In addition, on December 20, 2024, the FDA also approved an expanded indication for IMCIVREE to include children as young as 2 years old.</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Setmelanotide for Additional Indications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Acquired Hypothalamic Obesity</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on track and plan to read out topline data from our ongoing Phase 3 clinical trial evaluating setmelanotide as a treatment for acquired hypothalamic obesity in the second quarter of 2025. Acquired hypothalamic obesity is characterized by rapid-onset, severe obesity caused by injury to the hypothalamic region which may impair MC4R pathway signaling leading to hyperphagia, decreased energy expenditure, and severe obesity. It occurs most frequently after hypothalamic damage resulting from craniopharyngioma or other intracranial tumor, traumatic brain injury, stroke, or surgical resection or radiation of brain tumors. There are no known approved therapies for this disease.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2022, setmelanotide demonstrated potential to transform the care of individuals living with the rapid onset of extreme weight gain of hypothalamic obesity with clinical data that suggested setmelanotide treatment resulted in significant, durable weight loss. On the basis of these results, we requested, and setmelanotide received, Breakthrough Therapy Designation from the FDA for the treatment of acquired hypothalamic obesity in 2022.</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Lesions of the hypothalamus can derive from various types of tumors (e.g., craniopharyngiomas, gliomas, pituitary adenomas, hamartomas) or may be caused by surgeries and/or radiotherapies for the treatment of these same tumor types. These hypothalamic lesions, whether caused by the tumor itself and/or the treatment of the tumor, can disrupt the MC4R pathway. Moreover, patients with acquired hypothalamic obesity display a high degree of hyperleptinemia and hyperinsulinemia. Alpha-melanocortin stimulating hormone (MSH) can be detectable in blood, and its levels can change depending on different energy states; however, in patients with craniopharyngioma or post-surgical treatment for it, α-MSH levels are significantly reduced. Reduced serum α-MSH levels may suggest melanocortin pathway deficiency, which might explain obesity in these patients.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completed enrollment in our global Phase 3, 120-patient trial of setmelanotide in acquired hypothalamic obesity with patients aged 4 years or older with hypothalamic obesity randomized 2:1 to setmelanotide therapy or placebo for a total of 60 weeks, including up to eight weeks for dose titration. We enrolled a total of 131 patients in this trial; however, as discussed with both the FDA and the EMA, we expect our planned regulatory submissions will be based on data from the pivotal, 120-patient cohort. The primary endpoint is the percent change in BMI after 52 weeks on a therapeutic regimen of setmelanotide versus placebo. We are on track to report top-line study results in the second quarter of 2025.</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January 10, 2025, we announced that we completed enrollment in a supplemental cohort of 12 Japanese patients, which we added to our global Phase 3 trial in acquired hypothalamic obesity. Based on discussions with Japan’s Pharmaceuticals and Medical Devices Agency (PMDA), we plan to use data from this cohort as part of our planned registration package seeking approval from Japan’s Ministry of Health, Labor and Welfare. In addition to efficacy data, we will plan to collect and submit pharmacokinetic (PK) data from Japanese patients in an effort to expedite the typical pathway of collecting such data in an earlier-stage trial in Japanese subjects. Our review of certain tumor registries and claims data in Japan point to a higher per-capita prevalence and incidence rate of this disease than in Europe and the United States. We estimate there are approximately 5,000 to 8,000 patients in Japan with hypothalamic obesity.</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pivotal Phase 3 trial follows positive efficacy results from our 16-week Phase 2 trial, as well as data demonstrating durable and deepening weight loss in patients who transitioned from the Phase 2 trial to our open-label, long-term extension trial. We enrolled 18 patients in its open-label, 16-week Phase 2 trial designed to evaluate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setmelanotide in acquired hypothalamic obesity in patients with a body mass index (BMI) ≥95th percentile (children 6 to &lt;18 years) or ≥35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(adults ≥18 years). The primary endpoint was the proportion of patients who achieved a 5% or greater reduction in BMI after 16 weeks of treatment. Hunger was also assessed daily, as self-reported by individual patients. These data were published in the peer-reviewed journal </w:t>
      </w:r>
      <w:r>
        <w:rPr>
          <w:rFonts w:ascii="Times New Roman" w:cs="Times New Roman" w:eastAsia="Times New Roman" w:hAnsi="Times New Roman"/>
          <w:sz w:val="18"/>
          <w:szCs w:val="18"/>
          <w:i w:val="1"/>
          <w:iCs w:val="1"/>
          <w:color w:val="auto"/>
        </w:rPr>
        <w:t>The Lancet Diabetes &amp; Endocrinology</w:t>
      </w:r>
      <w:r>
        <w:rPr>
          <w:rFonts w:ascii="Times New Roman" w:cs="Times New Roman" w:eastAsia="Times New Roman" w:hAnsi="Times New Roman"/>
          <w:sz w:val="18"/>
          <w:szCs w:val="18"/>
          <w:color w:val="auto"/>
        </w:rPr>
        <w:t xml:space="preserve"> in April 2024. In this trial, we observed a consistent reduction in body weight and hunger in all adherent patients. Results demonstrated:</w:t>
      </w:r>
    </w:p>
    <w:p>
      <w:pPr>
        <w:spacing w:after="0" w:line="202"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(16 of 18) of patients achieved the primary endpoint;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(14 of 18) of patients achieved a 10% or greater reduction in BMI at 16 weeks;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percent reduction in BMI was 15% from baseline;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pediatric patients (n=13), the mean (standard deviation [SD]) BMI Z score at Week 16 was 2.7 (1.3), a reduction of 1.3 (1.0) points from baseline;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(SD) most hunger score at baseline was 6.6 (1.6), compared with 3.7 (2.5) at Week 16, for a reduction of –2.9 (2.3) points or 45% for patients ≥12 years of age (n=11).</w:t>
      </w:r>
    </w:p>
    <w:p>
      <w:pPr>
        <w:spacing w:after="0" w:line="162"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The publication also included preliminary data from our long-term extension of the Phase 2 study that were disclosed at ObesityWeek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2023. These data show patients with hypothalamic obesity (n=12) achieved mean BMI reduction of approximately 26% at one year on setmelanotide treatment. Consistent with prior experience, setmelanotide was generally well tolerated. The most common adverse events (AEs) in the primary trial included nausea (61.1%), vomiting (33.3%), skin hyperpigmentation (33.3%), diarrhea (22.2%), and COVID-19 (22.2%). Two patients discontinued due to AEs and a third patient was non-compliant. No new safety concerns were observed during the long-term extension trial.</w:t>
      </w:r>
    </w:p>
    <w:p>
      <w:pPr>
        <w:spacing w:after="0" w:line="20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a poster presentation was delivered at ObesityWeek® in San Antonio, TX, in November 2024, with new, real-world data showing improvements in hunger scores and BMI reductions in adult patients in France with acquired hypothalamic obesity who were treated with setmelanotide. These data were generated from eight patients with acquired hypothalamic obesity age 18 years or older with a previous resection of a tumor in the hypothalamus who were being treated with setmelanotide for three months or longer in five different hospitals in France under pre-marketing early access authorization. We believe these data were particularly encouraging because they suggest that setmelanotide has the potential to improve clinical outcomes in adults with acquired hypothalamic obesity. Mean duration between the time the patients had their tumor resected and setmelanotide treatment began was 12.1 years. Results from the analysis included:</w:t>
      </w:r>
    </w:p>
    <w:p>
      <w:pPr>
        <w:spacing w:after="0" w:line="192"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BMI reduction from baseline:</w:t>
      </w:r>
    </w:p>
    <w:p>
      <w:pPr>
        <w:spacing w:after="0" w:line="20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5.6% (-2.3 kg/m2) after one month of treatment (N=8);</w:t>
      </w:r>
    </w:p>
    <w:p>
      <w:pPr>
        <w:spacing w:after="0" w:line="209" w:lineRule="exact"/>
        <w:rPr>
          <w:rFonts w:ascii="Times New Roman" w:cs="Times New Roman" w:eastAsia="Times New Roman" w:hAnsi="Times New Roman"/>
          <w:sz w:val="18"/>
          <w:szCs w:val="18"/>
          <w:color w:val="auto"/>
        </w:rPr>
      </w:pPr>
    </w:p>
    <w:p>
      <w:pPr>
        <w:ind w:left="1040" w:right="3119"/>
        <w:spacing w:after="0" w:line="47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12.8% (-5.7 kg/m2) after three months of treatment (N=8); and</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21.3% (-7.6 kg/m2) after six months of treatment (n=5);</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three months of treatment, all patients had achieved a reduction in weight of 5% or more;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eight patients showed a reduction in three or more categories of hunger score (daily average hunger, daily most hunger, daily least hunger, daily morning hunger) from baseline as assessed by questionnaires; and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Congenital hypothalamic obesity</w:t>
      </w:r>
    </w:p>
    <w:p>
      <w:pPr>
        <w:spacing w:after="0" w:line="227"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Congenital hypothalamic obesity is a rare disease caused by certain brain abnormalities that may impair the function of the MC4R pathway, which regulates satiety or food intake and energy expenditure. It is a severe, refractory obesity that is underdiagnosed and not widely understood with high unmet need as there are no approved treatment options.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It is it is often associated with pituitary and hypothalamic dysfunction. Unlike acquired hypothalamic obesity – which is known to be caused by certain brain tumors and their treatment – there is little recognition and or understanding of congenital hypothalamic obesity and its different causes, as the connection between the severe obesity and MC4R pathway in the hypothalamus may not be evident.</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 impairment in the MC4R pathway can lead to reduced energy expenditure and hyperphagia and, consequently, severe obesity. Rare diseases that may cause congenital hypothalamic obesity include septo-optic dysplasia (or de Morsier syndrome), optic nerve hypoplasia, multiple pituitary hormone deficiency (also known as combined pituitary hormone deficiency) and pituitary stalk interruption syndrome. Each of these diseases is considered rare and between 12% and 40% of patients with these diseases may have congenital hypothalamic obesity. We estimate the prevalence of congenital hypothalamic obesity to be in excess of 1,000 patients in the United States and in excess of 1,000 patients in Europe.</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U.S. and European experts have highlighted an urgent, unmet medical need for therapeutic options for patients with congenital hypothalamic obesity, as none are approved for this heterogenous patient population.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November 19, 2024, we announced a poster presentation delivered during the 62nd annual meeting of the European Society for Paediatric Endocrinology (EPSE) in Liverpool, England, which detailed two case reports from patients with congenital hypothalamic obesity treated with setmelanotide through our pre-approval, early-access program for setmelanotide in France. The poster details included:</w:t>
      </w:r>
    </w:p>
    <w:p>
      <w:pPr>
        <w:spacing w:after="0" w:line="180" w:lineRule="exact"/>
        <w:rPr>
          <w:sz w:val="20"/>
          <w:szCs w:val="20"/>
          <w:color w:val="auto"/>
        </w:rPr>
      </w:pPr>
    </w:p>
    <w:p>
      <w:pPr>
        <w:jc w:val="both"/>
        <w:ind w:left="1380" w:right="79" w:hanging="331"/>
        <w:spacing w:after="0" w:line="266"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Female, age 15, with septo-optic dysplasia as cause of hypothalamic obesity, achieved a body weight decrease of 9.6% from baseline (94 kg) at month 3 and BMI-Z score change from 3.1 at baseline to 2.8; and</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Male, age 9, with pituitary stalk interruption syndrome (PSIS) as cause of hypothalamic obesity, achieved a body weight decrease of 5.2% from baseline (64 kg) at month 3 and BMI-Z score change from 3.7 at baseline to 3.5.</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Based on these case reports, in the first quarter of 2025 we added a 34-week substudy, which is designed to evaluate setmelanotide in 39 patients with congenital hypothalamic obesity aged 4 years and older as a protocol amendment to our ongoing Phase 3 trial evaluating setmelanotide in patients with acquired hypothalamic obesity. The substudy in congenital hypothalamic obesity is independent from the pivotal Phase 3 trial cohort in acquired hypothalamic obesity.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Development to Address Additional MC4R Pathway Diseases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also are advancing a broad clinical development program evaluating setmelanotide, and we are leveraging the largest known DNA database focused on obesity - with approximately 100,000 sequencing samples as of December 2024 - to improve the understanding, diagnosis and care of people living with hyperphagia and severe obesity due to certain variants in genes associated with the MC4R pathway. There remains a significant unmet need with no effective therapeutic options for patients with these rare MC4R pathway diseases, and we believe setmelanotide has the potential to address the hyperphagia and severe obesity associated with these rare genetic diseases.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3 EMANATE Trial</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ongoing pivotal Phase 3 EMANATE clinical trial is a randomized, double-blind, placebo-controlled trial, designed to evaluate setmelanotide therapy over a 52-week period in four independent substudies in patients with obesity due to: a heterozygous variant of the </w:t>
      </w:r>
      <w:r>
        <w:rPr>
          <w:rFonts w:ascii="Times New Roman" w:cs="Times New Roman" w:eastAsia="Times New Roman" w:hAnsi="Times New Roman"/>
          <w:sz w:val="18"/>
          <w:szCs w:val="18"/>
          <w:i w:val="1"/>
          <w:iCs w:val="1"/>
          <w:color w:val="auto"/>
        </w:rPr>
        <w:t>POMC/PCSK1</w:t>
      </w:r>
      <w:r>
        <w:rPr>
          <w:rFonts w:ascii="Times New Roman" w:cs="Times New Roman" w:eastAsia="Times New Roman" w:hAnsi="Times New Roman"/>
          <w:sz w:val="18"/>
          <w:szCs w:val="18"/>
          <w:color w:val="auto"/>
        </w:rPr>
        <w:t xml:space="preserve"> genes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and certain variants of the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gene or the </w:t>
      </w:r>
      <w:r>
        <w:rPr>
          <w:rFonts w:ascii="Times New Roman" w:cs="Times New Roman" w:eastAsia="Times New Roman" w:hAnsi="Times New Roman"/>
          <w:sz w:val="18"/>
          <w:szCs w:val="18"/>
          <w:i w:val="1"/>
          <w:iCs w:val="1"/>
          <w:color w:val="auto"/>
        </w:rPr>
        <w:t xml:space="preserve">SH2B1 </w:t>
      </w:r>
      <w:r>
        <w:rPr>
          <w:rFonts w:ascii="Times New Roman" w:cs="Times New Roman" w:eastAsia="Times New Roman" w:hAnsi="Times New Roman"/>
          <w:sz w:val="18"/>
          <w:szCs w:val="18"/>
          <w:color w:val="auto"/>
        </w:rPr>
        <w:t>gene.</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POMC, PCSK1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are core genes of the MC4R pathway. Heterozygous variants in</w:t>
      </w:r>
      <w:r>
        <w:rPr>
          <w:rFonts w:ascii="Times New Roman" w:cs="Times New Roman" w:eastAsia="Times New Roman" w:hAnsi="Times New Roman"/>
          <w:sz w:val="18"/>
          <w:szCs w:val="18"/>
          <w:i w:val="1"/>
          <w:iCs w:val="1"/>
          <w:color w:val="auto"/>
        </w:rPr>
        <w:t xml:space="preserve"> POMC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have been associated with clinical obesity that may be due to MC4R pathway dysfunction. Obesity due to rare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variants in the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gene is an autosomal dominant disorder that is characterized by early-onset severe obesity and hyperphagia, as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variants found in individuals with severe obesity significantly impaired leptin-induced POMC expression (</w:t>
      </w:r>
      <w:r>
        <w:rPr>
          <w:rFonts w:ascii="Times New Roman" w:cs="Times New Roman" w:eastAsia="Times New Roman" w:hAnsi="Times New Roman"/>
          <w:sz w:val="18"/>
          <w:szCs w:val="18"/>
          <w:i w:val="1"/>
          <w:iCs w:val="1"/>
          <w:color w:val="auto"/>
        </w:rPr>
        <w:t>Yang et al 2019, Nat Comm. 10, Article 1718</w:t>
      </w:r>
      <w:r>
        <w:rPr>
          <w:rFonts w:ascii="Times New Roman" w:cs="Times New Roman" w:eastAsia="Times New Roman" w:hAnsi="Times New Roman"/>
          <w:sz w:val="18"/>
          <w:szCs w:val="18"/>
          <w:color w:val="auto"/>
        </w:rPr>
        <w:t xml:space="preserve">). Specifically,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is a transcriptional coactivator that has links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to both the leptin receptor and to POMC. When the leptin receptor is activated,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is activated through a cascade of events that then drives the expression of POMC. Individuals who have heterozygous loss-of-function variants in their SRC1 genes can have insufficient leptin receptor activation of the MC4R pathway as a result of decreased POMC expression. This decreases the amount of available MSH to activate the MC4R, consequently resulting in hyperphagia and obesity in these individuals. Obesity due to variants in the </w:t>
      </w:r>
      <w:r>
        <w:rPr>
          <w:rFonts w:ascii="Times New Roman" w:cs="Times New Roman" w:eastAsia="Times New Roman" w:hAnsi="Times New Roman"/>
          <w:sz w:val="18"/>
          <w:szCs w:val="18"/>
          <w:i w:val="1"/>
          <w:iCs w:val="1"/>
          <w:color w:val="auto"/>
        </w:rPr>
        <w:t>SH2B1</w:t>
      </w:r>
      <w:r>
        <w:rPr>
          <w:rFonts w:ascii="Times New Roman" w:cs="Times New Roman" w:eastAsia="Times New Roman" w:hAnsi="Times New Roman"/>
          <w:sz w:val="18"/>
          <w:szCs w:val="18"/>
          <w:color w:val="auto"/>
        </w:rPr>
        <w:t xml:space="preserve"> gene is a rare genetic disease that is characterized by early-onset severe obesity, hyperphagia, hyperinsulinemia, and reduced final height. </w:t>
      </w:r>
      <w:r>
        <w:rPr>
          <w:rFonts w:ascii="Times New Roman" w:cs="Times New Roman" w:eastAsia="Times New Roman" w:hAnsi="Times New Roman"/>
          <w:sz w:val="18"/>
          <w:szCs w:val="18"/>
          <w:i w:val="1"/>
          <w:iCs w:val="1"/>
          <w:color w:val="auto"/>
        </w:rPr>
        <w:t>SH2B1</w:t>
      </w:r>
      <w:r>
        <w:rPr>
          <w:rFonts w:ascii="Times New Roman" w:cs="Times New Roman" w:eastAsia="Times New Roman" w:hAnsi="Times New Roman"/>
          <w:sz w:val="18"/>
          <w:szCs w:val="18"/>
          <w:color w:val="auto"/>
        </w:rPr>
        <w:t xml:space="preserve"> variants can arise through either DNA variants in the </w:t>
      </w:r>
      <w:r>
        <w:rPr>
          <w:rFonts w:ascii="Times New Roman" w:cs="Times New Roman" w:eastAsia="Times New Roman" w:hAnsi="Times New Roman"/>
          <w:sz w:val="18"/>
          <w:szCs w:val="18"/>
          <w:i w:val="1"/>
          <w:iCs w:val="1"/>
          <w:color w:val="auto"/>
        </w:rPr>
        <w:t>SH2B1</w:t>
      </w:r>
      <w:r>
        <w:rPr>
          <w:rFonts w:ascii="Times New Roman" w:cs="Times New Roman" w:eastAsia="Times New Roman" w:hAnsi="Times New Roman"/>
          <w:sz w:val="18"/>
          <w:szCs w:val="18"/>
          <w:color w:val="auto"/>
        </w:rPr>
        <w:t xml:space="preserve"> gene or through chromosomal deletions (chromosome 16) that encompass the </w:t>
      </w:r>
      <w:r>
        <w:rPr>
          <w:rFonts w:ascii="Times New Roman" w:cs="Times New Roman" w:eastAsia="Times New Roman" w:hAnsi="Times New Roman"/>
          <w:sz w:val="18"/>
          <w:szCs w:val="18"/>
          <w:i w:val="1"/>
          <w:iCs w:val="1"/>
          <w:color w:val="auto"/>
        </w:rPr>
        <w:t>SH2B1</w:t>
      </w:r>
      <w:r>
        <w:rPr>
          <w:rFonts w:ascii="Times New Roman" w:cs="Times New Roman" w:eastAsia="Times New Roman" w:hAnsi="Times New Roman"/>
          <w:sz w:val="18"/>
          <w:szCs w:val="18"/>
          <w:color w:val="auto"/>
        </w:rPr>
        <w:t xml:space="preserve"> gene. In both cases, dysfunction/loss of only one copy of the SH2B1 gene is sufficient to give rise to obesity and hyperphagia. The SH2B1 protein has been shown to have direct links to the MC4R-pathway. Specifically, SH2B1 is an adapter protein that amplifies the signal coming through the leptin receptor. In individuals who carry heterozygote loss of function mutations in SH2B1 or a chromosomal deletion that removes the SH2B1 from the chromosome, individuals may have insufficient leptin receptor activity activation of their MC4R pathway. This gives rise to a well-documented form of severe early-onset obesity and hyperphagia.</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January 10, 2025, we announced enrollment completion in this 52-week trial. We consider the two most encouraging substudies to be SH2B1 (n=121) and POMC and/or PCSK1 (n=79). The epidemiology estimates for these two genetic indications suggest that approximately 29,000 U.S. patients with one of these genetic deficiencies have the potential to respond to setmelanotide. The epidemiology for the additional two genetic indications enrolled in this trial, SRC1 (n=73) and LEPR (n=23), suggest as many as 24,000 U.S. patients with one of these genetic deficiencies may have the potential to respond to setmelanotide. However, the vast majority of genetic variants of the </w:t>
      </w:r>
      <w:r>
        <w:rPr>
          <w:rFonts w:ascii="Times New Roman" w:cs="Times New Roman" w:eastAsia="Times New Roman" w:hAnsi="Times New Roman"/>
          <w:sz w:val="18"/>
          <w:szCs w:val="18"/>
          <w:i w:val="1"/>
          <w:iCs w:val="1"/>
          <w:color w:val="auto"/>
        </w:rPr>
        <w:t>SRC1</w:t>
      </w:r>
      <w:r>
        <w:rPr>
          <w:rFonts w:ascii="Times New Roman" w:cs="Times New Roman" w:eastAsia="Times New Roman" w:hAnsi="Times New Roman"/>
          <w:sz w:val="18"/>
          <w:szCs w:val="18"/>
          <w:color w:val="auto"/>
        </w:rPr>
        <w:t xml:space="preserve"> gene are classified as VUS and mostly benign; similarly, pathogenic or likely pathogenic variants of 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are ultra-rare. The trial design with four independent substudies allows for independent data readouts and potential registration for each genetic cohort on its own. As the SRC1 and LEPR substudies are under-enrolled and therefore underpowered, it is likely that we would need to complete additional studies in order to seek regulatory approval for these genetic indications. We believe the SH2B1 and POMC/PCSK1 substudies are sufficiently enrolled and powered to seek registration, pending success. The primary endpoint for each substudy is the difference in mean percent change in BMI from baseline to 52 weeks in setmelanotide arm compared to placebo arm. We anticipate reporting topline data in the first half of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Proof of Concept Achieved in Exploratory Phase 2 Basket Study</w:t>
      </w:r>
    </w:p>
    <w:p>
      <w:pPr>
        <w:spacing w:after="0" w:line="227"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In January 2021, we announced proof-of-concept data from our exploratory Phase 2 Basket Study in multiple patient cohorts of patients with severe obesity due to a variant in one of the two alleles in the POMC, PCSK1, or LEPR genes (PPL HET obesity), as well as the SRC1 and SH2B1 genes. We subsequently furnished updated data in multiple presentations at medical meetings throughout 2021. The exploratory Phase 2 Basket Study was an open label study designed to evaluate setmelanotide in patients with obesity defined as BMI ≥ 30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patients 16 years of age or older or BMI≥ 95th percentile for age and gender for patients between 6 and 16 years old. Patients were stratified by cohort according to their genetic variant. The primary endpoint of the study was the percent of patients in each subgroup showing at least a 5% loss of body weight over three months (such patients are referred to as clinical responders for this study).</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PPL HET Obesity (POMC, LEPR, PCSK1) highlights included:</w:t>
      </w:r>
    </w:p>
    <w:p>
      <w:pPr>
        <w:spacing w:after="0" w:line="225" w:lineRule="exact"/>
        <w:rPr>
          <w:sz w:val="20"/>
          <w:szCs w:val="20"/>
          <w:color w:val="auto"/>
        </w:rPr>
      </w:pPr>
    </w:p>
    <w:p>
      <w:pPr>
        <w:ind w:left="1000" w:right="79" w:hanging="275"/>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12 of 35 patients (34.3%) achieved the primary endpoint. This full analysis includes six patients who withdrew early;</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 from baseline in body weight over three months across all 35 patients was -3.7%, which includes both clinical responders and non-responders; and</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12 patients who achieved the primary endpoint (responder group), the mean reduction from baseline in body weight over three months was -10.1%.</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our analyses, we are applying variant classification guidelines from the American College of Medical Genetics, or ACMG (as described in Richards, et al., 2015), to patient cohort stratification. Specific variants of the POMC, LEPR, PCSK1, SRC1 or SH2B1 gene may be classified based on published data as being pathogenic, likely pathogenic, likely benign or benign, or classified as a variant of unknown significance or VUS. As genetics of obesity remains an emerging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field, the vast majority of variants in genes associated with the MC4R pathway are classified as VUS. Our hypothesis was that patients with genetic variants that indicate a higher degree of pathogenicity would be more likely to have impaired pathway signaling and therefore more likely to respond to setmelanotide.</w:t>
      </w:r>
    </w:p>
    <w:p>
      <w:pPr>
        <w:spacing w:after="0" w:line="176" w:lineRule="exact"/>
        <w:rPr>
          <w:sz w:val="20"/>
          <w:szCs w:val="20"/>
          <w:color w:val="auto"/>
        </w:rPr>
      </w:pPr>
    </w:p>
    <w:p>
      <w:pPr>
        <w:ind w:left="1000" w:right="79" w:hanging="275"/>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PPL HET obesity were stratified into three pre-specified cohorts by classification of their genetic variants according to ACMG guidelines;</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eight patients (50.0%) with a pathogenic or likely pathogenic variant achieved greater than 5% weight loss over three months;</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eight patients (50.0%) with the N221D variant of the PCSK1 gene achieved greater than 5% weight loss over three months; and</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19 patients (21.1%) with a variant of unknown significance (VUS) achieved greater than 5% weight loss over three months.</w:t>
      </w:r>
    </w:p>
    <w:p>
      <w:pPr>
        <w:spacing w:after="0" w:line="86"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In September 2021, we presented updated interim data from the SRC1 and SH2B1 cohorts at the at the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European Society for Paediatric Endocrinology (ESPE) Meeting. The data presented were based on an interim analysis of patients who completed 12 weeks of therapy. These presentations included analyses that showed setmelanotide achieved clinically meaningful weight loss or BMI Z reduction in 30% (9 of 30) of study participants with obesity due to variants of the SRC1 gene and clinically meaningful weight loss or BMI Z reduction in 43% (15 of 35) of study participants with obesity due to variants of the SH2B1 gene, including 16p11.2 chromosomal deletions.</w:t>
      </w:r>
    </w:p>
    <w:p>
      <w:pPr>
        <w:spacing w:after="0" w:line="203" w:lineRule="exact"/>
        <w:rPr>
          <w:sz w:val="20"/>
          <w:szCs w:val="20"/>
          <w:color w:val="auto"/>
        </w:rPr>
      </w:pPr>
    </w:p>
    <w:p>
      <w:pPr>
        <w:jc w:val="both"/>
        <w:ind w:left="60" w:right="79" w:firstLine="648"/>
        <w:spacing w:after="0" w:line="224" w:lineRule="auto"/>
        <w:rPr>
          <w:sz w:val="20"/>
          <w:szCs w:val="20"/>
          <w:color w:val="auto"/>
        </w:rPr>
      </w:pPr>
      <w:r>
        <w:rPr>
          <w:rFonts w:ascii="Times New Roman" w:cs="Times New Roman" w:eastAsia="Times New Roman" w:hAnsi="Times New Roman"/>
          <w:sz w:val="18"/>
          <w:szCs w:val="18"/>
          <w:color w:val="auto"/>
        </w:rPr>
        <w:t>Specifically, in the SRC1 cohort, a total of 30 patients with obesity and deficiency in the SRC1 gene were enrolled in the full analysis set of this study. These patients had a mean BMI of 45.4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BMI Z of 3.0 at baseline. Highlights of these data, as of a cut-off date of March 16, 2021, include:</w:t>
      </w:r>
    </w:p>
    <w:p>
      <w:pPr>
        <w:spacing w:after="0" w:line="199" w:lineRule="exact"/>
        <w:rPr>
          <w:sz w:val="20"/>
          <w:szCs w:val="20"/>
          <w:color w:val="auto"/>
        </w:rPr>
      </w:pPr>
    </w:p>
    <w:p>
      <w:pPr>
        <w:jc w:val="both"/>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2F2F2F"/>
        </w:rPr>
      </w:pPr>
      <w:r>
        <w:rPr>
          <w:rFonts w:ascii="Times New Roman" w:cs="Times New Roman" w:eastAsia="Times New Roman" w:hAnsi="Times New Roman"/>
          <w:sz w:val="18"/>
          <w:szCs w:val="18"/>
          <w:color w:val="2F2F2F"/>
        </w:rPr>
        <w:t>Nine of 30 (or 30%) of patients achieved a clinically meaningful response to setmelanotide at three months, as defined by weight loss of 5% or greater from baseline, or for patients under 18 years old, a reduction of at least 0.15 in BMI Z score:</w:t>
      </w:r>
    </w:p>
    <w:p>
      <w:pPr>
        <w:spacing w:after="0" w:line="160" w:lineRule="exact"/>
        <w:rPr>
          <w:rFonts w:ascii="Times New Roman" w:cs="Times New Roman" w:eastAsia="Times New Roman" w:hAnsi="Times New Roman"/>
          <w:sz w:val="18"/>
          <w:szCs w:val="18"/>
          <w:color w:val="2F2F2F"/>
        </w:rPr>
      </w:pPr>
    </w:p>
    <w:p>
      <w:pPr>
        <w:ind w:left="1380" w:right="79" w:hanging="324"/>
        <w:spacing w:after="0" w:line="251" w:lineRule="auto"/>
        <w:rPr>
          <w:rFonts w:ascii="Times New Roman" w:cs="Times New Roman" w:eastAsia="Times New Roman" w:hAnsi="Times New Roman"/>
          <w:sz w:val="18"/>
          <w:szCs w:val="18"/>
          <w:color w:val="2F2F2F"/>
        </w:rPr>
      </w:pPr>
      <w:r>
        <w:rPr>
          <w:rFonts w:ascii="Courier New" w:cs="Courier New" w:eastAsia="Courier New" w:hAnsi="Courier New"/>
          <w:sz w:val="18"/>
          <w:szCs w:val="18"/>
          <w:color w:val="2F2F2F"/>
        </w:rPr>
        <w:t xml:space="preserve">o </w:t>
      </w:r>
      <w:r>
        <w:rPr>
          <w:rFonts w:ascii="Times New Roman" w:cs="Times New Roman" w:eastAsia="Times New Roman" w:hAnsi="Times New Roman"/>
          <w:sz w:val="18"/>
          <w:szCs w:val="18"/>
          <w:color w:val="2F2F2F"/>
        </w:rPr>
        <w:t>In adult patients 18 years or older, six of 20 (or 30%) achieved 5% or greater weight loss at three</w:t>
      </w:r>
      <w:r>
        <w:rPr>
          <w:rFonts w:ascii="Courier New" w:cs="Courier New" w:eastAsia="Courier New" w:hAnsi="Courier New"/>
          <w:sz w:val="18"/>
          <w:szCs w:val="18"/>
          <w:color w:val="2F2F2F"/>
        </w:rPr>
        <w:t xml:space="preserve"> </w:t>
      </w:r>
      <w:r>
        <w:rPr>
          <w:rFonts w:ascii="Times New Roman" w:cs="Times New Roman" w:eastAsia="Times New Roman" w:hAnsi="Times New Roman"/>
          <w:sz w:val="18"/>
          <w:szCs w:val="18"/>
          <w:color w:val="2F2F2F"/>
        </w:rPr>
        <w:t>months;</w:t>
      </w:r>
    </w:p>
    <w:p>
      <w:pPr>
        <w:spacing w:after="0" w:line="200" w:lineRule="exact"/>
        <w:rPr>
          <w:rFonts w:ascii="Times New Roman" w:cs="Times New Roman" w:eastAsia="Times New Roman" w:hAnsi="Times New Roman"/>
          <w:sz w:val="18"/>
          <w:szCs w:val="18"/>
          <w:color w:val="2F2F2F"/>
        </w:rPr>
      </w:pPr>
    </w:p>
    <w:p>
      <w:pPr>
        <w:spacing w:after="0" w:line="215" w:lineRule="exact"/>
        <w:rPr>
          <w:rFonts w:ascii="Times New Roman" w:cs="Times New Roman" w:eastAsia="Times New Roman" w:hAnsi="Times New Roman"/>
          <w:sz w:val="18"/>
          <w:szCs w:val="18"/>
          <w:color w:val="2F2F2F"/>
        </w:rPr>
      </w:pPr>
    </w:p>
    <w:p>
      <w:pPr>
        <w:ind w:left="1380" w:right="79" w:hanging="324"/>
        <w:spacing w:after="0" w:line="262" w:lineRule="auto"/>
        <w:rPr>
          <w:rFonts w:ascii="Times New Roman" w:cs="Times New Roman" w:eastAsia="Times New Roman" w:hAnsi="Times New Roman"/>
          <w:sz w:val="18"/>
          <w:szCs w:val="18"/>
          <w:color w:val="2F2F2F"/>
        </w:rPr>
      </w:pPr>
      <w:r>
        <w:rPr>
          <w:rFonts w:ascii="Courier New" w:cs="Courier New" w:eastAsia="Courier New" w:hAnsi="Courier New"/>
          <w:sz w:val="18"/>
          <w:szCs w:val="18"/>
          <w:color w:val="2F2F2F"/>
        </w:rPr>
        <w:t xml:space="preserve">o </w:t>
      </w:r>
      <w:r>
        <w:rPr>
          <w:rFonts w:ascii="Times New Roman" w:cs="Times New Roman" w:eastAsia="Times New Roman" w:hAnsi="Times New Roman"/>
          <w:sz w:val="18"/>
          <w:szCs w:val="18"/>
          <w:color w:val="2F2F2F"/>
        </w:rPr>
        <w:t>In patients younger than 18 years, three of 10 (or 30%) achieved a BMI Z reduction of 0.15% or more at</w:t>
      </w:r>
      <w:r>
        <w:rPr>
          <w:rFonts w:ascii="Courier New" w:cs="Courier New" w:eastAsia="Courier New" w:hAnsi="Courier New"/>
          <w:sz w:val="18"/>
          <w:szCs w:val="18"/>
          <w:color w:val="2F2F2F"/>
        </w:rPr>
        <w:t xml:space="preserve"> </w:t>
      </w:r>
      <w:r>
        <w:rPr>
          <w:rFonts w:ascii="Times New Roman" w:cs="Times New Roman" w:eastAsia="Times New Roman" w:hAnsi="Times New Roman"/>
          <w:sz w:val="18"/>
          <w:szCs w:val="18"/>
          <w:color w:val="2F2F2F"/>
        </w:rPr>
        <w:t>three months.</w:t>
      </w:r>
    </w:p>
    <w:p>
      <w:pPr>
        <w:spacing w:after="0" w:line="178" w:lineRule="exact"/>
        <w:rPr>
          <w:rFonts w:ascii="Times New Roman" w:cs="Times New Roman" w:eastAsia="Times New Roman" w:hAnsi="Times New Roman"/>
          <w:sz w:val="18"/>
          <w:szCs w:val="18"/>
          <w:color w:val="2F2F2F"/>
        </w:rPr>
      </w:pPr>
    </w:p>
    <w:p>
      <w:pPr>
        <w:jc w:val="both"/>
        <w:ind w:left="1040" w:right="79" w:hanging="315"/>
        <w:spacing w:after="0" w:line="261" w:lineRule="auto"/>
        <w:tabs>
          <w:tab w:leader="none" w:pos="1040" w:val="left"/>
        </w:tabs>
        <w:numPr>
          <w:ilvl w:val="0"/>
          <w:numId w:val="17"/>
        </w:numPr>
        <w:rPr>
          <w:rFonts w:ascii="Times New Roman" w:cs="Times New Roman" w:eastAsia="Times New Roman" w:hAnsi="Times New Roman"/>
          <w:sz w:val="18"/>
          <w:szCs w:val="18"/>
          <w:color w:val="2F2F2F"/>
        </w:rPr>
      </w:pPr>
      <w:r>
        <w:rPr>
          <w:rFonts w:ascii="Times New Roman" w:cs="Times New Roman" w:eastAsia="Times New Roman" w:hAnsi="Times New Roman"/>
          <w:sz w:val="18"/>
          <w:szCs w:val="18"/>
          <w:color w:val="2F2F2F"/>
        </w:rPr>
        <w:t>Across all enrolled patients, the mean overall weight loss from baseline to three months among patients 18 years and older (a sample of 20) was -4.0% (a standard deviation of 3.3%), and the mean overall BMI Z score reduction from baseline to three months among patients younger than 18 years (n=10) was -0.21 (a standard deviation of 0.23).</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addition, these interim data showed a clear separation between patients who responded to setmelanotide treatment at three months and those who did not:</w:t>
      </w:r>
    </w:p>
    <w:p>
      <w:pPr>
        <w:spacing w:after="0" w:line="162" w:lineRule="exact"/>
        <w:rPr>
          <w:sz w:val="20"/>
          <w:szCs w:val="20"/>
          <w:color w:val="auto"/>
        </w:rPr>
      </w:pPr>
    </w:p>
    <w:p>
      <w:pPr>
        <w:jc w:val="both"/>
        <w:ind w:left="1040" w:right="79" w:hanging="315"/>
        <w:spacing w:after="0" w:line="266" w:lineRule="auto"/>
        <w:tabs>
          <w:tab w:leader="none" w:pos="1040" w:val="left"/>
        </w:tabs>
        <w:numPr>
          <w:ilvl w:val="0"/>
          <w:numId w:val="18"/>
        </w:numPr>
        <w:rPr>
          <w:rFonts w:ascii="Times New Roman" w:cs="Times New Roman" w:eastAsia="Times New Roman" w:hAnsi="Times New Roman"/>
          <w:sz w:val="18"/>
          <w:szCs w:val="18"/>
          <w:color w:val="2F2F2F"/>
        </w:rPr>
      </w:pPr>
      <w:r>
        <w:rPr>
          <w:rFonts w:ascii="Times New Roman" w:cs="Times New Roman" w:eastAsia="Times New Roman" w:hAnsi="Times New Roman"/>
          <w:sz w:val="18"/>
          <w:szCs w:val="18"/>
          <w:color w:val="2F2F2F"/>
        </w:rPr>
        <w:t>The mean body weight reduction for adult patients who responded (n= 6) was 7.9% (90% confidence interval (CI), −9.7 to −6.0), as compared to 2.3% (90% CI, −3.2 to −1.4) for adult patients who did not respond (a sample of 14);</w:t>
      </w:r>
    </w:p>
    <w:p>
      <w:pPr>
        <w:spacing w:after="0" w:line="175" w:lineRule="exact"/>
        <w:rPr>
          <w:rFonts w:ascii="Times New Roman" w:cs="Times New Roman" w:eastAsia="Times New Roman" w:hAnsi="Times New Roman"/>
          <w:sz w:val="18"/>
          <w:szCs w:val="18"/>
          <w:color w:val="2F2F2F"/>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2F2F2F"/>
        </w:rPr>
      </w:pPr>
      <w:r>
        <w:rPr>
          <w:rFonts w:ascii="Times New Roman" w:cs="Times New Roman" w:eastAsia="Times New Roman" w:hAnsi="Times New Roman"/>
          <w:sz w:val="18"/>
          <w:szCs w:val="18"/>
          <w:color w:val="2F2F2F"/>
        </w:rPr>
        <w:t>The mean BMI Z reduction for patients younger than 18 years who responded (n= 3) was 0.48 (90% CI, −0.95 to −0.01), as compared to 0.09 (90% CI, −0.11 to −0.07) for those who did not respond (n= 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SH2B1 cohort, a total of 35 patients with obesity and 16p11.2 deletions that include the SH2B1 gene or deficiency in the SH2B1 gene were enrolled in the full analysis set of this study. These patients had a mean BMI of 47.2 kg/m2 or BMI Z of 3.6 at baseline. Highlights of these interim data, as of a cut-off date of March 16, 2021, include: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of 35 (or 42.9%) of patients achieved a clinically meaningful response to setmelanotide at three months, as defined by weight loss of 5% or greater from baseline, or for patients under 18 years old, a reduction of at least 0.15 in BMI Z score:</w:t>
      </w:r>
    </w:p>
    <w:p>
      <w:pPr>
        <w:spacing w:after="0" w:line="16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In patients 18 or older, eight of 22 (or 36.4%) achieved 5% or greater weight loss at three months;</w:t>
      </w:r>
    </w:p>
    <w:p>
      <w:pPr>
        <w:spacing w:after="0" w:line="42" w:lineRule="exact"/>
        <w:rPr>
          <w:rFonts w:ascii="Times New Roman" w:cs="Times New Roman" w:eastAsia="Times New Roman" w:hAnsi="Times New Roman"/>
          <w:sz w:val="18"/>
          <w:szCs w:val="18"/>
          <w:color w:val="auto"/>
        </w:rPr>
      </w:pPr>
    </w:p>
    <w:p>
      <w:pPr>
        <w:ind w:left="1380" w:right="79" w:hanging="324"/>
        <w:spacing w:after="0" w:line="239"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In patients younger than 18 years, seven of 13 (or 53.8%) achieved a BMI Z reduction of 0.15% or more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at three months.</w:t>
      </w:r>
    </w:p>
    <w:p>
      <w:pPr>
        <w:spacing w:after="0" w:line="21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Across all enrolled patients, the mean overall weight loss from baseline to three months among patients 18 years and older (n= 22) was -3.1% (a standard deviation of 3.9%), and the mean overall BMI Z score reduction from baseline to three months among patients younger than 18 years (n= 13) was -0.15 (a standard deviation of 0.13). In addition, the interim data showed a clear separation between patients who responded to setmelanotide treatment at three months and those who did not:</w:t>
      </w:r>
    </w:p>
    <w:p>
      <w:pPr>
        <w:spacing w:after="0" w:line="183" w:lineRule="exact"/>
        <w:rPr>
          <w:sz w:val="20"/>
          <w:szCs w:val="20"/>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body weight reduction for adult patients who responded (n= 8) was 7.2% (90% CI, −8.6 to −5.8), as compared to 0.8% (90% CI, −1.9 to 0.3) for adult patients who did not respond (n= 14);</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BMI Z reduction for patients younger than 18 years who responded (n= 7) was 0.25 (90% CI, −0.29 to −0.21), as compared to 0.03 (90% CI, −0.08 to 0.02) patients younger than 18 years who did not respond (n= 7).</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Consistent with prior clinical experience, setmelanotide was generally well tolerated in each of these rare genetic diseases of obesity as of the cutoff date. The most common treatment-emergent adverse events, or TEAEs, included mild injection site reactions, hyperpigmentation, and nausea and vomiting, which occurred early in the treatment course. There were no SAEs related to treatment with setmelanotide.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 DAYBREAK trial</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2024, we completed our Phase 2 DAYBREAK trial, a signal- finding study with a two-stage design, that successfully identified six cohorts of interest for further study. We believe the DAYBREAK trial was the most comprehensive Phase 2 trial ever initiated in rare MC4R pathway diseases. This trial was designed to evaluate setmelanotide in patients with hyperphagia and severe obesity caused by variants in one of 31 pre-identified genes known to have strong relevance to the MC4R pathway.</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Stage 1 of the trial ruled out several genes for further exploration based on patient prevalence or lack of response. We designed Stage 1 to evaluate setmelanotide in patients who carry a confirmed variant in one or more genes with strong or very strong relevance to the MC4R pathway. This first stage of the study consisted of a 16-week open-label treatment period; patients 18 years or older who achieved a body mass index (BMI) at least 3% less than the Baseline BMI at the end of Stage 1 and patients &lt;18 years old who achieved a BMI at least 3% less than the Baseline BMI or a decrease in BMI Z-score of at least 0.05 at the end of Stage 1 were eligible for enrollment in the second stage of the study.</w:t>
      </w:r>
    </w:p>
    <w:p>
      <w:pPr>
        <w:spacing w:after="0" w:line="18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 total of 49 patients who completed Stage 1 with a response to setmelanotide (as detailed below) were randomized into Stage 2 of the trial. Stage 2 was a 24-week, double-blind, placebo-controlled withdrawal study. These patients were stratified into genetically defined cohorts and randomized 2:1 to receive setmelanotide or placebo. After analyzing the results from Stage 2, we deemed the following genes or gene families to merit further study with MC4R agonism: SEMA3 family, PHIP, and TBX3 or PLXNA family.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79" w:firstLine="648"/>
        <w:spacing w:after="0" w:line="217" w:lineRule="auto"/>
        <w:rPr>
          <w:sz w:val="20"/>
          <w:szCs w:val="20"/>
          <w:color w:val="auto"/>
        </w:rPr>
      </w:pPr>
      <w:r>
        <w:rPr>
          <w:rFonts w:ascii="Times New Roman" w:cs="Times New Roman" w:eastAsia="Times New Roman" w:hAnsi="Times New Roman"/>
          <w:sz w:val="18"/>
          <w:szCs w:val="18"/>
          <w:color w:val="auto"/>
        </w:rPr>
        <w:t>On November 4, 2024, we presented topline data from the DAYBREAK trial at ObesityWeek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2024 in San Antonio, Texas. Results from Stage 2 showed:</w:t>
      </w:r>
    </w:p>
    <w:p>
      <w:pPr>
        <w:spacing w:after="0" w:line="198" w:lineRule="exact"/>
        <w:rPr>
          <w:sz w:val="20"/>
          <w:szCs w:val="20"/>
          <w:color w:val="auto"/>
        </w:rPr>
      </w:pPr>
    </w:p>
    <w:p>
      <w:pPr>
        <w:jc w:val="both"/>
        <w:ind w:left="1380" w:right="79" w:hanging="331"/>
        <w:spacing w:after="0" w:line="261"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significantly higher proportion of patients in the setmelanotide arm achieved or maintained 5% BMI reduction from baseline through the end of Stage 2 compared with the placebo arm (84.4% vs. 29.4%, p=0.001); a -12.4% mean percent BMI reduction was observed for all patients (n=29) on continuous setmelanotide therapy of 40 weeks;</w:t>
      </w:r>
    </w:p>
    <w:p>
      <w:pPr>
        <w:spacing w:after="0" w:line="179"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BMI between baseline and the end of stage 2 was variable between gene cohorts, with the most consistent pattern of response seen in patients with PHIP variants.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encouraging responses were observed from the SIM1, MAGEL2, PLXNA(1-4), and SEMA3(A-G) genes;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Setmelanotide was well tolerated with no new safety concerns.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our “Update on MC4R Pathway Program” event on December 6, 2023, we announced data from the Stage 1 open-label part of DAYBREAK, which demonstrated potential efficacy in patients in multiple genetically-defined cohorts. We presented data from the full analysis set for DAYBREAK, which included 164 patients. A total of 112 patients completed the 16-week Stage 1 of the Phase 2 trial, with 52 patients who discontinued. The rates of response from Stage 1 of the trial were:</w:t>
      </w:r>
    </w:p>
    <w:p>
      <w:pPr>
        <w:spacing w:after="0" w:line="183" w:lineRule="exact"/>
        <w:rPr>
          <w:sz w:val="20"/>
          <w:szCs w:val="20"/>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patients (12 of 40) with variants in the SEMA3 gene cohort;</w:t>
      </w:r>
    </w:p>
    <w:p>
      <w:pPr>
        <w:spacing w:after="0" w:line="27"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 of patients (16 of 45) with variants in the PLXNAs gene cohort;</w:t>
      </w:r>
    </w:p>
    <w:p>
      <w:pPr>
        <w:spacing w:after="0" w:line="22"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 of patients (9 of 16) with variants in the PHIP gene cohort;</w:t>
      </w:r>
    </w:p>
    <w:p>
      <w:pPr>
        <w:spacing w:after="0" w:line="22"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patients (2 of 5) with variants in the TBX3 gene cohort;</w:t>
      </w:r>
    </w:p>
    <w:p>
      <w:pPr>
        <w:spacing w:after="0" w:line="22"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patients (3 of 10) with variants in the MAGEL2 gene cohort; and</w:t>
      </w:r>
    </w:p>
    <w:p>
      <w:pPr>
        <w:spacing w:after="0" w:line="22"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patients (5 of 20) with variants in the SIM1 gene cohort.</w:t>
      </w:r>
    </w:p>
    <w:p>
      <w:pPr>
        <w:spacing w:after="0" w:line="24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those who completed Stage 1, the rates of response of patients who achieved a BMI reduction of greater than 5% from a post-hoc analysis were:</w:t>
      </w:r>
    </w:p>
    <w:p>
      <w:pPr>
        <w:spacing w:after="0" w:line="162" w:lineRule="exact"/>
        <w:rPr>
          <w:sz w:val="20"/>
          <w:szCs w:val="20"/>
          <w:color w:val="auto"/>
        </w:rPr>
      </w:pPr>
    </w:p>
    <w:p>
      <w:pPr>
        <w:ind w:left="1420" w:hanging="317"/>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 of patients (12 of 27) with variants in the PLXNs gene cohort;</w:t>
      </w:r>
    </w:p>
    <w:p>
      <w:pPr>
        <w:spacing w:after="0" w:line="27"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 of patients (16 of 26) with variants in the SEMA3 gene cohort; and</w:t>
      </w:r>
    </w:p>
    <w:p>
      <w:pPr>
        <w:spacing w:after="0" w:line="22"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69.2% of patients (9 of 13) with variants in the PHIP gene cohort.</w:t>
      </w:r>
    </w:p>
    <w:p>
      <w:pPr>
        <w:spacing w:after="0" w:line="24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these data and analyses from DAYBREAK provide valuable insight into the MCR4 pathway, and we will continue our work to better understand which gene variants have loss of function and maybe disease causing as opposed to those variants which are benign. We believe this work will allow us to identify more accurately patients who may respond to MC4R agonism. We may continue clinical development in these genetic indications with bivamelagon and/or RM-718.</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 Trial in Prader-Willi Syndrome</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Prader-Willi syndrome (PWS) is a rare genetic disorder that results in a number of physical, mental and behavioral problems. Key features of PWS include an excess weight gain due to a combination of low resting energy expenditure and a severe, constant hyperphagia with onset in early-mid childhood. There are currently no approved therapies that effectively reduce the extreme hyperphagia or address low resting energy expenditure experienced by patients with PWS, which, if not managed by stringent food restrictions and environmental controls, often results in life-threatening obesity. Approximately 20,000 people in the United States and approximately 400,000 people worldwide are estimated to be living with this disease. Currently, there are no approved therapies for the treatment of PWS.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the underlying etiology of the hyperphagia and excess weight gain in PWS is multifactorial, there remains a logical biological justification for MC4R agonism in this patient population. The critical chromosomal region relevant for PWS contains genetic regions that may impact signaling within the MC4R pathway. Notably, deletions in this region have been shown to be associated with decreased expression of PCSK1, which encodes a key prohormone convertase enzyme in the MC4R pathway. Relevant mouse models recapitulate the hyperphagia phenotype seen in PWS (</w:t>
      </w:r>
      <w:r>
        <w:rPr>
          <w:rFonts w:ascii="Times New Roman" w:cs="Times New Roman" w:eastAsia="Times New Roman" w:hAnsi="Times New Roman"/>
          <w:sz w:val="18"/>
          <w:szCs w:val="18"/>
          <w:i w:val="1"/>
          <w:iCs w:val="1"/>
          <w:color w:val="auto"/>
        </w:rPr>
        <w:t>Polex-Wolf J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2018</w:t>
      </w:r>
      <w:r>
        <w:rPr>
          <w:rFonts w:ascii="Times New Roman" w:cs="Times New Roman" w:eastAsia="Times New Roman" w:hAnsi="Times New Roman"/>
          <w:sz w:val="18"/>
          <w:szCs w:val="18"/>
          <w:color w:val="auto"/>
        </w:rPr>
        <w:t>). Disruption of MAGEL2 expression, a gene within the PWS region, leads to defective leptin sensing in POMC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neurons (</w:t>
      </w:r>
      <w:r>
        <w:rPr>
          <w:rFonts w:ascii="Times New Roman" w:cs="Times New Roman" w:eastAsia="Times New Roman" w:hAnsi="Times New Roman"/>
          <w:sz w:val="18"/>
          <w:szCs w:val="18"/>
          <w:i w:val="1"/>
          <w:iCs w:val="1"/>
          <w:color w:val="auto"/>
        </w:rPr>
        <w:t>Mercer et al. PLoS Genet. 2013;9:e1003207. 7. Pravdivyi et al. Hum Mol Genet. 2015;24:4276-4283</w:t>
      </w:r>
      <w:r>
        <w:rPr>
          <w:rFonts w:ascii="Times New Roman" w:cs="Times New Roman" w:eastAsia="Times New Roman" w:hAnsi="Times New Roman"/>
          <w:sz w:val="18"/>
          <w:szCs w:val="18"/>
          <w:color w:val="auto"/>
        </w:rPr>
        <w:t>). Interestingly, there was a potential efficacy signal in some patients with a MAGEL2 variant in our Phase 2 DAYBREAK trial (</w:t>
      </w:r>
      <w:r>
        <w:rPr>
          <w:rFonts w:ascii="Times New Roman" w:cs="Times New Roman" w:eastAsia="Times New Roman" w:hAnsi="Times New Roman"/>
          <w:sz w:val="18"/>
          <w:szCs w:val="18"/>
          <w:i w:val="1"/>
          <w:iCs w:val="1"/>
          <w:color w:val="auto"/>
        </w:rPr>
        <w:t>Ortiz et al 2024</w:t>
      </w:r>
      <w:r>
        <w:rPr>
          <w:rFonts w:ascii="Times New Roman" w:cs="Times New Roman" w:eastAsia="Times New Roman" w:hAnsi="Times New Roman"/>
          <w:sz w:val="18"/>
          <w:szCs w:val="18"/>
          <w:color w:val="auto"/>
        </w:rPr>
        <w:t xml:space="preserve">). Finally, patients with PWS may have a reduced response to leptin on POMC neurons and consequently reduced MC4R pathway activity </w:t>
      </w:r>
      <w:r>
        <w:rPr>
          <w:rFonts w:ascii="Times New Roman" w:cs="Times New Roman" w:eastAsia="Times New Roman" w:hAnsi="Times New Roman"/>
          <w:sz w:val="18"/>
          <w:szCs w:val="18"/>
          <w:i w:val="1"/>
          <w:iCs w:val="1"/>
          <w:color w:val="auto"/>
        </w:rPr>
        <w:t>(Miller 2020</w:t>
      </w:r>
      <w:r>
        <w:rPr>
          <w:rFonts w:ascii="Times New Roman" w:cs="Times New Roman" w:eastAsia="Times New Roman" w:hAnsi="Times New Roman"/>
          <w:sz w:val="18"/>
          <w:szCs w:val="18"/>
          <w:color w:val="auto"/>
        </w:rPr>
        <w:t>). We believe setmelanotide, a potent MC4R agonist, has the potential to restore signaling and regulation of hunger, energy expenditure, and weight.</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2016, we completed a Phase 2 trial that evaluated setmelanotide in patients [N=40] with PWS 16-65 years of age. The study had co-primary endpoints of weight and hyperphagia after 4 weeks of placebo or one of three arms on setmelanotide therapy (0.5mg, 1.5mg or 2.5mg). No statistically significant treatment differences were observed for the co-primary endpoints. The AEs reported in this study were consistent with those reported in other setmelanotide trials. The most common AEs reported thought to be related to setmelanotide were injection site reactions.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January 10, 2025, we announced our plan to initiate a new, 26-week, open-label Phase 2 trial evaluating setmelanotide for treatment of PWS. Unlike the design of our earlier trial, this new trial design calls for an increased dose of setmelanotide and longer duration of administration. We plan to enroll up to 20 patients with PWS and obesity aged 6 to 65 years old. Patients will be dose escalated up to 3 mg/day (ages 6 to &lt;12) and up to 5 mg/day as tolerated (ages 12-65) and will receive a daily subcutaneous dose of setmelanotide. The primary endpoints are safety and tolerability. Key secondary endpoints will assess weight, hyperphagia, behavior and pharmacokinetics. This trial is being conducted at a single site in the United States.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Weekly Formulation of Setmelanotide</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collaboration with Camurus AB, or Camurus, we have developed a once-weekly, long-acting formulation of setmelanotide using FluidCrystal® technology. When injected subcutaneously, aqueous body fluid may be absorbed by the excipient lipid phase, which may then form a gel-like depot consisting of liquid crystals formed in situ leading to slow diffusion of setmelanotide from the depot. While we believe that this formulation may be more convenient and less burdensome than setmelanotide, which is a once-daily administration, for patients and their families, we have paused development in favor of advancing RM-718. In the event RM-718 shows positive efficacy and safety results, we will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and in January 2025 we submitted a request to modify the PIP to remove elements related to the weekly formulation and we expect to receive a decision sometine in Q2 2025.</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completed one Phase 3 trial evaluating the weekly formulation of setmelanotide in patients with rare MC4R pathway diseases. This weekly switch trial was a randomized, double-blind switch trial in patients with obesity due to biallelic or heterozygous POMC, PCSK1 or LEPR deficiency or a clinical diagnosis of BBS with genetic confirmation, who were previously enrolled in our long-term, open-label extension trial. Patients were randomized 1:1 to receive once-weekly setmelanotide and once-daily placebo, or once-daily setmelanotide and once-weekly placebo for 13 weeks. Following the 13-week randomized treatment period, patients crossed over to an open-label, 13-week study in which all patients received once-weekly setmelanotide. The study was intended to provide detailed pharmacokinetic characterization of the weekly formulation.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Safety and Tolerability Results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Historically, clinical data with other MC4R therapies suggested that MC4R-mediated side effects may include changes in blood pressure and heart rate, increased erections in males, changes in libido and sexual function in females, and nausea and vomiting. It is noteworthy that the pattern of effects differed among each of the other MC4R therapies,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underscoring the complex physiology of MC4R. With setmelanotide, there has been little, if any, evidence of blood pressure or heart rate changes, preliminarily supporting an important differentiation of setmelanotide from previous MC4R therapies. Monitoring for blood pressure and heart rate changes, as well as other potential adverse events, or AEs, is included in all setmelanotide clinical trials.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of these first generation MC4R therapy failures, the setmelanotide program employed an intensive preclinical screening program to assess clinical candidates for blood pressure and heart rate effects, along with efficacy. The cornerstone of this preclinical screening program was a significant investment in obese primate studies which validated setmelanotide as a promising compound for clinical development. Research supporting a unique mechanism of action of setmelanotide, compared to earlier MC4R agonists and the endogenous ligand MSH, was published in May 2018 in Nature Medicine.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Setmelanotide was generally well-tolerated in our Phase 1, Phase 2 and Phase 3 clinical trials to date. Overall, except as outlined below, the number and patterns of AEs were generally low, and the intensity of the AEs was generally mild, and only infrequently led to clinical trial discontinuation.</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Over the course of our clinical development program, a total of 926 patients who participated in our trials have received the daily or weekly formulation of setmelanotide, including 24 patients who had been on setmelanotide therapy for more than five years, as of November 24, 2024 (excluding commercial therapy):</w:t>
      </w:r>
    </w:p>
    <w:p>
      <w:pPr>
        <w:spacing w:after="0" w:line="200" w:lineRule="exact"/>
        <w:rPr>
          <w:sz w:val="20"/>
          <w:szCs w:val="20"/>
          <w:color w:val="auto"/>
        </w:rPr>
      </w:pPr>
    </w:p>
    <w:p>
      <w:pPr>
        <w:spacing w:after="0" w:line="204" w:lineRule="exact"/>
        <w:rPr>
          <w:sz w:val="20"/>
          <w:szCs w:val="20"/>
          <w:color w:val="auto"/>
        </w:rPr>
      </w:pPr>
    </w:p>
    <w:tbl>
      <w:tblPr>
        <w:tblLayout w:type="fixed"/>
        <w:tblInd w:w="2170" w:type="dxa"/>
        <w:tblCellMar>
          <w:top w:w="0" w:type="dxa"/>
          <w:left w:w="0" w:type="dxa"/>
          <w:bottom w:w="0" w:type="dxa"/>
          <w:right w:w="0" w:type="dxa"/>
        </w:tblCellMar>
      </w:tblPr>
      <w:tr>
        <w:trPr>
          <w:trHeight w:val="207"/>
        </w:trPr>
        <w:tc>
          <w:tcPr>
            <w:tcW w:w="2480" w:type="dxa"/>
            <w:vAlign w:val="bottom"/>
            <w:tcBorders>
              <w:top w:val="single" w:sz="8" w:color="auto"/>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240" w:type="dxa"/>
            <w:vAlign w:val="bottom"/>
            <w:tcBorders>
              <w:top w:val="single" w:sz="8" w:color="auto"/>
              <w:right w:val="single" w:sz="8" w:color="auto"/>
            </w:tcBorders>
          </w:tcPr>
          <w:p>
            <w:pPr>
              <w:spacing w:after="0"/>
              <w:rPr>
                <w:sz w:val="18"/>
                <w:szCs w:val="18"/>
                <w:color w:val="auto"/>
              </w:rPr>
            </w:pPr>
          </w:p>
        </w:tc>
      </w:tr>
      <w:tr>
        <w:trPr>
          <w:trHeight w:val="23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Setmelanotide Therapy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patients</w:t>
            </w:r>
          </w:p>
        </w:tc>
      </w:tr>
      <w:tr>
        <w:trPr>
          <w:trHeight w:val="216"/>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&lt;1 year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678</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&gt;1 year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248</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&gt;2 years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&gt;3 years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&gt;4 years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&gt;5 years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28"/>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926</w:t>
            </w:r>
          </w:p>
        </w:tc>
      </w:tr>
      <w:tr>
        <w:trPr>
          <w:trHeight w:val="198"/>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majority of our trials, we observed a small increase in frequency of penile erections in male patients, as well as signs of sexual arousal in a small number of female patients. These symptoms were infrequent, generally mild, not painful, and short-lived. Most often these symptoms were reported in the first week of treatment. There was a small incidence of nausea and vomiting, as well as injection site reactions, both of which usually were reported as mild, early in treatment, and short-lived. A small number of patients had dose reductions and/or discontinued treatment due to nausea and vomiting.</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noted darkening of skin and skin lesions, such as moles and freckles, in approximately half of the patients who received setmelanotide. This was likely caused by activation of the closely related MC1 receptor, the receptor that mediates skin darkening in response to sun exposure. This was observed generally after one to two weeks of treatment, most often plateaued by two to four weeks of treatment, and like sun-related tanning, generally returned to baseline after cessation of exposure.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Overall, the most common AEs reported among setmelanotide treated patients in our clinical trials have been skin hyperpigmentation, injection site reactions, nausea, headache, vomiting, diarrhea and decreased appetite.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Life Cycle Management and Pipeline Expansion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2024, we made significant strides in our development of two new clinical programs designed to expand our MC4R agonist product portfolio. RM-718 and bivamelagon are being evaluated in hypothalamic obesity in Phase 1 and 2 trials, respectively. In addition, we are advancing potential candidates for CHI, a rare genetic disease.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Bivamelagon, an oral MC4R agonist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January 4, 2024, we announced that we entered into a global licensing agreement with LG Chem, Ltd., or LGC, a leading global company headquartered in South Korea that specializes in life sciences as one of its core businesses, for bivamelagon, an investigational oral small molecule MC4R agonist now in a Phase 2 clinical trial. The development of an effective oral therapy for treating MC4R pathway diseases has been a major goal for the industry and we believe the early data from LGC suggests bivamelagon has the potential to address MC4R pathway diseases without hyperpigmentation or cardiovascular side effects. We believe our deep developmental experience and global commercial presence uniquely position us to develop this molecule with the goal of offering a portfolio of treatment options to patients struggling with hyperphagia and severe obesity enabling the treatment that is right for them.</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 Phase 1 trial in healthy overweight adults, bivamelagon demonstrated dose-dependent weight reduction. Bivamelagon also demonstrated favorable safety results in the trial, with no changes in blood pressure or heart rate observed and no hyperpigmentation observed. In addition, bivamelagon has received orphan drug designation from FDA for the treatment of LEPR deficiency.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completed enrollment in our Phase 2 trial evaluating bivamelagon in acquired hypothalamic obesity in the first quarter of 2025. The Phase 2 trial is a randomized, placebo-controlled, double-blind study to assess the effect of bivamelagon on safety, weight reduction, hunger, and quality of life measures in patients 12 years of age and older (N=28) with acquired hypothalamic obesity. Patients will take an oral daily dose of either bivamelagon (low, middle, or high dose) or placebo for 14 weeks. The primary endpoint of the study is the change from baseline in body mass index after 14 weeks of treatment, and patients may continue on therapy for up to 52 weeks.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RM-718, a next generation MC4R peptide agonist</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MC4R peptide agonist for weekly administration, the new chemical entity, RM-718, has demonstrated the potential to reduce body weight and hunger, with favorable safety results observed in preclinical studies. RM-718 is designed to be more highly targeted and MC1R sparing with the potential to not cause hyperpigmentation. In a series of pre-clinical studies, RM-718 reduced overall body weight, body weight gain and food consumption in animal models. We initiated a Phase 1 in-human trial in the first quarter of 2024, including a multiple-ascending dose study in patients with hypothalamic obesity.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RM-718 is an investigational, synthetic, cyclic heptamer (7-amino acid-containing) peptide, and is designed as a selective and potent MC4R agonist that spares other melanocortin receptors. The RM-718 formulation is a sustained release depot designed for once weekly (QW), subcutaneous (SC) injection, consisting of RM-718 and excipients. The major components are phospholipids (PL) that are a natural part of the cell membrane and, once injected into tissue and coming into contact with aqueous body fluids and tissues, can precipitate and trap a co-administered drug to form a drug-PL co-precipitate (nanometer-sized phospholipid particles) that functions as a depot. Over time, this depot slowly diffuses into the surrounding tissue and/or is degraded by local phospholipase (slowly hydrolyzing phospholipids) resulting in a slow and controlled release of RM-718 over time.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March 25, 2024, we announced that the first participants had been dosed in our Phase 1 clinical trial of RM-</w:t>
      </w:r>
    </w:p>
    <w:p>
      <w:pPr>
        <w:spacing w:after="0" w:line="27" w:lineRule="exact"/>
        <w:rPr>
          <w:sz w:val="20"/>
          <w:szCs w:val="20"/>
          <w:color w:val="auto"/>
        </w:rPr>
      </w:pPr>
    </w:p>
    <w:p>
      <w:pPr>
        <w:jc w:val="both"/>
        <w:ind w:left="60" w:right="59" w:hanging="10"/>
        <w:spacing w:after="0" w:line="255"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Phase 1 trial is a three-part study to evaluate safety, tolerability and PK. The study consists of Part A: single ascending doses (SAD) of RM-718 in healthy participants 18 to 55 years old with obesity; Part B: multiple ascending doses (MAD) of RM-718 in healthy participants 18 to 55 years old with obesity; and Part C: MAD of RM-718 in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12 to 65 years old with hypothalamic obesity. Cohorts in Parts A and B are double-blind, placebo-controlled, and randomized 2:1. Study participants will receive one weekly dose of either RM-718 or placebo in Part A, four weekly doses of either RM-718 or placebo in Part B, and 16 weekly doses of open-label RM-718 in Part C. In all Parts, RM-718 or placebo doses are administered weekly via subcutaneous injection.</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completed a protocol amendment in December 2024 and we expect to begin enrolling patients with acquired hypothalamic obesity in Part C of the Phase 1 trial evaluating RM-718 in the first quarter of 2025. We plan to enroll up to 30 patients with acquired hypothalamic obesity for 16 weeks in Part C of this Phase 1 trial, and patients may continue on therapy for up to 52 weeks. The anticipated total enrollment for all of Parts A, B and C of this study is up to 120 participants.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Nonclinical studies of RM-718 in obese rats over 3 weeks of treatment demonstrated significant and stable reduction of body weight (-12.9 %) and body weight gain, reduced food, and water consumption (~ -25%) and improvement in insulin sensitivity without any pharmacological effects on the cardiovascular and respiratory systems. Studies in rodents (diet induced obese rats and mice including obese Zucker rats and Sprague Dawley rats) also demonstrated that RM-718 suppressed food intake and weight gain.</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Nonclinical toxicology studies of RM-718 administered for 28 days were conducted in rats and cynomolgus monkeys with doses up to 30 mg/kg. RM-718 was well tolerated in rats and monkeys, with no evidence of systemic toxicity. RM-718-related clinical observations of hyperpigmentation of skin on the muzzle in monkeys were rare (observed in only one monkey at the 30 mg/kg dose). Microscopic analysis showed minimal to moderate increased pigment of the epidermis of the skin of the muzzle at ≥10 mg/kg/doses, and we believe this result is probably species-specific and the result of MC1R stimulation. Chronic toxicology studies in non-human primates (NHP) and rats (39 and 26 weeks, respectively) have recently completed and we believe support long-term dosing in patients.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safety pharmacology studies evaluating potential adverse effects on the cardiovascular and respiratory systems in cynomolgus monkeys, RM-718 produced no treatment-related changes in effects on heart rate, blood pressure, electrocardiographic changes, or respiratory parameters up to the 30 mg/kg weekly dose. Moreover, the MC4R peptide agonist LY2112688 (formulated by Eli Lilly and Company), continuous SC infusion for 3 days of LY2112688 at 0.5 and 1 mg/kg/day, resulted in a slight increase in blood pressure at the 1 mg/kg/day dose level, relative to the reference item (saline), with effects being more pronounced during the night cycle, with no definitive effect on heart rate. These changes were not noted following continuous administration of RM-718 at doses of 1 and 5 mg/kg/day for 3 days, with heart rate and blood pressure remaining comparable to the reference item (saline) up to 96 hours post start of infusion. A slight, non-dose dependent decrease in body temperature was seen in all test article-treated groups over the course of the study, all within normal variation for monkeys and it was not considered adverse.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Congenital Hyperinsulinism Program</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February 2023, we completed the acquisition of Xinvento B.V., or Xinvento, a Dutch private limited liability company based in the Netherlands, through our wholly-owned subsidiary Rhythm Pharmaceuticals Netherlands B.V., a Dutch private limited liability company. Xinvento was founded in 2021 by Claudine van der Sande to identify and develop novel investigational therapeutic candidates designed to improve the care of patients and families living with CHI. Ms. Van der Sande joined Rhythm as a vice president and head of our CHI program following the acquisition.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CHI is a rare disease that we believe is well aligned with our corporate strategy and broadens our focus into an adjacent endocrine indication with a high unmet need. CHI is the most frequent cause of severe, random and persistent hypoglycemia in newborns and children. Hypoglycemia results from an over-secretion of insulin, which causes blood sugar levels to fall dangerously low. Without proper and immediate treatment, patients with CHI may suffer seizures, coma, or even death and, longer term, children may experience developmental delays, epilepsy, cerebral palsy, and other neurological damage. Available treatments are suboptimal in terms of safety, tolerability and effectiveness. Patient and family surveys conducted by Congenital Hyperinsulinism International, a global patient advocacy organization, demonstrate that hypoglycemic (low blood sugar) levels are occurring one or more times per day in 48% of patients, and up to once a week in an additional 20% of patients, in each case, despite being on standard of care. In the United States, the estimated incidence rate for CHI is 1:29,000 to 1:31,000, according to the literature. With the acquisition, Rhythm acquired a suite of assets designed to treat patients with this disease. In our CHI Program, we are focused on identifying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nominating a development candidate to advance into IND-enabling studies. We anticipate nominating a product candidate in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Genetic Sequencing and Patient Finding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expand our sequencing efforts in individuals living with early-onset, severe obesity to support research, patient finding and community building efforts to better understand rare MC4R pathway diseases. Our obesity DNA database contains sequencing data from approximately 100,000 individuals, as of December 31, 2024. Our sequencing data has come from four distinct sources in recent years: the Genetic Obesity ID | Genotyping Study, a global network of collaborations with obesity researchers with individual sample collections, institutional biobanks and Uncovering Rare Obesity (URO) or Rare Obesity Advanced Diagnosis (ROAD) programs.</w:t>
      </w:r>
    </w:p>
    <w:p>
      <w:pPr>
        <w:spacing w:after="0" w:line="18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More than 90% of our DNA sequencing database is derived from the U.S. population. Therefore, our estimates of patient populations in Canada and Europe are more preliminary, but we believe the prevalence of these genetic diseases in Canada and Europe are similar to those in United States. By bringing additional awareness to these rare genetic diseases of obesity, our sequencing efforts have the potential to help foster patient communities and drive medical action in these populations.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URO, our sponsored genetic testing program designed to increase access to genetic testing and help determine if individuals have an underlying genetic cause of their severe obesity, is the primary driver of how we collect sequencing samples and identify patients in the North America region. As obesity has reached epidemic levels in the United States, we are focused on identifying people with early-onset obesity that may be caused by certain rare genetic variants.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This program complements several initiatives designed to advance the understanding of genetic causes of severe obesity, and URO broadens these efforts and brings access to genetic testing into the community setting. Currently available physician-ordered genetic testing panels are often cost prohibitive, while many consumer genetic tests are incomplete when it comes to genetic disorders of obesity. This makes it difficult to confirm an underlying genetic cause of severe obesity. We believe the program marks an important step in the understanding of these disorders that might help patients and their families find new diagnosis and treatment strategies in the years ahead.</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U.S. partner, Prevention Genetics, a subsidiary of Exact Sciences Corp., a Clinical Laboratory Improvement Amendments-College of American Pathologists of CLIA/CAP-certified independent laboratory, conducts the genetic testing for URO. This program covers the cost of the test and excludes office visit, copay, sample collection, and any other related costs to a participant. In addition, as part of the program, licensed genetic counselors from PWN Health, a leading provider of professional guidance for diagnostic and genetic testing, are available to advise participating individuals.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ROAD program outside the United States mirrors the URO program as it is designed to increase awareness of rare MC4R pathway diseases caused by genetic variants and support patient identification in the International region. We collect samples from individuals with severe obesity from seven countries, including Spain, Italy, Ireland, Israel, Turkey and Germany. Our partner CGC Genetics Unilabs conducts the genetic testing for ROAD. This program covers the cost of the test, the kit and shipment.</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end of 2024, we have collected samples from approximately 100,000 individuals with severe obesity, primarily through our URO and ROAD programs, which now are our primary source of sequencing samples.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Efforts for IMCIVREE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focused on developing our global commercial infrastructure to make IMCIVREE available in as many markets as possible.</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IMCIVREE, an MC4R agonist for which we hold worldwide rights, is the first-ever precision medicine developed for patients with certain rare MC4R-pathway diseases approved or authorized in the United States, the EU, the United Kingdom, Canada and other countries and regions. IMCIVREE is approved by the FDA to reduce excess body weight and maintain weight reduction long term in adult and pediatric patients aged 2 years and older with syndromic or monogenic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obesity due to BBS or POMC, PCSK1, or LEPR deficiency, as determined by an FDA-approved test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VUS. The EC and the MHRA have authorized IMCIVREE for the treatment of obesity and the control of hunger associated with genetically confirmed BBS or loss-of-function biallelic POMC, including PCSK1, deficiency or biallelic LEPR deficiency in adults and children 2 years of age and above.</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have achieved market access for IMCIVREE for BBS or POMC and LEPR deficiencies, or both, in more than 15 countries outside the United States, and we continue to collaborate with authorities to achieve access in additional markets.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we are focused on commercial access for IMCIVREE for BBS and POMC and LEPR deficiencies, we are working with the broader community of patients and families, physicians, scientists and more to engage with them on the impact of hyperphagia and severe obesity caused by rare MC4R pathway diseases. Individually, populations with each of these MC4R pathway diseases are rare, and affected patients face many of the same challenges as any classically rare disease patient populations. There is little or no awareness about rare MC4R pathway diseases, and the patients suffering from them are lost in the health care system, with limited educational resources and no effective treatments for their condition. All our efforts and services described above are designed to address the challenges of rare diseases and lay the groundwork for potential future launches, with a focus on scalability.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with general obesity medications in a number of jurisdictions, many of which have substantially greater name recognition, commercial infrastructures and financial, technical and personnel resources than we have. Established competitors may invest heavily to quickly discover and develop compounds that could make setmelanotide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setmelanotide. If we are not able to compete effectively against our current and future competitors, our business will not grow, and our financial condition and operations will suffer.</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Currently, IMCIVREE is the only approved treatment for weight management in patients with obesity due to BBS or POMC, PCSK1 or LEPR deficiencies, and there are no other approved treatments for addressing hyperphagia related behaviors of patients with rare MC4R pathway diseases. Metabolic and bariatric surgery may be less effective at achieving long-term weight loss in patients with MC4R pathway diseases given that hyperphagia increases risk of weight regain. Also, existing therapies indicated for general obesity and those in clinical development for the same, such as incretin therapies that target the receptors for the hormones glucagon-like peptide-1 (GLP-1) and glucose-stimulated insulinotropic polypeptide (GIP), do not specifically target or restore function impaired by genetic deficiencies and trauma to the hypothalamus that disrupt MC4R pathway signaling, which we believe is a root cause of hyperphagia and obesity in patients with these diseases. Studies such as the SURMOUNT 1 study, which served as the basis of the FDA approval of tirzepitide for obesity, specifically excluded patients with: “obesity induced by other endocrinologic disorders or monogenetic or syndromic forms of obesity.” In addition, several companies report having early-stage programs that are exploring MC4R agonisms.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Ipsen Pharma S.A.S.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Pursuant to our March 21, 2013 license agreement with Ipsen Pharma S.A.S., or Ipsen, we have an exclusive, sublicensable, worldwide license to certain patents and other intellectual property rights to research, develop, and commercialize compounds that were discovered or researched by Ipsen in the course of conducting its MC4R program or that otherwise were covered by the licensed patents. Rights under the license included the right to research, develop and commercialize setmelanotide. Pursuant to the license, we have a non-exclusive, sublicensable, worldwide license to certain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patents and other intellectual property rights that were licensed by Ipsen from a third-party or that Ipsen may develop in the future to research, develop, and commercialize any of the compounds exclusively licensed by Ipsen pursuant to the license.</w:t>
      </w:r>
    </w:p>
    <w:p>
      <w:pPr>
        <w:spacing w:after="0" w:line="14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Ipsen license agreement, Ipsen is eligible to receive payments of up to $40.0 million upon the achievement of certain milestones in connection with the development, regulatory approval and commercialization of applicable licensed products, and royalties on future sales of the licensed products. Substantially, all of the aggregate payments under the Ipsen license agreement are for milestones that may be achieved no earlier than first commercial sale of the applicable licensed product, and as of December 31, 2024, we have paid $4.0 million in clinical and regulatory milestones and $9.0 million in commercial milestones. Royalties in the mid-single digits on future sales of the applicable licensed products will be due under the Ipsen license agreement on a licensed product-by-licensed product and country-by-country basis until the later of the date when sales of a licensed product in a particular country are no longer covered by patent rights licensed pursuant to the Ipsen license agreement and the tenth anniversary of the date of the first commercial sale of the applicable licensed product in the applicable country. The term of the Ipsen license agreement continues until the expiration of the applicable royalty term on a country-by-country and product-by-product basis. Upon expiration of the term of the agreement, the licensed rights granted to us under the agreement, to the extent they remain in effect at the time of expiration, will thereafter become irrevocable, perpetual and fully paid-up licenses that survive the expiration of the term. We have a right to terminate the license agreement at any time during the term for any reason on 180 days’ written notice to Ipsen. Ipsen has a right to terminate the agreement prior to expiration of its term for our material breach of the agreement, our failure to initiate or complete development of a licensed product or our bringing an action seeking to have an Ipsen license patent right declared invalid. Upon any early termination of the license agreement not due to Ipsen’s material breach, all licensed rights granted under the license agreement will terminate.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Camurus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2016, we entered into a license agreement for the use of Camurus’ drug delivery technology, FluidCrystal®, to formulate setmelanotide in collaboration with Camurus. Under the terms of the agreement, Camurus granted us a worldwide license to the FluidCrystal® technology to formulate setmelanotide and to develop, manufacture, and commercialize this new formulation for once-weekly dosing, administered as a subcutaneous injection. The license granted to us is specific to the FluidCrystal® technology incorporating setmelanotide. Under the terms of the license agreement, we are responsible for manufacturing, development, and commercialization of the setmelanotide FluidCrystal® formulation worldwide. Camurus received a non-refundable and non-creditable upfront payment of $0.5 million in January 2016, and is eligible to receive progressive payments of approximately $65.0 million, of which the majority are sales milestones. As of December 31, 2024, we have made $2.3 million of milestone payments to Camurus. In addition, Camurus is eligible to receive tiered, mid to mid-high, single-digit royalties on future sales of the product.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term of the agreement continues until the expiration of the applicable royalty term on a country-by-country and product-by-product basis. Upon expiration of the term of the agreement, the licensed rights granted to us under the agreement, to the extent they remain in effect at the time of expiration, will thereafter become irrevocable, perpetual and fully paid-up licenses that survive the expiration of the term. We have a right to terminate the license agreement at any time during the term for any reason upon 90 days’ written notice to Camurus. Camurus has a right to terminate the agreement prior to expiration of its term for our material breach of the agreement, if we voluntarily or involuntarily file for bankruptcy, or for our bringing an action seeking to have a Camurus license patent right declared invalid. Upon any early termination of the license agreement not due to Camurus’ material breach, all licensed rights granted under the license agreement will terminate.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RareStone Group Ltd.</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an Exclusive License Agreement with RareStone,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Rhythm chooses to grant a license to develop or commercialize the licensed product in Taiwan.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 xml:space="preserve">According to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xml:space="preserve">, RareStone has agreed to seek local approvals to commercialize IMCIVREE for the treatment of obesity and hyperphagia due to POMC, PCSK1, or LEPR deficiency, as well as Bardet-Biedl and Alström syndromes. Additionally, RareStone agreed to fund efforts to identify and enroll patients from China in Rhythm’s global EMANATE trial, a Phase 3, randomized, double-blind, placebo-controlled trial to evaluate setmelanotide in four independent sub-studies in patients with obesity due to a heterozygous variant of POMC/PCSK1 or LEPR; certain variants of the SRC1 gene, and certain variants of the SH2B1 gene. According to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RareStone made an upfront payment to Rhythm of $7.0 million and issued Rhythm 1,077,586 ordinary shares. Rhythm will be eligible to receive development and commercialization milestones of up to $62.5 million, as well as tiered royalty payments on annual net sales of IMCIVREE.</w:t>
      </w:r>
    </w:p>
    <w:p>
      <w:pPr>
        <w:spacing w:after="0" w:line="18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October 28, 2022, we delivered written notice, or the October 2022 Notice, to RareStone that we have terminated the RareStone License for cause. In accordance with the October 2022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written notice to us that it objects to the claims in the October 2022 Notice, including our termination of the RareStone License for cause. On March 16, 2023, we provided written notice, or the March 2023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October 2022 Notice. On May 10, 2023, RareStone provided written notice to us reaffirming its objections to the claims in our October 2022 Notice and March 2023 Notice, including to our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 Since our last written response in January 2024, we have engaged in discussions with RareStone in an effort to reach a resolution, however, we cannot predict whether a resolution will ever be reached.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LG Chem</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January 2024, we entered into a license agreement and share issuance agreement with LG Chem, Ltd, or LGC. Under the terms of the license agreement, we obtained worldwide rights to exploit LGC’s proprietary compound bivamelagon and have assumed sponsorship of two ongoing LGC Phase 2 studies designed to evaluate safety, tolerability, pharmacokinetics and weight loss efficacy of bivamelagon. The SIGNAL trial is a randomized, placebo-controlled, double-blind study designed to enroll and evaluate approximately 28 patients with acquired hypothalamic obesity. Participants will receive one of three doses of bivamelagon by oral administration once daily for up to 52 weeks, and the primary endpoint of the study is the change from baseline in body mass index after 14 weeks of treatment. The open-label, single-arm, 16-week ROUTE trial is designed to enroll five patients with POMC or LEPR deficiency obesity.</w:t>
      </w:r>
    </w:p>
    <w:p>
      <w:pPr>
        <w:spacing w:after="0" w:line="192" w:lineRule="exact"/>
        <w:rPr>
          <w:sz w:val="20"/>
          <w:szCs w:val="20"/>
          <w:color w:val="auto"/>
        </w:rPr>
      </w:pPr>
    </w:p>
    <w:p>
      <w:pPr>
        <w:jc w:val="both"/>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paid LGC $40.0 million in cash and issued shares of our common stock with an aggregate value of $20.0 million. The shares were issued at a per share price equal to the ten-day volume weighted-average closing price for our common stock, calculated as of the trading day immediately prior to January 4, 2024. We also agreed to make a $40.0 million payment in cash 18 months after the effective date of the license agreement.</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and subject to, among other conditions, the completion of Phase 2 development of bivamelagon, we have agreed to pay LGC royalties of between low-to-mid single digit percent of net revenues from products covered by our patent portfolio directed toward the MC4R agonists, including setmelanotide, RM-718, and bivamelagon (collectively, our “MC4R portfolio”), including bivamelagon, commencing in 2029 and also dependent upon achievement of various regulatory and indication approvals, and subject to customary deductions and anti-stacking provisions. Royalties may further increase to a low, double-digit percent royalty, though such royalty would only be applicable on net sales of bivamelagon in a region if bivamelagon is covered by a composition of matter or method of use patent controlled by LGC in such region and our MC4R portfolio is not covered by any composition of matter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method of use patents controlled by us in such region. Such increased rate would only apply on net sales of bivamelagon for the limited remainder of the royalty term in the relevant region.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MC4R portfolio of licensed and exclusively owned patent families, which includes setmelanotide, RM-718, and bivamelagon, consists of 45 patent families currently being prosecuted or maintained, which include applications and patents directed to compositions of matter, formulations, and methods of making, and methods of treatment. These patent families have been filed in over 40 jurisdictions, including all major markets such as the United States, Europe, Australia, Brazil, Canada, China, India, Israel, Japan, Korea, Mexico, New Zealand, Russia, and Singapore. In the key patent families directed to selected peptide-based MC4R receptor agonists, including the composition of matter for setmelanotide, we have 10 issued United States patents and over 225 issued non-United States patents in various jurisdictions. Patents issuing in these patent families will have a standard 20-year term and expire between 2026 and 2045, in each instance provided that all appropriate maintenance fees are paid and not including any patent term adjustment, patent term extension, or supplementary protection certificates that may be available on a country-by-country basis. For example, in a key patent family providing composition of matter coverage for setmelanotide, we have received 5 years of patent term extension in the United States, extending patent protection in that patent family through 2032.</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patents and patent applications discussed above, we co-own one patent family with the University of Strasbourg and the French National Institute of Health and Medical Research, which is directed to specific uses of MC4R agonists. We also own three patent families directed to small molecule compounds for use in our CHI program, with patent claims that will expire when issued between 2043 and 2045, without factoring in any available patent term extension.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Protection Strategy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currently seek, and intend to continue seeking, patent protection whenever commercially reasonable for any patentable aspects of setmelanotide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 Our license from Ipsen for the melanocortin program requires Ipsen, subject to certain exceptions and upon consultation with us, to prosecute and maintain its patent rights as they relate to the licensed compounds and methods. If Ipsen decides to cease prosecution or maintenance of any of the licensed patent rights, we have the option to take over prosecution and maintenance of those patents and Ipsen will assign to us all of its rights in such patents. For those patent rights that we own exclusively, we control all prosecution and maintenance activities.</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positions of biopharmaceutical companies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the product candidate we in-license will be protectable or remain protected by enforceable patents. We cannot predict whether the patent applications we are currently pursuing will issue as patents in any particular jurisdiction, and furthermore, we cannot determine whether the claims of any issued patents will provide sufficient proprietary protection to protect us from competitors, or will be challenged, circumvented or invalidated by third parties. 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This potential issue is exacerbated by the fact that, prior to March 16, 2013, in the United States, the first to make the claimed invention may be entitled to the patent. On March 16, 2013, the United States transitioned to a “first to file” system in which the first inventor to file a patent application may be entitled to the patent. For applications filed prior to the institution of the “first to file” system, we may have to participate in interference proceedings declared by the United States Patent and Trademark Office, or PTO, or a foreign patent office to determine priority of invention. Moreover, we may have to participate in other proceedings declared by the United States PTO or a foreign patent office, such as post-grant proceedings and oppositions, that challenge the validity of a granted patent. Such proceedings could result in substantial cost, even if the eventual outcome is favorable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Although we currently have issued patents directed to a number of different attributes of our products, and pending applications on others, there can be no assurance that any issued patents would be held valid by a court of competent jurisdiction. An adverse outcome could subject us to significant liabilities to third parties, require disputed rights to be licensed from third parties or require us to cease using specific compounds or technology. To the extent prudent, we intend to bring litigation against third parties that we believe are infringing our patents.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United States PTO in granting a patent, or may be shortened if a patent is terminally disclaimed over another patent with an earlier expiration date.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mentioned above, in the United States, the patent term of a patent that covers an FDA-approved drug may also be eligible for patent term extension, which permits patent term restoration as compensation for the patent term lost during the FDA regulatory review process. IMCIVREE has received FDA approval and we have been awarded patent term extension on that product. In the future, if and when our other pharmaceutical products receive FDA approval, we expect to apply for patent term extensions on patents covering those products. We intend to seek patent term adjustments and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adjustments or extensions.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To protect our rights to any of our issued patents and proprietary information, we may need to litigate against infringing third parties, or avail ourselves of the courts, or participate in hearings to determine the scope and validity of those patents or other proprietary rights. These types of proceedings are often costly and could be very time-consuming to us, and we cannot be certain that the deciding authorities will rule in our favor. An unfavorable decision could result in the invalidation or a limitation in the scope of our patents or forfeiture of the rights associated with our patents or pending patent applications. Any such decision could result in our key technologies not being protectable, allowing third parties to use our technology without being required to pay us licensing fees or may compel us to license needed technologies from third parties to avoid infringing third-party patent and proprietary rights. Such a decision could even result in the invalidation or a limitation in the scope of our patents or could cause us to lose our rights under existing issued patents or not to have rights granted under our pending patent applications.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Although we take steps to protect our proprietary information and trade secrets, including through contractual means with our employees and consultants, no assurances can be given that others will not independently develop substantially equivalent proprietary information and techniques or otherwise gain access to our trade secrets or disclose such technology, or that we can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In the case of employees, the confidentiality agreements further provide that all inventions conceived by the individual will be our exclusive property. There can be no assurance, however, that these agreements will provide meaningful protection or adequate remedies for our trade secrets in the event of unauthorized use or disclosure of such information.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currently contract with various third parties for the manufacture of setmelanotide and intend to continue to do so in the future. We have entered into process development and manufacturing service agreements with our CMOs, Corden Pharma Brussels S.A, or Corden (formerly Peptisyntha SA prior to its acquisition by Corden), PolyPeptide Group, Braine L’Alleud, or Polypeptide, Neuland Laboratories, and Recipharm Monts S.A.S for certain process development and manufacturing services for regulatory starting materials and/or drug substance, or API, and drug product in connection with the manufacture of setmelanotide. We have also entered into commercial supply agreements with both Polypeptide and Recipharm. Under our agreements, we pay these third parties for services and/or manufacture of setmelanotide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accordance with the terms of mutually agreed upon work orders, which we may enter into from time to time. We may need to engage additional third-party suppliers to manufacture our clinical and commercial drug supplies in the future. In connection with our commercialization of setmelanotide or any future product candidate, we have engaged and could need to engage other third parties to assist in manufacturing and/or supply chain related aspects. While there are a limited number of companies that can produce raw materials and API in the quantities and with the quality and purity that we require for our product, based on our diligence to date, we believe our current network of manufacturing partners are able to fulfill these requirements, and are capable of continuing to expand capacity as needed. Additionally, we have, and will continue to evaluate further relationships with additional suppliers to increase overall capacity as well as further reduce risks associated with reliance on a limited number of suppliers for manufacturing. Under the current agreements, each party is subject to customary indemnification provisions.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contract manufacturing agreements give us visibility into the expected future cost of producing setmelanotide at commercial scale. Based upon a range of prices of currently-marketed therapies indicated for orphan diseases, we believe that our cost of goods for setmelanotide will be highly competitive.</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currently have no plans to build our own clinical or commercial scale manufacturing capabilities. To meet our projected needs for clinical supplies to support our activities through regulatory approval and commercial manufacturing, the CMOs with whom we currently work may need to increase scale of production or we expect that we may need to secure additional capacity or seek alternate suppliers. We believe that our current suppliers and CMOs are able to scale production to meet our clinical and commercial demands. Because we rely on these CMOs, we have personnel with pharmaceutical development and manufacturing experience who are responsible for maintaining our CMO relationships.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Setmelanotide is distributed in the United States through our specialty pharmacy and in the EU/UK through third-party service providers that deliver the medication to patients. We plan to continue building out our network for commercial distribution in jurisdictions in which setmelanotide is approved.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or NDA, process or by comparable foreign regulatory authorities through similar applications before it may be legally marketed in the United States and in foreign jurisdictions.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The process of obtaining regulatory approvals and the subsequent compliance with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state, local and foreign statutes and regulations require the expenditure of substantial time and financial resources.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207" w:lineRule="exact"/>
        <w:rPr>
          <w:sz w:val="20"/>
          <w:szCs w:val="20"/>
          <w:color w:val="auto"/>
        </w:rPr>
      </w:pPr>
    </w:p>
    <w:p>
      <w:pPr>
        <w:jc w:val="both"/>
        <w:ind w:left="1380" w:right="7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certain of which must be conducted in accordance with FDA’s Good Laboratory Practice requirements and other applicable regulations;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for its intended use;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after completion of all pivotal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p>
      <w:pPr>
        <w:spacing w:after="0" w:line="183"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a sponsor must submit an IND to the FDA. An IND is a request for allowance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allowance to begin a clinical trial.</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among other things,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suggesting a significant risk to humans, and any clinically important increased incidence of a serious suspected adverse reaction compared to that listed in the protocol or investigator brochure.</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both"/>
        <w:ind w:left="1380" w:right="79" w:hanging="331"/>
        <w:spacing w:after="0" w:line="261"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of post-market studies or clinical studies to assess new safety risks; or imposition of distribution restrictions or other restrictions under a REMS program. Other potential consequences include, among other things:</w:t>
      </w:r>
    </w:p>
    <w:p>
      <w:pPr>
        <w:spacing w:after="0" w:line="162" w:lineRule="exact"/>
        <w:rPr>
          <w:sz w:val="20"/>
          <w:szCs w:val="20"/>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including, for example, new indications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dosages ,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existing periods of regulatory exclusivity if a sponsor conducts clinical trials in children in response to a written request from the FDA. The issuance of a written request from the FDA does not require the sponsor to undertake the described clinical trials. In addition, orphan drug exclusivity, as described above, may offer a seven-year period of marketing exclusivity, except in certain circumstances.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22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If safe and effective use of a therapeutic product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 then the FDA generally will require approval or clearance of that diagnostic, known as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at the same time that the FDA approves the therapeutic product. 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According to the guidance, for novel drugs,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FDA determines that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is essential to the safe and effective use of a novel therapeutic product or indication, the FDA generally will not approve the therapeutic product or new therapeutic product indication if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is not approved or cleared for that indication. Approval or clearance of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will ensure that the device has been adequately evaluated and has adequate performance characteristics in the intended population.</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are generally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18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After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is authorized by the FDA and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covers the methods and documentation of the design, testing, production, processes, controls, quality assurance, labeling, packaging and shipping of medical devices. Manufacturing sites for devices also remain subject to periodic unscheduled inspections by the FDA.</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United States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In reviewing the NDA for such a product, however, FDA reviewers would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QSR applicable to medical devices.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setmelanotide to the extent we choose to sell any setmelanotide outside of the United States. Whether or not we obtain FDA approval for a product, we must obtain approval of a product by equivalent competent authorities in foreign jurisdictions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pharmacovigilance, promotion, advertising or distribution would apply to any product that is approved outside the United States.</w:t>
      </w:r>
    </w:p>
    <w:p>
      <w:pPr>
        <w:spacing w:after="0" w:line="184" w:lineRule="exact"/>
        <w:rPr>
          <w:sz w:val="20"/>
          <w:szCs w:val="20"/>
          <w:color w:val="auto"/>
        </w:rPr>
      </w:pPr>
    </w:p>
    <w:p>
      <w:pPr>
        <w:ind w:left="60" w:right="739"/>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and Procedures Governing Marketing Authorization of Medicinal Products in the European Union </w:t>
      </w:r>
      <w:r>
        <w:rPr>
          <w:rFonts w:ascii="Times New Roman" w:cs="Times New Roman" w:eastAsia="Times New Roman" w:hAnsi="Times New Roman"/>
          <w:sz w:val="18"/>
          <w:szCs w:val="18"/>
          <w:i w:val="1"/>
          <w:iCs w:val="1"/>
          <w:color w:val="auto"/>
        </w:rPr>
        <w:t>Non-clinical studies and clinical trials</w:t>
      </w:r>
    </w:p>
    <w:p>
      <w:pPr>
        <w:spacing w:after="0" w:line="4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Non-clinical studies are performed to demonstrate the health or environmental safety of new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 In particular, non-clinical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(GMP).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national and EU-wide regulatory requirements may also apply.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EU, medicinal product candidates can only be commercialized after obtaining a marketing authorization, (MA). To obtain regulatory approval of a product candidate in the EU, we must submit an MA application, (MAA). The process for doing this depends, among other things, on the nature of the medicinal product.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are two types of MAs:</w:t>
      </w:r>
    </w:p>
    <w:p>
      <w:pPr>
        <w:spacing w:after="0" w:line="225" w:lineRule="exact"/>
        <w:rPr>
          <w:sz w:val="20"/>
          <w:szCs w:val="20"/>
          <w:color w:val="auto"/>
        </w:rPr>
      </w:pPr>
    </w:p>
    <w:p>
      <w:pPr>
        <w:jc w:val="both"/>
        <w:ind w:left="1040" w:right="79" w:hanging="315"/>
        <w:spacing w:after="0" w:line="253"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(EC) through the centralized procedure, based on the opinion of the Committee for Medicinal Products for Human Use (CHMP) of the European Medicines Agency (EMA) and are valid throughout the EU. The centralized procedure is mandatory for certain types of products, such as (i) medicinal products derived from biotechnological processes, (ii) designated orphan medicinal products, (iii) advanced therapy medicinal products (ATMPs) such as gene therapy, somatic cell-therapy or tissue-engineered medicines, and (iv) medicinal products containing a new active substance indicated for the treatment certain diseases, such as HIV/AIDS, cancer, neurodegenerative diseases, diabetes, auto-immune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191"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MA has an initial validity for five years in principle. The MA may be renewed after five years on the basis of a re-evaluation of the risk-benefit balance by the EMA or by the competent authority of the EU member state. To this end, the MA holder must provide the EMA or the competent authority with a consolidated version of the file in respect of quality, safety and efficacy, including all variations introduced since the MA was granted, at least six months before the MA ceases to be valid. The European Commission or the competent authorities of the EU member states may decide, on justified grounds relating to pharmacovigilance, to proceed with one further five year period of MA. Once subsequently definitively renewed, the MA shall be valid for an unlimited period. Any authorization which is not followed by the actual placing of the medicinal product on the EU market or on the market of the authorizing EU member state(s) within three years after authorization ceases to be valid (the so-called “sunset clause”).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CHMP is 210 days, excluding clock stops, when additional information or written or oral explanation is to be provided by the applicant in response to questions of the CHMP.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In March 2016, the EMA launched an initiative, the Priority Medicines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9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for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EU also provides opportunities for market exclusivity. Upon receiving MA, reference product candidates generally receive eight years of data exclusivity and an additional two years of market exclusivity. If granted, the data exclusivity period prevents applicants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market exclusivity period, an application for a generic or biosimilar MA can be submitted and a related MA may be granted, and the innovator’s data may be referenced, but no generic or biosimilar can be placed on the EU market until 10 years have elapsed from the initial MA of the reference product in the EU. The overall ten-year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227"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 are similar in principle to those in the United States. Regulation (EC) No. 141/2000, as implemented by Regulation (EC) No. 847/2000 provides that a medicinal product can be designated as an orphan if its sponsor can establish that: (1) the product is intended for the diagnosis, prevention or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treatment of a life threatening or chronically debilitating condition; (2) either (a) such condition affects not more than five in ten thousand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in the EU or, if such method exists, the medicinal product will be of significant benefit to those affected by that condition.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an application for designation as an orphan product can be made any time prior to the filing of the application for MA. Orphan designation entitles a party to incentives such fee reductions or fee waivers, protocol assistance, and access to the centralized procedure. Once authorized, orphan medicinal products are entitled to a ten-years period of market exclusivity for the approved therapeutic indication, which means that the competent authorities cannot accept another MAA, or grant a MA, or accept an application to extend a MA for a similar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orphan exclusivity period may, however,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Granting of an authorization for another similar orphan medicinal product where another product has market exclusivity can happen at any time if: (i) the second applicant can establish that its product, although similar to the authorized product, is safer, more effective or otherwise clinically superior, (ii) inability of the applicant to supply sufficient quantities of the orphan medicinal product or (iii) where the applicant consents to a second orphan medicinal product application. A company may voluntarily remove a product from the orphan register.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PIP agreed with the EMA’s Pediatric Committee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Regulation of Combination Products in the European Union</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EU Medical Devices Regulation (including the general safety and performance requirements provided in Annex I).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7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effective on January 1, 2022.</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European Union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EU, in vitro diagnostic medical devices were regulated by Directive 98/79/EC (IVDD) which regulated the placing on the market, the CE marking, the essential requirements, the conformity assessment procedures, the registration obligations for manufactures and devices as well as the vigilance procedure. In vitro diagnostic medical devices had to comply with the requirements provided for in the Directive, and with further requirements implemented at national level (as the case may be).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regulation of companion diagnostics is subject to further requirements since the in vitro diagnostic medical devices Regulation No 2017/746 (IVDR) became applicable on May 26, 2022. Following subsequent legislative changes, European institutions adopted a “progressive” roll-out of the IVDR to prevent disruption in the supply of in vitro diagnostic medical devices. The IVDR fully applies since May 26, 2022 but there is a tiered system extending the grace period for many devices (depending on their risk classification) before they have to be fully compliant with the IVDR.</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a national competent authority or the EMA.</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17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EU legislation such as the EU CTR or in relation to orphan medicines is not be applicable.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(MHRA) is the UK’s standalone medicines and medical devices regulator. As a result of the Northern Ireland protocol, different rules will apply in Northern Ireland than in England, Wales, and Scotland, together, Great Britain (GB); broadly, Northern Ireland will continue to follow the EU regulatory regime, but its national competent authority will remain the MHRA. On February 27, 2023, the UK Government and the European Commission reached a political agreement on the “Windsor Framework” which will revise the Protocol on Ireland/Northern Ireland in order to address some of the perceived shortcomings in its operation. Under the changes, Northern Ireland will be reintegrated under the regulatory authority of the MHRA with respect to medicinal products.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After Brexit, companies established in the UK cannot use the centralized procedure and instead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will be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on June 26, 2022, the MHRA published its response to a 10-week consultation on the post-Brexit regulatory framework for medical devices and diagnostics. In this response the MHRA confirmed that it would bring forward legislative changes to the UK Medical Devices Regulations 2002 (which are based on EU legislation, primarily the EU Medical Devices Directive and the (EU) IVDD), in particular to create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Regulations implementing the new regime were originally scheduled to come into force in July 2023, but have recently been postponed to July 2025. Devices bearing CE marks issued by EU notified bodies under the EU Medical Devices Regulation or EU Medical Devices Directive are now subject to transitional arrangements. The UK Government has introduced legislation that provides that CE-marked medical devices may be placed on the GB market on the following timelines:</w:t>
      </w:r>
    </w:p>
    <w:p>
      <w:pPr>
        <w:spacing w:after="0" w:line="192" w:lineRule="exact"/>
        <w:rPr>
          <w:sz w:val="20"/>
          <w:szCs w:val="20"/>
          <w:color w:val="auto"/>
        </w:rPr>
      </w:pPr>
    </w:p>
    <w:p>
      <w:pPr>
        <w:jc w:val="both"/>
        <w:ind w:left="1040" w:right="79" w:hanging="315"/>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medical devices compliant with the EU Medical Devices Directive or EU Active Implantable Medical Devices Directive with a valid declaration and CE marking can be placed on the GB market up until the sooner of expiry of the certificate or June 30, 2028; and</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medical devices, including custom-made devices, compliant with the EU Medical Devices Regulation can be placed on the GB market up until June 30, 2030.</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Following these transitional periods, it is expected that all medical devices will require a UK Conformity Assessed (UKCA) mark. Manufacturers may choose to use the UKCA mark on a voluntary basis until June 30, 2023.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GB.</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Pharmaceutical Coverage and Reimbursement</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Government and third-party payors to reimburse all or part of the associated healthcare costs. Patients are unlikely to use IMCIVREE unless coverage is provided and reimbursement is adequate to cover a significant portion of the cost of our products. Significant uncertainty exists as to the coverage and reimbursement status of products approved by the FDA and other government authorities. Sales will depend, in part, on the extent to which third-party payors, including government health programs in the United States such as Medicare and Medicaid, commercial health insurers and managed care organizations, provide coverage, and establish adequate reimbursement for, IMCIVREE and other product candidates we may develop and obtain approval for in the future.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coverage to specific products on an approved list, also known as a formulary, which might not include all of the approved products for a particular indication.</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setmelanotide may not be considered medically necessary or cost effective. A decision by a third-party payor not to cover IMCIVREE or any of our product candidates, if approved, could reduce physician utilization of our products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setmelanotide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setmelanotide or products to other available therapies. The conduct of such a clinical trial could be expensive and result in delays in our commercialization efforts. We are also enrolled in the Medicaid Drug Rebate Program and other governmental pricing programs, and have price reporting and payment obligations under these programs.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one member state to another. Some member states may require the completion of additional studies that compare the cost-effectiveness of a particular medicinal product candidate to currently available therapies or so called Health Technology Assessments (HTA),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The downward pressure on healthcare costs in general, and particularly in relation to prescription only medicinal products, has become more intense. As a result, increasingly high barriers are being erected to the entry of new products.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HTA of medicinal products is, however, becoming an increasingly common part of the pricing and reimbursement procedures in some EU member states, including France, Germany, Ireland, Italy, Spain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varies between EU member states. In addition, pursuant to Directive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2011/24/EU on the application of patients’ rights in cross-border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healthcare regulation and enforcement by the federal government and the states where we conduct business. These laws include, without limitation, state and federal anti-kickback, fraud and abuse, false claims, and physician and other healthcare provider payment transparency laws and regulations. Foreign governments also have comparable regulations.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these statutes or specific intent to violate them to have committed a violation. The majority of states also have anti-kickback laws which establish similar prohibitions and in some cases may apply to items or services reimbursed by any third-party payor, including commercial insurers.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In addition, the government may assert 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in connection with the promotion of products for unapproved uses and other sales and marketing practices. The government has obtained multi-billion dollar settlements under the False Claims Act in addition to individual criminal convictions under applicable criminal statutes. We expect that the government will continue to devote substantial resources to investigating healthcare providers’ and manufacturers’ compliance with applicable fraud and abuse laws.</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things, knowingly and willfully executing a scheme to defraud any healthcare benefit program and making false statements relating to healthcare matters. Similar to the federal Anti-Kickback Statute, a person or entity does not need to have actual knowledge of these statutes or specific intent to violate them to have committed a violation.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federal civil monetary penalties laws,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there has been increased federal and state regulation of payments made to physicians and other healthcare providers. The Physician Payments Sunshine Act imposes new reporting requirements on drug manufacturers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Drug manufacturers must report such payments to the government by the 90th day of each calendar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State and foreign laws and regulations restrict business practices in the pharmaceutical industry and complicate our compliance efforts. For example, some states require companies to comply with the pharmaceutical industry’s voluntary compliance guidelines and the federal government’s compliance guidance or otherwise restrict payments to healthcare providers and other potential referral sources. Some states require manufacturers to file reports relating to pricing and marketing information. Some state and local governments require the public registration of pharmaceutical sales representatives. Certain states also mandate implementation of commercial compliance programs, impose restrictions on drug manufacturer marketing practices and/or require the tracking and reporting of gifts, compensation and other remuneration to physicians.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Violation of any of such laws or any other governmental regulations that may apply to drug manufacturers may result in penalties, including, without limitation, civil and criminal penalties, damages, fines, the curtailment or restructuring of our operations, exclusion from participation in federal and state healthcare programs and imprisonment.</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national laws (including anti-bribery laws) of the EU member states. In the UK, the UK Bribery Act 2010 applies to any company incorporated in or “carrying on business”, irrespective of where in the world the alleged bribery activity occurs. This Act could have implications for our interactions with physicians in and outside the UK. Violation of these laws could result in substantial fines and imprisonment.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must often be the subject of prior notification and/or approval by the physician’s employer, their competent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Failure to comply with the EU legislation and national laws on medicinal products including on the promotion of medicinal products, interactions with physicians, misleading and comparative advertising and unfair commercial practices, statutory health insurance, bribery and anti-corruption or with other applicable regulatory requirements can result in enforcement action by the EU member state authorities, which may include any of the following: fines, imprisonment, orders forfeiting products or prohibiting or suspending their supply to the market, or requiring the manufacturer to issue public warnings, or to conduct a product recall.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Patient Protection and Affordable Care Act, or signed the ACA, was signed into law, which, among other things, included changes to the coverage and payment for products under government health care programs. Among the provisions of the ACA of importance to IMCIVREE and our potential drug candidates are:</w:t>
      </w:r>
    </w:p>
    <w:p>
      <w:pPr>
        <w:spacing w:after="0" w:line="183" w:lineRule="exact"/>
        <w:rPr>
          <w:sz w:val="20"/>
          <w:szCs w:val="20"/>
          <w:color w:val="auto"/>
        </w:rPr>
      </w:pPr>
    </w:p>
    <w:p>
      <w:pPr>
        <w:jc w:val="both"/>
        <w:ind w:left="1040" w:right="7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Medicaid managed care plans;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 and</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 to lower Medicare and Medicaid spending, potentially including prescription drug spending.</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 These changes included an aggregate reduction in Medicare payments to providers, which went into effect on April 1, 2013 and will remain in effect through 2032,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AMP.</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Most significantly, in August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the pharmaceutical industry cannot yet be fully determined, it is likely to be significant.</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Moreover, the federal government and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disclosure and other transparency measures. Some states have enacted legislation creating so-called prescription drug affordability boards, which ultimately may attempt to impose price limits on certain drugs in these states. These new laws and the regulations and policies implementing them, as well as other healthcare-related measures that may be adopted in the future, could materially reduce our ability to develop and commercialize IMCIVREE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if approved.</w:t>
      </w:r>
    </w:p>
    <w:p>
      <w:pPr>
        <w:spacing w:after="0" w:line="20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on December 15,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expanding the reach of Rhythm across many fronts - the number of addressable patients, indications, geographies, pipeline assets and employees – and we fully recognize that having the talent, experience and expertise is crucial to do so. With a disciplined, sustainable, and resilient approach, we are working to execute on a global strategy built on translational research and clinical development expertise, global regulatory capabilities, and proven commercial and market access successes. As of February 1, 2025, we had 283 employees – including 76 employees in 11 countries outside of North America, and we believe our employees are committed to learning from and collaborating with each other, each contributing to our mission. In 2024, the number of employees increased by 21 percent and we are proud to have maintained a rolling turnover rate of less than 11 percent. We believe we are recruiting and onboarding high quality talent in a competitive biotech environment, and our employees are choosing to stay and grow at Rhythm. We have been named to The Boston Globe’s Top Places to Work in Massachusetts list for 2023 and 2024.</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hire and retain highly skilled employees. We emphasize several measures and objectives in managing our human capital assets, including, among others, employee engagement and belonging, development and training, talent acquisition and retention, employee wellness, inclusion, and competitive compensation and pay equity. We frequently assess the external market with the aim to provide our employees with competitive salaries, bonuses, opportunities for equity ownership, development opportunities that enable continued learning and growth and a robust employment package that promotes well-being across various aspects of their lives, including health care, retirement planning and paid time off. In addition, we regularly collect employee feedback in an effort to ensure open communication, measure employee engagement and identify opportunities for improvement. We maintain efforts to ensure our employees are enabled to take advantage of flexible working arrangements.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developing an inclusive culture is critical to continuing to attract and retain the top talent necessary to deliver on our growth strategy. As such, we are investing in a work environment where our employees feel inspired and included; it is our policy to pursue the best talent and to not make employment (including hiring, promotion,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or compensation) or other contracting decisions on the basis of any legally protected characteristics. We continue to focus on ensuring our employees understand and embrace our commitment to our patient community and our focus on changing the paradigm for treatment of rare genetic diseases of obesity. We value our employees’ courage to ask bold questions and their commitment to learning and collaboration, as each person brings a unique contribution to furthering our mission. Grounded in these guiding principles, we believe we have developed a collaborative environment where our colleagues feel respected, valued, and inspired to contribute to their fullest potential.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Delaware corporation organized in February 2013. We were originally incorporated under the name Rhythm Metabolic, Inc., and as of October 2015, under the name Rhythm Pharmaceuticals, Inc. Our principal executive offices are located at 222 Berkeley Street, 12th Floor, Boston, MA 02116, and our telephone number is (857) 264-4280. Our website is www.rhythmtx.com. Information that is contained on, or that can be accessed through, our website is not incorporated by reference into this Annual Report, and you should not consider information on our website to be part of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the investor relations portion of our website our Annual Reports on Form 10-K, Quarterly Reports on Form 10-Q, Current Reports on Form 8-K, Proxy Statements for our annual meetings of stockholders, and amendments to those reports, as soon as reasonably practicable after we file such material with, or furnish it to, the Securities and Exchange Commission, or SEC. These filings are available for download free of charge on the investor relations portion of our website located at https://ir.rhythmtx.com. The SEC also maintains a website that contains reports, proxy statements and other information about issuers, like us, that file electronically with the SEC. The address of that website is https://www.sec.gov.</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Annual Report on Form 10-K for the period ended December 31, 2024 (the “Annual Report”), including our audited condensed consolidated financial statements and the related notes thereto, and “Management’s Discussion and Analysis of Financial Condition and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00" w:lineRule="exact"/>
        <w:rPr>
          <w:sz w:val="20"/>
          <w:szCs w:val="20"/>
          <w:color w:val="auto"/>
        </w:rPr>
      </w:pPr>
    </w:p>
    <w:p>
      <w:pPr>
        <w:spacing w:after="0" w:line="24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 global,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generated approximately $227.6 million of revenue from product sales. In the United States, IMCIVREE is approved to reduce excess body weight and maintain weight reduction long term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of uncertain significance. In total, to date we have achieved market access or named patient sales of IMCIVREE for BBS or POMC and LEPR deficiencies, or both, in more than 15 countries outside the United States, and we continue to collaborate with authorities to achieve access in additional markets.</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There can be no assurance that regulatory approvals will be received or if received that they will be received when anticipated and ultimately we may fail to realize the anticipated benefits of our CHI program or those benefits may take longer to realize than expected.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net losses were $260.6 million and $184.7 million for the years ended December 31, 2024 and 2023, respectively. As of December 31, 2024, we had an accumulated deficit of $1,155.3 million.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(now in Phase 2 clinical trials),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since we have market access for IMCIVREE for BBS or POMC and LEPR deficiencies, or both, in more than 15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As of December 31, 2024, we have generated approximately $227.6 million of revenue from product sales. Our ability to generate revenue depends on a number of factors, including, but not limited to, our ability to:</w:t>
      </w:r>
    </w:p>
    <w:p>
      <w:pPr>
        <w:spacing w:after="0" w:line="176" w:lineRule="exact"/>
        <w:rPr>
          <w:sz w:val="20"/>
          <w:szCs w:val="20"/>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setmelanotide by building a commercial organization and/or entering into collaborations with third parties;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IMCIVREE is available to patients;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achieve market acceptance of setmelanotide in the medical community and with third-party payors;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later-stage clinical trials for setmelanotide, RM-718, bivamelagon, or other product candidates that meet their clinical endpoints;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all studies required to obtain U.S. and foreign marketing approvals for setmelanotide as a treatment to address patients with deficiencies affecting the MC4R pathway; and</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setmelanotide, or RM-718 and bivamelagon if approved.</w:t>
      </w:r>
    </w:p>
    <w:p>
      <w:pPr>
        <w:spacing w:after="0" w:line="15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August 2015 through August 2017, we raised aggregate net proceeds of $80.8 million through our issuance of series A preferred stock. In connection with our initial public offering, or IPO, in October 2017 and our underwritten follow-on offerings through December 2024, we raised aggregate net proceeds of approximately $832.7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million, conditioned upon our achievement of certain clinical development and sales milestones. As of December 31, 2024, we have received $96.7 million of aggregate proceeds, net of debt issuance costs, under the RIFA. We also received $147.8 million in net proceeds under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December 31, 2024, our cash and cash equivalents and short-term investments were approximately $320.6 million. We expect that our existing cash and cash equivalents and short-term investments will be sufficient to fund our operations into 2027.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9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RIFA Investment Amount, net of debt issuance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costs, following the achievement of a specified amount of cumulative net sales of IMCIVREE between July 1, 2022 and September 30, 2023.</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RIFA Investors a tiered royalty on our annual net revenues (the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December 31, 2024 we have made $20.4 million of payments, including $12.9 million in the year ended December 31, 2024.</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RIFA Investors’ rights to receive the Revenue Interests will terminate on the date on which the RIFA Investors have received payments equal to a certain percentage of the funded portion of the Investment Amount including 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RIFA could have significant negative consequences for our security holders and our business, results of operations and financial condition by, among other things:</w:t>
      </w:r>
    </w:p>
    <w:p>
      <w:pPr>
        <w:spacing w:after="0" w:line="162"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enter into IMCIVREE collaboration or other business agreements;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 and</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spacing w:after="0" w:line="16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additional debt (including without limitation additional amounts under the RIFA), the risks described above could increase.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Setmelanotide and Other Product Candidates and our CHI Program</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and BBS, and believe we have demonstrated proof of concept in Phase 2 clinical trials in impairments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LEPR </w:t>
      </w:r>
      <w:r>
        <w:rPr>
          <w:rFonts w:ascii="Times New Roman" w:cs="Times New Roman" w:eastAsia="Times New Roman" w:hAnsi="Times New Roman"/>
          <w:sz w:val="18"/>
          <w:szCs w:val="18"/>
          <w:color w:val="auto"/>
        </w:rPr>
        <w:t>genes (HET obesity), as well as the SRC1 and SH2B1 genes, all genetic diseases of extreme and unrelenting appetite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obesity. We hypothesize that patients with other upstream genetic variants in genes upstream of the MC4R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or magnitude of response sufficient to demonstrate statistical significance in such populations.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actively working to advance additional genetic variants related to patient populations carrying such genetic variants in other MC4R pathway related genes in the MC4R pathway through our clinical development programs. Our continued development efforts are focused on obesity related to several single gene, or monogenic, MC4R pathway impairments: BBS; obesity due to a genetic variant in one of the two alleles of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or HETs; obesity due to steroid receptor coactivator 1, or SRC1, variants; obesity due to SH2B adapter protein 1, or SH2B1; hypothalamic obesity; Prader-Willi Syndrome (PWS)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will be entirely independent of the others and, if successful, is designed to support separate regulatory submissions to the FDA and EMA in each studied population. However, the FDA and EMA may not view positive results in one sub-study, even if such results are statistically significant and clinically meaningful, as being sufficient for approval for any given indication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and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also disclose real-world data from early access programs in particular patient cohorts, which are not controlled trials and may not be predictive of future results.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2024, we entered into a license agreement and share issuance agreement with LGC. Pursuant to the terms of the license agreement, we obtained exclusive worldwide rights to develop LGC’s proprietary compound bivamelagon and assumed sponsorship of two ongoing LGC Phase 2 studies designed to evaluate safety, tolerability, pharmacokinetics and weight loss efficacy of bivamelagon, one of which remains ongoing. Subject to the completion of Phase 2 development of bivamelagon, we agreed to pay LGC royalties of between low-to-mid single digit percent of net revenues from our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and, under some circumstances, we could be subject to certain ongoing payments, penalties and fees, all of which in turn would have a material adverse effect on our business.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2024, our database had approximately 100,000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p>
      <w:pPr>
        <w:spacing w:after="0" w:line="174" w:lineRule="exact"/>
        <w:rPr>
          <w:sz w:val="20"/>
          <w:szCs w:val="20"/>
          <w:color w:val="auto"/>
        </w:rPr>
      </w:pPr>
    </w:p>
    <w:p>
      <w:pPr>
        <w:jc w:val="both"/>
        <w:ind w:left="1380" w:right="79" w:hanging="331"/>
        <w:spacing w:after="0" w:line="274"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Deficiency Obesity</w:t>
      </w:r>
      <w:r>
        <w:rPr>
          <w:rFonts w:ascii="Times New Roman" w:cs="Times New Roman" w:eastAsia="Times New Roman" w:hAnsi="Times New Roman"/>
          <w:sz w:val="18"/>
          <w:szCs w:val="18"/>
          <w:color w:val="auto"/>
        </w:rPr>
        <w:t>. POMC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spacing w:after="0" w:line="170" w:lineRule="exact"/>
        <w:rPr>
          <w:rFonts w:ascii="Times New Roman" w:cs="Times New Roman" w:eastAsia="Times New Roman" w:hAnsi="Times New Roman"/>
          <w:sz w:val="18"/>
          <w:szCs w:val="18"/>
          <w:color w:val="auto"/>
        </w:rPr>
      </w:pPr>
    </w:p>
    <w:p>
      <w:pPr>
        <w:jc w:val="both"/>
        <w:ind w:left="1700" w:right="79" w:hanging="327"/>
        <w:spacing w:after="0" w:line="269" w:lineRule="auto"/>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spacing w:after="0" w:line="187"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based on discussions with experts in rare diseases, that the number of diagnosed cases could increase several-fold with increased awareness of this deficiency and the availability of new treatments;</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76" w:lineRule="auto"/>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Centers for Disease Control and Prevention, or CDC, prevalence numbers for adults with severe obesity (body mass index, or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 and</w:t>
      </w:r>
    </w:p>
    <w:p>
      <w:pPr>
        <w:spacing w:after="0" w:line="166" w:lineRule="exact"/>
        <w:rPr>
          <w:rFonts w:ascii="Times New Roman" w:cs="Times New Roman" w:eastAsia="Times New Roman" w:hAnsi="Times New Roman"/>
          <w:sz w:val="18"/>
          <w:szCs w:val="18"/>
          <w:color w:val="auto"/>
        </w:rPr>
      </w:pPr>
    </w:p>
    <w:p>
      <w:pPr>
        <w:jc w:val="both"/>
        <w:ind w:left="1700" w:right="79" w:hanging="327"/>
        <w:spacing w:after="0" w:line="277" w:lineRule="auto"/>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POMC deficiency obesity patients (including both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gene diseases), defined as patients having biallelic variants in the</w:t>
      </w:r>
      <w:r>
        <w:rPr>
          <w:rFonts w:ascii="Times New Roman" w:cs="Times New Roman" w:eastAsia="Times New Roman" w:hAnsi="Times New Roman"/>
          <w:sz w:val="18"/>
          <w:szCs w:val="18"/>
          <w:i w:val="1"/>
          <w:iCs w:val="1"/>
          <w:color w:val="auto"/>
        </w:rPr>
        <w:t xml:space="preserve"> POMC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genes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interpreted as pathogenic, likely pathogenic, or of uncertain significance, of approximately 0.05%.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380" w:right="79" w:hanging="331"/>
        <w:spacing w:after="0" w:line="274"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LEPR Deficiency Obesity</w:t>
      </w:r>
      <w:r>
        <w:rPr>
          <w:rFonts w:ascii="Times New Roman" w:cs="Times New Roman" w:eastAsia="Times New Roman" w:hAnsi="Times New Roman"/>
          <w:sz w:val="18"/>
          <w:szCs w:val="18"/>
          <w:color w:val="auto"/>
        </w:rPr>
        <w:t>. LEPR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spacing w:after="0" w:line="170"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epidemiology studies on LEPR deficiency obesity in small cohorts of patients comprised of children with severe obesity and adults with severe obesity who have a history of early onset obesity;</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CDC prevalence numbers for adults with severe obesity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wider availability of genetic testing expected for LEPR deficiency obesity and increased awareness of new treatments, our belief that up to 40% of patients with these diseases may eventually be diagnosed; and</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LEPR deficiency obesity patients, defined as patients having biallelic variants in 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of approximately 0.09%.</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Bardet-Biedl Syndrome</w:t>
      </w:r>
      <w:r>
        <w:rPr>
          <w:rFonts w:ascii="Times New Roman" w:cs="Times New Roman" w:eastAsia="Times New Roman" w:hAnsi="Times New Roman"/>
          <w:sz w:val="18"/>
          <w:szCs w:val="18"/>
          <w:color w:val="auto"/>
        </w:rPr>
        <w:t>. Our addressable patient population estimate for BBS is approximately 4,000 to</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patients in the United States based on:</w:t>
      </w:r>
    </w:p>
    <w:p>
      <w:pPr>
        <w:spacing w:after="0" w:line="23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prevalence estimates of one in 100,000 in North America, which projects to approximately 3,250 people in the United States. We believe the majority of these patients are addressable patients;</w:t>
      </w:r>
    </w:p>
    <w:p>
      <w:pPr>
        <w:spacing w:after="0" w:line="16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our patient identification efforts in Europe where we believe there are approximately 1,500 patients diagnosed and being cared for at academic centers in Europe;</w:t>
      </w:r>
    </w:p>
    <w:p>
      <w:pPr>
        <w:spacing w:after="0" w:line="16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patient identification efforts to date in the United States;</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biallelic pathogenic or likely pathogenic variants in BBS genes of approximately 0.3%;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with wider availability of genetic testing expected for BBS and increased awareness of new treatments, the number of patients diagnosed with this disorder will increase.</w:t>
      </w:r>
    </w:p>
    <w:p>
      <w:pPr>
        <w:spacing w:after="0" w:line="160"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PCSK1, or LEPR Heterozygous Obesities; SRC1 and SH2B1 Obesities</w:t>
      </w:r>
      <w:r>
        <w:rPr>
          <w:rFonts w:ascii="Times New Roman" w:cs="Times New Roman" w:eastAsia="Times New Roman" w:hAnsi="Times New Roman"/>
          <w:sz w:val="18"/>
          <w:szCs w:val="18"/>
          <w:color w:val="auto"/>
        </w:rPr>
        <w:t>. Our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spacing w:after="0" w:line="170"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with onset prior to 6 years of age);</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of patients with POMC, PCSK1, or LEPR heterozygous, SRC1 or SH2B1 variants interpreted as pathogenic, likely pathogenic, or of uncertain significance of approximately 10-15%; and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79" w:hanging="327"/>
        <w:spacing w:after="0" w:line="297" w:lineRule="auto"/>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response rate of 40% for patients carrying pathogenic or likely pathogenic variants, and 20% for patients carrying a variant of uncertain significance.</w:t>
      </w:r>
    </w:p>
    <w:p>
      <w:pPr>
        <w:spacing w:after="0" w:line="163"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clinical response rate used in this calculation is based on the clinical data currently available to us from our trials and may change as more data become available.</w:t>
      </w:r>
    </w:p>
    <w:p>
      <w:pPr>
        <w:spacing w:after="0" w:line="160" w:lineRule="exact"/>
        <w:rPr>
          <w:sz w:val="20"/>
          <w:szCs w:val="20"/>
          <w:color w:val="auto"/>
        </w:rPr>
      </w:pPr>
    </w:p>
    <w:p>
      <w:pPr>
        <w:ind w:left="1380" w:right="79" w:hanging="331"/>
        <w:spacing w:after="0" w:line="300"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MC4R Deficiency Obesity</w:t>
      </w:r>
      <w:r>
        <w:rPr>
          <w:rFonts w:ascii="Times New Roman" w:cs="Times New Roman" w:eastAsia="Times New Roman" w:hAnsi="Times New Roman"/>
          <w:sz w:val="18"/>
          <w:szCs w:val="18"/>
          <w:color w:val="auto"/>
        </w:rPr>
        <w:t>. Our addressable patient population estimate for MC4R-rescuable deficiency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obesity is approximately 10,000 patients in the United States. This estimate is based on:</w:t>
      </w:r>
    </w:p>
    <w:p>
      <w:pPr>
        <w:spacing w:after="0" w:line="15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biochemical screening study indicating there may be a defined subset of individuals who carry MC4R variants that may be rescued by an MC4R agonist;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MC4R deficiency obesity patients of approximately 2.0% prior to application of functional filters.</w:t>
      </w:r>
    </w:p>
    <w:p>
      <w:pPr>
        <w:spacing w:after="0" w:line="16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Hypothalamic obesity</w:t>
      </w:r>
      <w:r>
        <w:rPr>
          <w:rFonts w:ascii="Times New Roman" w:cs="Times New Roman" w:eastAsia="Times New Roman" w:hAnsi="Times New Roman"/>
          <w:sz w:val="18"/>
          <w:szCs w:val="18"/>
          <w:color w:val="auto"/>
        </w:rPr>
        <w:t>. Our addressable patient population estimate for hypothalamic obesity (HO) is</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to 10,000 patients in the United States. This estimate is based on:</w:t>
      </w:r>
    </w:p>
    <w:p>
      <w:pPr>
        <w:spacing w:after="0" w:line="23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an underlying HO etiology such as craniopharyngioma (CP), astrocytoma, or other brain tumors with CP accounting for approximately 50% of HO etiologies;</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incidence of CP of approximately 1.3 to 2.2 per million per year in the United States, which projects to approximately 600 cases of CP per year based on a United States population of approximately 329 million;</w:t>
      </w:r>
    </w:p>
    <w:p>
      <w:pPr>
        <w:spacing w:after="0" w:line="163"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(based on a published range of 6% to 91%) of CP patients develop HO;</w:t>
      </w:r>
    </w:p>
    <w:p>
      <w:pPr>
        <w:spacing w:after="0" w:line="23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estimates of overall survival (OS) after CP diagnosis, with a 20-year OS of 84%;</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for patients that develop HO due to other factors besides CP, results in an estimated HO prevalence after CP diagnosis in the United States exceeding 2,500-7,500 patients;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Company estimate is based on reported incidence of hypothalamic obesity following CP and long-term survival rates.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Obesity due to a deficiency in the MC4R pathway caused by variants in the SEMA3 family, PHIP, TBX3 or PLXNA family. Our addressable patient population estimate for obesity patient with variants in these genes is approximately 63,500 patients in the United States. This estimate is based on:</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76" w:lineRule="auto"/>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p>
      <w:pPr>
        <w:spacing w:after="0" w:line="168"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additional marketing approvals could be delayed or prevented.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spacing w:after="0" w:line="194"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genetic markers to indicate which patients may be eligible for enrollment in our clinical trials;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planned clinical trial due to public health emergencies;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could result in increased costs to us and could delay, prevent or limit our ability to generate revenue, achieve profitability and continue our business.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Successful completion of our ongoing and planned clinical trials is a prerequisite to submitting an NDA or NDA supplement to the FDA, an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spacing w:after="0" w:line="174" w:lineRule="exact"/>
        <w:rPr>
          <w:sz w:val="20"/>
          <w:szCs w:val="20"/>
          <w:color w:val="auto"/>
        </w:rPr>
      </w:pPr>
    </w:p>
    <w:p>
      <w:pPr>
        <w:ind w:left="1040" w:right="79" w:hanging="315"/>
        <w:spacing w:after="0" w:line="300"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5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preclinical laboratory tests, animal studies and formulation studies in accordance with FDA’s good laboratory practice requirements and other applicable regulations;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authorization to proceed under an additional investigational new drug application, or IND, or similar foreign application if required;</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FDA and other regulatory agencies on study design and obtaining regulatory authorization to commence clinical trials;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or maintaining Institutional Review Board, or IRB, and/or ethics committee approval or opinion to conduct a clinical trial at a prospective site or sites;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setmelanotide, RM-718, bivamelagon or other materials necessary to conduct clinical trials, including delays in the manufacturing of sufficient supply of finished drug product;</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recruiting and training suitable clinical investigators;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suitable patients to participate in clinical trials;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 related side effects experienced by patients in a clinical trial, including side effects previously identified in our completed clinical trials;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perform in accordance with the FDA’s or any other regulatory authority’s GCPs or applicable regulatory guidelines in other countries;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setmelanotide, RM-718 or bivamelagon that are viewed to outweigh their potential benefits, or occurrence of adverse events in trial of the same or similar class of agents conducted by other companies;</w:t>
      </w:r>
    </w:p>
    <w:p>
      <w:pPr>
        <w:spacing w:after="0" w:line="16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spacing w:after="0" w:line="16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antibodies to the drug or adjuvants may result in loss of efficacy or safety events.</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spacing w:after="0" w:line="180" w:lineRule="exact"/>
        <w:rPr>
          <w:sz w:val="20"/>
          <w:szCs w:val="20"/>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trial protocols;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81"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equivalent competent authorities that reveals deficiencies or violations that require us to undertake corrective action, including the imposition of a clinical hold;</w:t>
      </w:r>
    </w:p>
    <w:p>
      <w:pPr>
        <w:spacing w:after="0" w:line="16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inconclusive results, unforeseen safety issues, adverse side effects or lack of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trial supply materials;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 In addition, many of the factors that cause, or lead to, a delay in the commencement or completion of clinical trials may also ultimately lead to the denial of a regulatory approval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will seek to align its regulations with the EU.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are aligned with the CTR. A decision by the UK not to closely align its regulations with the new approach adopted in the EU may have an effect on the cost of conducting clinical trials in the UK as opposed to other countries. Under the terms of the Protocol on Ireland/Northern Ireland, provisions of the CTR which relate to the manufacture and import of investigational medicinal products and auxiliary medicinal products apply in Northern Ireland. Once the changes brought by the Windsor Framework are implemented, this may have a further impact on the application of the CTR in Northern Ireland.</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in the pharmaceutical industry is an expensive, high-risk, lengthy, complicated, resource intensive process. In order to develop a product successfully, we must, among other things:</w:t>
      </w:r>
    </w:p>
    <w:p>
      <w:pPr>
        <w:spacing w:after="0" w:line="162"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scientific discovery in areas that are uncertain, unproven and complex;</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product candidates;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for and receive regulatory approvals or allowances to perform clinical trials;</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conduct appropriate preclinical studies and clinical trials according to good laboratory practices and good clinical practices and disease-specific expectations of the FDA and other regulatory bodies;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recruit suitable clinical investigators and subjects for our clinical trials;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correctly interpret data establishing adequate safety of our product candidates and demonstrating that our product candidates are effective for their proposed indications;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for and receive regulatory approvals; and</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product candidates according to current Good Manufacturing Practices, or cGMPs, and other applicable standards and regulations.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there are many other difficulties and uncertainties inherent in pharmaceutical research and development that could significantly delay or otherwise materially impair our ability to develop future product candidates, including the following:</w:t>
      </w:r>
    </w:p>
    <w:p>
      <w:pPr>
        <w:spacing w:after="0" w:line="176" w:lineRule="exact"/>
        <w:rPr>
          <w:sz w:val="20"/>
          <w:szCs w:val="20"/>
          <w:color w:val="auto"/>
        </w:rPr>
      </w:pPr>
    </w:p>
    <w:p>
      <w:pPr>
        <w:jc w:val="both"/>
        <w:ind w:left="1380" w:right="79" w:hanging="331"/>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designing clinical trials that may support any potential claims of superiority over current standard of care or future competitive therapies;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82"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reduced enrollment in clinical trials, high discontinuation rates or overly concentrated patient enrollment in specific geographic regions;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third-party contractors, contract research organizations, or CROs, clinical investigators, clinical laboratories, or suppliers to comply with regulatory requirements or meet their contractual obligations in a timely manner;</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cost of our clinical trials;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product supply or inadequate product quality.</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will be able to develop, license, or otherwise acquire additional products or product candidates; or whether our products, once launched, will be commercially successful.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Setmelanotide, RM-718 and bivamelagon are MC4R agonists. Potential side effects of MC4R agonism, which have been noted either with setmelanotide or with other MC4R agonists in clinical trials and preclinical studies, may include:</w:t>
      </w:r>
    </w:p>
    <w:p>
      <w:pPr>
        <w:spacing w:after="0" w:line="176" w:lineRule="exact"/>
        <w:rPr>
          <w:sz w:val="20"/>
          <w:szCs w:val="20"/>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cardiovascular parameters, such as increases in heart rate and blood pressure;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erections in males and similar effects in women, such as sexual arousal, clitoral swelling and hypersensitivity;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nausea and vomiting;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appetite;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on mood, depression, anxiety and other psychiatric manifestations; and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for which most investigators reported as unrelated to setmelanotide and for which no increased incidence or pattern is currently evident.</w:t>
      </w:r>
    </w:p>
    <w:p>
      <w:pPr>
        <w:spacing w:after="0" w:line="16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Further, if we or others identify undesirable side effects associated with or caused by the products, or any other similar product, before or after regulatory approvals, a number of potentially significant negative consequences could result, including: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or vary their approval of the product through labeling or other means;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spacing w:after="0" w:line="16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or change the labeling of the product;</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studies and clinical trials or comply with other post-market requirements to assess possible serious risks;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long term safety follow-up evaluations, including setting up disease and drug based registries;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marketplace;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MC4 agonist products or product candidates may be perceived by regulators or other third parties as unsafe, which could adversely affect our development efforts and product portfolio;</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the product;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spacing w:after="0" w:line="17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Grant of orphan designation by the EC also entitles the holder of this designation to financial incentives such as reduction of fees or fee waivers, protocol assistance, and access to the centralized marketing authorization procedure.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of the expanded indication for IMCIVREE to include patients as young as 2 years of age in December 2024, we believe the FDA will review the request we made to similarly expand the scope of the current orphan drug exclusivity for IMCIVREE, however, we cannot estimate when or if the scope of IMCIVREE’s orphan drug exclusivity will be expanded.</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also been granted orphan designation for setmelanotide for the treatment of Alström syndrome in both the United States and the EU. Setmelanotide has also been granted orphan designation for setmelanotide in treating Prader-Willi syndrome and acquired hypothalamic obesity in the EU. There can be no assurance that we will be able to maintain the benefits of orphan drug exclusivity, or that the FDA or the EC will grant orphan designations for setmelanotide for other uses. In addition,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and in January 2025 we submitted a request to modify the PIP to remove elements related to the weekly formulation and we expect to receive a decision sometine in Q2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focused our development of setmelanotide as a treatment for obesity caused by certain genetic deficiencies affecting the MC4R pathway. To date, we have employed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that is not otherwise commercially available, then the FDA may require approval or clearance of that diagnostic, known as a companion diagnostic, at the same time as, or in connection with, the FDA approval of such product candidates.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regulation of companion diagnostics is now subject to further requirements set forth in the IVDR. Following subsequent 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spacing w:after="0" w:line="19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Although the FDA did not require that we obtain approval of a companion 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to accurately and reliably detect patients with variants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may benefit from setmelanotide therapy. In September 2020, our collaboration partner, Prevention Genetics, submitted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seeking FDA authorization to market such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for IMCIVREE as a Class II medical device. In January 2022, the FDA granted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classification for the POMC/PCSK1/LEPR CDx Panel for market authorization as a Class II device. If the FDA or a comparable regulatory authority requires clearance, approval or certification of a companion diagnostic when we seek additional approvals for setmelanotide, RM-718 or bivamelagon,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spacing w:after="0" w:line="187"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violations of FDA rules and regulations and the comparable foreign regulatory provisions during the conduct of our clinical trials. Outside parties may:</w:t>
      </w:r>
    </w:p>
    <w:p>
      <w:pPr>
        <w:spacing w:after="0" w:line="162" w:lineRule="exact"/>
        <w:rPr>
          <w:sz w:val="20"/>
          <w:szCs w:val="20"/>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inadequate resources to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favorable relationships with other entities, some of which may be our competitors.</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 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IMCIVREE and, if Approved, our Products Candidates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authorities and third-party payors, such as private health insurers and health maintenance organizations, decide which medications they will pay for and provide reimbursement.</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or that step edits or other conditions on reimbursement will not be imposed.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or expand our sales, marketing and distribution capabilities or enter into agreements with third parties to market, sell, and distribute IMCIVREE, we may not be able to generate revenue.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receive regulatory approval to market setmelanotide outside of the United States, Canada, the European Union and the United Kingdom.</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intend to seek marketing authorizations in various countries worldwide.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or maintain market acceptance for IMCIVREE, which would limit the revenue that we generate from the sale of IMCIVREE.</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IMCIVREE will also depend upon the awareness and acceptance of IMCIVREE within the medical community, including physicians, patients and third-party payors. If IMCIVREE does not achieve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 acceptance of IMCIVREE will depend on a number of factors, including, among others:</w:t>
      </w:r>
    </w:p>
    <w:p>
      <w:pPr>
        <w:spacing w:after="0" w:line="225" w:lineRule="exact"/>
        <w:rPr>
          <w:sz w:val="20"/>
          <w:szCs w:val="20"/>
          <w:color w:val="auto"/>
        </w:rPr>
      </w:pPr>
    </w:p>
    <w:p>
      <w:pPr>
        <w:jc w:val="both"/>
        <w:ind w:left="1380" w:right="79" w:hanging="331"/>
        <w:spacing w:after="0" w:line="276"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clinical diagnosis and/or genetic testing, as needed, for certain of IMCIVREE’s indications, including obtaining and interpreting clinical or genetic results that support patient treatment with IMCIVREE;</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SC injections as the necessary method of administration of IMCIVREE, including as compared with other treatments for patients with obesity;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IMCIVREE;</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obesity therapies already approved or expected to be commercially launched in the near future;</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these diseases among our target populations through marketing and other cross-functional efforts;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treat the maximum range of pediatric patients, and any limitations on its indications for use;</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IMCIVREE or competing products and treatments;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 and our ability to increase awareness of IMCIVREE through marketing efforts;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7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spacing w:after="0" w:line="16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Currently, IMCIVREE is the only treatment approved to reduce excess body weight and maintain weight reduction long term in patients with obesity due to BBS or POMC, PCSK1 or LEPR deficiencies, and there are no comparable treatments approved for patients with deficiencies due to a variant in one of the two alleles in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PCSK1, or LEPR </w:t>
      </w:r>
      <w:r>
        <w:rPr>
          <w:rFonts w:ascii="Times New Roman" w:cs="Times New Roman" w:eastAsia="Times New Roman" w:hAnsi="Times New Roman"/>
          <w:sz w:val="18"/>
          <w:szCs w:val="18"/>
          <w:color w:val="auto"/>
        </w:rPr>
        <w:t>genes (HET obesity), SRC1 deficiency obesity, SH2B1 deficiency obesity, MC4R deficiency obesity,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hypothalamic obesity. Bariatric surgery is often not considered an appropriate treatment option for these genetic diseases of obesity because the severe obesity and hyperphagia associated with these diseases are considered to be risk factors for poor outcomes with bariatric surgery. Also, existing therapies indicated for general obesity, including glucagon-like peptide-1 (GLP-1) receptor agonists, and glucose-dependent insulinotropic polypeptide (GIP) and glucagon-like peptide-1 (GLP-1) agonists, do not specifically restore function impaired by genetic deficiencies in the MC4R pathway, which we believe is the root cause of hyperphagia and obesity in patients with MC4R genetic variants. At present, we are aware of multiple ongoing research and development programs for general obesity with various new mechanisms of action including some MC4R agonists. New competitors may emerge which could limit our business opportunity in the future.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ourselves against them, we could incur substantial liabilities. In addition, regardless of merit or eventual outcome, product liability claims may result in, among other things:</w:t>
      </w:r>
    </w:p>
    <w:p>
      <w:pPr>
        <w:spacing w:after="0" w:line="162" w:lineRule="exact"/>
        <w:rPr>
          <w:sz w:val="20"/>
          <w:szCs w:val="20"/>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IMCIVREE or any future product candidates following marketing approval, if obtained;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IMCIVREE or any future product candidates, if approved.</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and commercial product with a $20.0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4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of setmelanotide, RM-718, and bivamelagon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Astrea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support all of our current needs for clinical trial and initial commercial supplies for setmelanotide, RM-718, and bivamelagon, if approved. Going forward, we may need to identify additional CMOs or partners to produce setmelanotide, RM-718, and bivamelagon on a larger scale.</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our election to terminate the exclusive license agreement with RareStone Group Ltd., or RareStone, the development of setmelanotide in certain indications and commercialization of IMCIVREE in certain markets could be delayed or terminated and our business could be adversely affected.</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an Exclusive License Agreement with RareStone,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we choose to grant a license to develop or commercialize the licensed product in Taiwan.</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October 28, 2022, we delivered a written notice to RareStone that we have terminated the RareStone License for cause (the “October 2022 Notice”). In accordance with the October 2022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us written notice that it objects to the claims in our October 2022 Notice, including our termination of the RareStone License for cause. On March 16, 2023, we provided written notice to RareStone (the “March 2023 Notice”)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October 2022 Notice. On May 10, 2023, RareStone provided us written notice reaffirming its objections to the claims in our October 2022 Notice and March, 2023 Notice, including our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 Since our last written response in January 2024, we have engaged in discussions with RareStone in an effort to reach a resolution, however, we cannot predict whether a resolution will ever be reached.</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negotiate an appropriate cure to the alleged material breaches, which we believe are incurable, and, if required, we expect to seek appropriate relief under the terms of the RareStone License. Termination of, or any possible litigation focused on, the RareStone License could cause significant delays in our product development and commercialization efforts for setmelanotide and could prevent us from commercializing IMCIVREE in the markets covered by the RareStone License without first expanding our internal capabilities or entering into another agreement with a third party. Any alternative collaboration or license could also be on less favorable terms to us. In addition, under the agreement, RareStone agreed to provide funding for certain clinical development activities. To date, no such funding has been provided. If the agreement were terminated, however, we may need to refund any such potential payments and seek additional funding to support the research and development of setmelanotide or discontinue any research and development activities for setmelanotide in China, including mainland China, Hong Kong and Macao, which could have a material adverse effect on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erode or negate any competitive advantage we may have, which could harm our business and ability to achieve profitability.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any of our patents have, or that any of our pending patent applications that mature into issued patents will include, claims with a scope sufficient to protect setmelanotide, RM-718, and bivamelagon. In addition, our CHI program intellectual property may not have the scientific value and commercial potential which we envision.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factual questions, and, therefore, the issuance, scope, validity and enforceability of any patent claims that we may obtain cannot be predicted with certainty.</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380" w:right="79" w:hanging="331"/>
        <w:spacing w:after="0" w:line="297"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setmelanotide, RM-718, or bivamelagon;</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IMCIVREE or our other product candidates before our relevant patents expire;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3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6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IMCIVREE or our other product candidates.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development of setmelanotide and commercialization of IMCIVREE or our other product candidates;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rename setmelanotide and/or its trade name IMCIVREE.</w:t>
      </w:r>
    </w:p>
    <w:p>
      <w:pPr>
        <w:spacing w:after="0" w:line="2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setmelanotide or our other product candidates could be found invalid or unenforceable if challenged in court.</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spacing w:after="0" w:line="19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setmelanotide and our other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If we were to lose our rights to licensed intellectual property, we may not be able to continue developing or commercializing setmelanotide or bivamelagon.</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licensed our rights to setmelanotide from Ipsen, and our rights to bivamelagon from LGC. Our licenses with Ipsen and LGC impose various obligations on us, and provide Ipsen and LGC the right to terminate the license in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spacing w:after="0" w:line="1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enacted the America Invents Act of 2011, wide is a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or our other product candidates, which would materially adversely affect our commercial development efforts.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Setmelanotide and Other Legal and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a FDA-approved test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genes that are interpreted as pathogenic, likely pathogenic, or of uncertain significance.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spacing w:after="0" w:line="176" w:lineRule="exact"/>
        <w:rPr>
          <w:sz w:val="20"/>
          <w:szCs w:val="20"/>
          <w:color w:val="auto"/>
        </w:rPr>
      </w:pPr>
    </w:p>
    <w:p>
      <w:pPr>
        <w:jc w:val="both"/>
        <w:ind w:left="1380" w:right="79" w:hanging="331"/>
        <w:spacing w:after="0" w:line="281"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the EMA, or other equivalent competent authorities in foreign jurisdictions that our product candidates are safe and effective for their intended uses;</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p>
      <w:pPr>
        <w:spacing w:after="0" w:line="16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the number, size, conduct or implementation of our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require that we conduct additional clinical trials or pre-clinical studies;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our preclinical studies and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not approve the formulation, labeling or specifications of our product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not accept data generated at our clinical trial sites;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equivalent competent authorities in foreign jurisdictions may require, as a condition of approval, additional preclinical studies or clinical trials, limitations on approved labeling or distribution and use restrictions;</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any post-market requirements or commitments agreed to in connection with regulatory approvals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REMS as a condition of additional approvals or may impose additional requirements that limit the promotion, advertising, distribution, or sales of our product candidate;</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foreign regulatory agencies may deem our manufacturing processes or our facilities or the facilities of our CMOs inadequate to preserve the identity, strength, quality, purity, or potency of our product; or</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equivalent competent authorities in foreign jurisdictions may change its approval policies or adopt new regulations and guidance.</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regulatory legislation or regulation may increase the difficulty and cost for us to obtain marketing approval of and commercialize our product candidates.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substantially revised before adoption, which is not anticipated before early 2026. The revisions, may, however, have a significant impact on the pharmaceutical industry and our business in the long term.</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began to sunset after December 20, 2024. These changes to the PRV Program could impact existing and future development programs and could negatively impact our business.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including those caused by changing presidential administrations and related priorities,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 prolonged government shutdown occurs, or if global health concerns or any other disruptions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 Additionally, the UK’s withdrawal from the EU, commonly referred to as Brexit, has resulted in the relocation of the EMA from the UK to the Netherlands. This relocation has caused, and may continue to cause, disruption in the administrative and medical scientific links between the EMA and the MHRA, including delays in granting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setmelanotide, or any other product candidates in the EU and/or the UK. Although we have obtained FDA approval and marketing authorization from the EC and the MHRA for setmelanotide, any delay in obtaining, or an inability to obtain, any marketing authorization, for any of our other product candidates,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marketing authorization in the UK and/or EU for any of our other product candidates, which could significantly and materially harm our business.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spacing w:after="0" w:line="192" w:lineRule="exact"/>
        <w:rPr>
          <w:sz w:val="20"/>
          <w:szCs w:val="20"/>
          <w:color w:val="auto"/>
        </w:rPr>
      </w:pPr>
    </w:p>
    <w:p>
      <w:pPr>
        <w:ind w:left="1380" w:hanging="331"/>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suspend or withdraw marketing approval;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setmelanotide, refuse to permit the import or export of setmelanotide, or request that we initiate a product recall.</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particularly under the new presidential administration,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including executive orders, may result in more rigorous coverage criteria and in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spacing w:after="0" w:line="18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spacing w:after="0" w:line="183" w:lineRule="exact"/>
        <w:rPr>
          <w:sz w:val="20"/>
          <w:szCs w:val="20"/>
          <w:color w:val="auto"/>
        </w:rPr>
      </w:pPr>
    </w:p>
    <w:p>
      <w:pPr>
        <w:jc w:val="both"/>
        <w:ind w:left="1380" w:right="79" w:hanging="331"/>
        <w:spacing w:after="0" w:line="276"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16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 Centered Outcomes Research Institute to oversee, identify priorities in, and conduct comparative clinical effectiveness research, along with funding for such research; and</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CMS to test innovative payment and service delivery models to lower Medicare and Medicaid spending, including prescription drug spending.</w:t>
      </w:r>
    </w:p>
    <w:p>
      <w:pPr>
        <w:spacing w:after="0" w:line="16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its enactment, certain provisions of the ACA have been subject to judicial, executive, and legislative challenges and may be subject to additional challenges in the future.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Most significantly, in August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spacing w:after="0" w:line="187"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spacing w:after="0" w:line="17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which ultimately may attempt to impose price limits on certain drugs in these states. These types of initiatives may result in additional reductions in Medicare, Medicaid, and other healthcare funding, and may otherwise affect the prices we may obtain for IMCIVREE or the frequency with which IMCIVREE is prescribed or used.</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 w:cs="Times New Roman" w:eastAsia="Times New Roman" w:hAnsi="Times New Roman"/>
          <w:sz w:val="18"/>
          <w:szCs w:val="18"/>
          <w:i w:val="1"/>
          <w:iCs w:val="1"/>
          <w:color w:val="auto"/>
        </w:rPr>
        <w:t>“The successful commercialization of IMCIVREE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 </w:t>
      </w:r>
      <w:r>
        <w:rPr>
          <w:rFonts w:ascii="Times New Roman" w:cs="Times New Roman" w:eastAsia="Times New Roman" w:hAnsi="Times New Roman"/>
          <w:sz w:val="18"/>
          <w:szCs w:val="18"/>
          <w:color w:val="auto"/>
        </w:rPr>
        <w:t>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18"/>
          <w:szCs w:val="18"/>
          <w:i w:val="1"/>
          <w:iCs w:val="1"/>
          <w:color w:val="auto"/>
        </w:rPr>
        <w:t>Current and future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 w:cs="Times New Roman" w:eastAsia="Times New Roman" w:hAnsi="Times New Roman"/>
          <w:sz w:val="18"/>
          <w:szCs w:val="18"/>
          <w:color w:val="auto"/>
        </w:rPr>
        <w:t>,” above. The Medicare Part D rebate will be calculated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AMP figures we report pursuant to the MDRP.</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FDA-approved test demonstrating variants in POMC, PCSK1, or LEPR genes that are interpreted as pathogenic, likely pathogenic, or of uncertain significance.</w:t>
      </w:r>
    </w:p>
    <w:p>
      <w:pPr>
        <w:spacing w:after="0" w:line="188" w:lineRule="exact"/>
        <w:rPr>
          <w:sz w:val="20"/>
          <w:szCs w:val="20"/>
          <w:color w:val="auto"/>
        </w:rPr>
      </w:pPr>
    </w:p>
    <w:p>
      <w:pPr>
        <w:jc w:val="both"/>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spacing w:after="0" w:line="187" w:lineRule="exact"/>
        <w:rPr>
          <w:sz w:val="20"/>
          <w:szCs w:val="20"/>
          <w:color w:val="auto"/>
        </w:rPr>
      </w:pPr>
    </w:p>
    <w:p>
      <w:pPr>
        <w:jc w:val="both"/>
        <w:ind w:left="1380" w:right="79" w:hanging="331"/>
        <w:spacing w:after="0" w:line="265" w:lineRule="auto"/>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80" w:lineRule="auto"/>
        <w:tabs>
          <w:tab w:leader="none" w:pos="13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74" w:lineRule="auto"/>
        <w:rPr>
          <w:sz w:val="20"/>
          <w:szCs w:val="20"/>
          <w:color w:val="auto"/>
        </w:rPr>
      </w:pPr>
      <w:r>
        <w:rPr>
          <w:rFonts w:ascii="Times New Roman" w:cs="Times New Roman" w:eastAsia="Times New Roman" w:hAnsi="Times New Roman"/>
          <w:sz w:val="18"/>
          <w:szCs w:val="18"/>
          <w:color w:val="auto"/>
        </w:rPr>
        <w:t>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68" w:lineRule="exact"/>
        <w:rPr>
          <w:sz w:val="20"/>
          <w:szCs w:val="20"/>
          <w:color w:val="auto"/>
        </w:rPr>
      </w:pPr>
    </w:p>
    <w:p>
      <w:pPr>
        <w:jc w:val="both"/>
        <w:ind w:left="1380" w:right="79" w:hanging="331"/>
        <w:spacing w:after="0" w:line="265"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9"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spacing w:after="0" w:line="190"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190"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97" w:lineRule="auto"/>
        <w:rPr>
          <w:sz w:val="20"/>
          <w:szCs w:val="20"/>
          <w:color w:val="auto"/>
        </w:rPr>
      </w:pPr>
      <w:r>
        <w:rPr>
          <w:rFonts w:ascii="Times New Roman" w:cs="Times New Roman" w:eastAsia="Times New Roman" w:hAnsi="Times New Roman"/>
          <w:sz w:val="18"/>
          <w:szCs w:val="18"/>
          <w:color w:val="auto"/>
        </w:rPr>
        <w:t>decide not to directly promote or market our products, inappropriate activity by our international distribution partners could have implications for us.</w:t>
      </w:r>
    </w:p>
    <w:p>
      <w:pPr>
        <w:spacing w:after="0" w:line="16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whether knowingly or unknowingly, including violating applicable regulatory standards and requirements or engaging in insider trading, which could significantly harm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 w:cs="Times New Roman" w:eastAsia="Times New Roman" w:hAnsi="Times New Roman"/>
          <w:sz w:val="18"/>
          <w:szCs w:val="18"/>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federal and state healthcare laws and regulations. If we are unable to comply or have not fully complied with such laws and regulations, we could face criminal sanctions, damages, substantial civil penalties, reputational harm and diminished profits and future earnings” </w:t>
      </w:r>
      <w:r>
        <w:rPr>
          <w:rFonts w:ascii="Times New Roman" w:cs="Times New Roman" w:eastAsia="Times New Roman" w:hAnsi="Times New Roman"/>
          <w:sz w:val="18"/>
          <w:szCs w:val="18"/>
          <w:color w:val="auto"/>
        </w:rPr>
        <w:t>of this Annual Report.</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and regulations could lead to government enforcement actions and significant penalties against us, and adversely impact our operating results.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spacing w:after="0" w:line="20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or the DPF, rendering the DPF effective as a GDPR transfer mechanism to U.S. entities self-certified under the DPF. On October 12, 2023, the UK Extension to the DPF came into effect (as approved by the UK Government), as a data transfer mechanism from the UK to U.S. entities self-certified under DPF.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continue to penetrate foreign markets, where we will be subject to additional regulatory burdens and other risks and uncertainties.</w:t>
      </w:r>
    </w:p>
    <w:p>
      <w:pPr>
        <w:spacing w:after="0" w:line="15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spacing w:after="0" w:line="158" w:lineRule="exact"/>
        <w:rPr>
          <w:sz w:val="20"/>
          <w:szCs w:val="20"/>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setmelanotide in foreign markets;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Foreign sales of setmelanotide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the United Kingdom’s departure from the EU may have a negative effect on global economic conditions, financial markets and our business.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UK, the UK formally withdrew from the EU on January 31, 2020.</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 and has operated under a separate regulatory regime to the EU. It is currently unclear to what extent the UK Government will seek to align its regulations with the EU.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development, manufacture and commercialization of medicinal products in the UK will align closely with EU law, there remain limited detailed proposals for the future regulation of medicinal products.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Ireland/Northern Ireland Protocol, EU law still generally applies to Northern Ireland. However, on February 27, 2023, the UK Government and the EC reached a political agreement in the “Windsor Framework” to address discrepancies in the Protocol’s operation.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Whilst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EMA Clinical Trial Information System, or CTIS. Any divergences may increase the cost and complexity of running our business, including with respect to the conduct of clinical trials.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Great Britain is no longer covered by the EU’s procedures for the grant of MA (Northern Ireland is for now covered by the centralized authorization procedure and can be covered under the decentralized or mutual recognition procedures). A separate MA is required to market medicinal products in Great Britain. Such changes could increase our costs and otherwise adversely affect our business. Any delay in obtaining, or an inability to obtain regulatory approvals, as a result of Brexit or otherwise, may prevent us from commercializing our product candidates in Great Britain and restrict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achieve or sustain profitability. If any of these outcomes occur, we may be forced to restrict or delay efforts to seek regulatory approval in Great Britain for our product candidates, which could significantly and materially harm our business.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further changes in relation to international trade, tariff and import/export regulations as a result of Brexit or otherwise may impose unexpected duty costs or other non-tariff barriers on us. These developments, or the perception that any of them could occur, may reduce global trade and, in particular, trade between the impacted nations and the UK.</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It is unclear what financial, regulatory and legal implications the withdrawal of the UK from the EU will have in the long-term and how such withdrawal will affect us, and the full extent to which our business could be adversely affected.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employees and consultants, and to attract, retain and motivate qualified personnel.</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If we and our impacted candidates or employees are unable to obtain work visas in sufficient quantities or at a sufficient rate for a significant period of time, our business could be adversely affected.</w:t>
      </w:r>
    </w:p>
    <w:p>
      <w:pPr>
        <w:spacing w:after="0" w:line="18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spacing w:after="0" w:line="17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 amounts of our sensitive data. We have implemented and maintain an array of physical, administrative and technical controls to ensure the confidentiality, integrity and availability of such sensitive information, and the secure maintenance of this information is material to our operations and business strategy. Even with the implementation of strong security measures, our information technology systems and those of our third-party CROs, CMOs and other contractors and consultants are susceptible to attack, damage, or interruption from computer security incidents and cyberattacks such as malware (e.g., ransomware), phishing and other social engineering attacks employee or contractor theft, misuse or human error, denial or degradation of service attacks, supply chain attacks, advanced persistent threats from nation-state actors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targeted cyberattack, and a threat actor may remain undetected in our systems for an extended period of time. There can be no assurance that our cybersecurity risk management program and processes, including our policies, controls or procedures, will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w:t>
      </w:r>
    </w:p>
    <w:p>
      <w:pPr>
        <w:spacing w:after="0" w:line="20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global healthcare industry is increasingly integrating AI technologies and tools. However, like any emerging technology, AI presents its own set of risks, many of which are not yet known or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legal claims or proceedings and liability under state, federal and international privacy laws, disruption of our operations, and damage to our reputation, which could adversely affect our business.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put into place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and their affiliated entities own a significant percentage of our stock and, if they choose to act together, will be able to exert significant influence over matters subject to stockholder approval.</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in the aggregate, hold shares representing approximately 5.2% of our outstanding voting stock as of December 31, 2024.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been volatile and may continue to fluctuate significantly in response to a number of factors, most of which we cannot control, including, among others:</w:t>
      </w:r>
    </w:p>
    <w:p>
      <w:pPr>
        <w:spacing w:after="0" w:line="162" w:lineRule="exact"/>
        <w:rPr>
          <w:sz w:val="20"/>
          <w:szCs w:val="20"/>
          <w:color w:val="auto"/>
        </w:rPr>
      </w:pPr>
    </w:p>
    <w:p>
      <w:pPr>
        <w:ind w:left="1380" w:right="79" w:hanging="331"/>
        <w:spacing w:after="0" w:line="297"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setmelanotide and our other product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EMA to approve IMCIVREE for additional indications or to initially approve our other product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weight loss therapies and companies targeting the rare diseases we intend to address;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setmelanotide or our other product candidates, if approved, to achieve commercial success;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or instability, including with respect to inflation rates or interest rates, curtailment of trade and other business restrictions such as tariffs, boycotts, labor shortages, supply chain shortages, disruptions and instability in the banking industry and other parts of the financial services sector, outbreak of disease or epidemics, or other economic, political or legal changes, uncertainties or adverse developments;</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Hamas, which could delay or disrupt our business, and if such political unrest escalates or spills over to or otherwise impacts additional regions it could heighten many of the other risk factors included in this sections;</w:t>
      </w:r>
    </w:p>
    <w:p>
      <w:pPr>
        <w:spacing w:after="0" w:line="16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changes and uncertainty, including in the United States with the changes arising from a new presidential administration and resulting changes and uncertainty in administrative agencies with authority over our business;</w:t>
      </w:r>
    </w:p>
    <w:p>
      <w:pPr>
        <w:spacing w:after="0" w:line="16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which may be significant and difficult to anticipate over time. Our net loss and other operating results will be affected by numerous factors, including:</w:t>
      </w:r>
    </w:p>
    <w:p>
      <w:pPr>
        <w:spacing w:after="0" w:line="162" w:lineRule="exact"/>
        <w:rPr>
          <w:sz w:val="20"/>
          <w:szCs w:val="20"/>
          <w:color w:val="auto"/>
        </w:rPr>
      </w:pPr>
    </w:p>
    <w:p>
      <w:pPr>
        <w:ind w:left="1380" w:hanging="331"/>
        <w:spacing w:after="0"/>
        <w:tabs>
          <w:tab w:leader="none" w:pos="1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termination of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 including any intellectual property infringement lawsuit in which we may become involved;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setmelanotide and our other product candidates;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timing of milestone payments under our existing collaboration and license agreements;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setmelanotide and our customers’ buying patterns.</w:t>
      </w:r>
    </w:p>
    <w:p>
      <w:pPr>
        <w:spacing w:after="0" w:line="2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net operating loss carryovers and other tax attributes may be limited.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2024, we had approximately $610.2 million and $694.0 million of unused federal and state NOL carryforwards, respectively, and approximately $13.8 million and $4.8 million of unused federal and state carryforwards of research tax credits, respectively. Of the federal NOL carryforwards at December 31, 2024, $537.2 million can be carried forward indefinitely. Additionally, as of December 31, 2024, we had federal orphan drug credits related to qualifying research of $34.6 million.</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use of our tax attributes will also be limited to the extent that we do not generate positive taxable income in future tax periods. We do not expect to generate positive taxable income in the near future and we may never achieve tax profitability.</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common stock in the public market could cause the price of our common stock to decline significantly.</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Sales of our common stock in the public market, or the perception that these sales could occur, could cause the market price of our common stock to decline significantly. As of December 31, 2024, we had 62,390,654 shares of common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stock outstanding. In addition, on July 10, 2023,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To the extent the holders of the Convertible Preferred Stock convert their shares to common stock and sell such shares, the price of our common stock could be significantly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litigation, including class action litigation.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subordinated to our Convertible Preferred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w:t>
      </w:r>
    </w:p>
    <w:p>
      <w:pPr>
        <w:spacing w:after="0" w:line="3" w:lineRule="exact"/>
        <w:rPr>
          <w:sz w:val="20"/>
          <w:szCs w:val="20"/>
          <w:color w:val="auto"/>
        </w:rPr>
      </w:pPr>
    </w:p>
    <w:p>
      <w:pPr>
        <w:ind w:left="60" w:right="59" w:hanging="10"/>
        <w:spacing w:after="0" w:line="260" w:lineRule="auto"/>
        <w:tabs>
          <w:tab w:leader="none" w:pos="3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combinations and binding or statutory share exchanges or involving the Convertible Preferred Stock unless such events do not adversely affect the rights, preferences or voting powers of the Convertible Preferred Stock.</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businesses or products, form strategic alliances or create joint ventures in the future, and we may not realize their benefits.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or publish unfavorable research or reports about our business, our stock price and trading volume could decline.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above, under the heading “</w:t>
      </w:r>
      <w:r>
        <w:rPr>
          <w:rFonts w:ascii="Times New Roman" w:cs="Times New Roman" w:eastAsia="Times New Roman" w:hAnsi="Times New Roman"/>
          <w:sz w:val="18"/>
          <w:szCs w:val="18"/>
          <w:i w:val="1"/>
          <w:iCs w:val="1"/>
          <w:color w:val="auto"/>
        </w:rPr>
        <w:t>Our common stock is subordinated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Convertible 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leadership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vulnerable to interruption by fire, severe weather conditions, power loss, telecommunications failure, terrorist activity, public health crises and pandemic diseases, and other natural and man-made disasters or events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our management will continue to devote substantial time to existing and new compliance initiatives and corporation governance policies, and we will need to hire additional qualified accounting, financial, legal and compliance personnel with appropriate public company experience.</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 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spacing w:after="0" w:line="17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failed and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6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was the case for the year ended December 31, 2023 and quarterly periods in 2024, due to a material weakness identified in internal controls related to ineffective information technology general controls in the areas of user access and program change management over our key accounting and reporting information technology system. Additionally, the material weakness in our internal control over financial reporting resulted in our management being unable to conclude that our disclosure controls and procedures were effective for the applicable period. The material weakness has since been remediated; however, additional material weaknesses may arise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designed and implemented new controls and measures to remediate this material weakness, and management has concluded that the material weaknesses described above have been remediated. However, we cannot assure you that the measures we are taking will be sufficient to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We cannot guarantee that our approach, either now or in future, will align with the expectations of particular stakeholders or that certain disclosures will not be considered erroneous or subject to misinterpretation. In addition, this emphasis on environmental, social and other sustainability matters has resulted and may result in the adoption of new laws and regulations, including new reporting requirements. Such requirements and other expectations are not uniform, and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inconsistently interpreted or applied, which can increase the complexity and cost of compliance. If we fail to comply with new laws, regulations or reporting requirements, our reputation and business could be adversely impacted. Additionally, many of our business partners and suppliers may be subject to similar reporting and stakeholder expectations, which may augment or create additional risks, including risks that may not be known to us.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design and assess our cybersecurity program based on the NIST Cybersecurity Framework (CSF). This framework provides us with a common language and structure for identifying, assessing, and managing cybersecurity risks across our organization. We do not claim to comply with the standards or specifications by using this framework. It is a guide to help us manage the cybersecurity risks that are relevant to our business.</w:t>
      </w:r>
    </w:p>
    <w:p>
      <w:pPr>
        <w:spacing w:after="0" w:line="16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cybersecurity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To this end, we have implemented a cybersecurity program that includes the following key elements:</w:t>
      </w:r>
    </w:p>
    <w:p>
      <w:pPr>
        <w:spacing w:after="0" w:line="153" w:lineRule="exact"/>
        <w:rPr>
          <w:sz w:val="20"/>
          <w:szCs w:val="20"/>
          <w:color w:val="auto"/>
        </w:rPr>
      </w:pPr>
    </w:p>
    <w:p>
      <w:pPr>
        <w:ind w:left="1040" w:right="79" w:hanging="315"/>
        <w:spacing w:after="0" w:line="282"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Manager responsible for, among other things, developing and maintaining our administrative, technical, and physical cybersecurity controls.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using the CIS Risk Assessment Method (RAM), which identify material cybersecurity risks to our critical systems and information.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vulnerability management program that involves the continuous monitoring of information systems for vulnerabilities, and a process to effectively remediate those vulnerabilities based on criticality level.</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Disaster Recovery plan to ensure IT personnel and Business owners are prepared for any disruption to Rhythm’s business.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constantly available Security Operations Center (SOC) to monitor our critical infrastructure and execute immediate, human-led responses to confirmed threats.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technology and security providers to assess, test or otherwise assist with aspects of our cybersecurity program.</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employees, including supplemental training for senior management and other personnel who access highly sensitive information.</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trained incident response team and written procedures to effectively respond to potential computer security incidents.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to evaluate the business risk of working with key service providers and vendors who access sensitive information.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not identified any cybersecurity incidents that have materially affected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Factors— Our information technology systems, or those of our third-party CROs, CMOs or other contractors or consultants, may fail or suffer security breaches, which could result in a material disruption of setmelanotide development programs, regulatory investigations, enforcement actions and lawsuits.”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The Committee oversees management’s implementation of our cybersecurity program.</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program and risks. In addition, management updates the Committee, as necessary, regarding any material cybersecurity incidents, as well as any incidents with lesser impact potential. The Committee reports to the full Board regarding its activities and risk management functions, including those related to cybersecurity. Board members receive presentations on cybersecurity risk and strategy from our Senior Cybersecurity Manager, as part of the Board’s continuing education on topics that impact public companies.</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Senior Cybersecurity Manager, with the help of our IT and Legal team is responsible for assessing and managing our material risks from cybersecurity threats. This position has the primary responsibility for our overall cybersecurity risk management program and supervises both our internal personnel and our retained external cybersecurity consultants. The current Senior Cybersecurity Manager has extensive information security and program management experience and has held past positions as a virtual CISO for a wide range of organizations.</w:t>
      </w:r>
    </w:p>
    <w:p>
      <w:pPr>
        <w:spacing w:after="0" w:line="17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and other information obtained from governmental, public, or private sources, including external consultants engaged by us, and alerts and reports produced by security tools deployed in the IT environment.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Boston, Massachusetts, where we lease approximately 13,600 square feet of office space pursuant to lease agreements expiring in July 2030. This facility houses our research, clinical, regulatory, commercial and administrative personnel. See Note 6 to our audited consolidated financial statements included in this report for additional information about this lease.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near-term needs, but we may need additional space as we grow and expand our operations. We believe that suitable additional or alternative office space would be available as required in the future on commercially reasonable terms.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“RYTM” since October 5, 2017. Prior to that date, there was no public trading market for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February 24, 2025, there were 17 holders of record of our common stock. This number does not reflect beneficial owners whose shares are held in street name.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herein under Part III, Item 12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1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This graph is not “soliciting material,” is not deemed “filed” with the SEC and is not to be incorporated by reference into any filing of Rhythm Pharmaceuticals, Inc. under the Securities Act or the Exchange Act, whether made before or after the date hereof and irrespective of any general incorporation language in any such filing.</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shows the total stockholder return of an investment of $100 in cash at market close on December 31, 2017 through December 31, 2024 for (1) our common stock, (2) the Nasdaq Composite Index (U.S.) and</w:t>
      </w:r>
    </w:p>
    <w:p>
      <w:pPr>
        <w:jc w:val="both"/>
        <w:ind w:left="60" w:right="59" w:hanging="10"/>
        <w:spacing w:after="0" w:line="253" w:lineRule="auto"/>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114300</wp:posOffset>
            </wp:positionV>
            <wp:extent cx="4937760" cy="2425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776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Current Reports on Form 8-K filed on January 4, 2024 and April 1, 2024, we did not make any unregistered sales of equity securities during the period covered by the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“Cautionary Note Regarding Forward-Looking Statements” in this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720"/>
        <w:spacing w:after="0" w:line="277" w:lineRule="auto"/>
        <w:rPr>
          <w:sz w:val="20"/>
          <w:szCs w:val="20"/>
          <w:color w:val="auto"/>
        </w:rPr>
      </w:pPr>
      <w:r>
        <w:rPr>
          <w:rFonts w:ascii="Times New Roman" w:cs="Times New Roman" w:eastAsia="Times New Roman" w:hAnsi="Times New Roman"/>
          <w:sz w:val="17"/>
          <w:szCs w:val="17"/>
          <w:i w:val="1"/>
          <w:iCs w:val="1"/>
          <w:color w:val="auto"/>
        </w:rPr>
        <w:t>In this Item 7, we discuss the results of operations for the years ended December 31, 2024 and 2023 and comparisons of our cash flows for the year ended December 31, 2024 to the year ended December 31, 2023. Discussion and analysis of our 2022 fiscal year, as well as the year-over-year comparison of our 2023 financial performance to 2022, are located in Part II, Item 7 - Management’s Discussion and Analysis of Financial Condition and Results of Operations in our Annual Report on Form 10-K for the fiscal year ended December 31, 2023, filed with the SEC on February 29, 2024.</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dedicated to transforming the lives of patients living with rare neuroendocrine diseases. We are focused on advancing our melanocortin-4 receptor (MC4R) agonists, including our lead asset, IMCIVREE® (setmelanotide),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United Kingdom, Canada and several other countries and regions.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IMCIVREE is approved by the U.S. Food and Drug Administration (FDA) to reduce excess body weight and maintain weight reduction long term in adult and pediatric patients aged 2 years and older with syndromic or monogenic obesity due to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 In addition to the United States, we have achieved market access or named patient sales for IMCIVREE for BBS or POMC and LEPR deficiencies, or both, in 15 countries outside the United States, and we continue to collaborate with authorities to achieve access in additional markets.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With our efforts in hypothalamic obesity and other potential indications, we are advancing what we believe is the most comprehensive clinical research and development program ever initiated in MC4R pathway diseases, with multiple ongoing and planned clinical trials. Our MC4R pathway program is designed to expand the total number of patients who we believe could benefit from setmelanotide therapy or from one of our new drug candidates. Our Phase 3 EMANATE trial, comprised of four independent substudies evaluating setmelanotide in genetically caused MC4R pathway diseases is ongoing. Following the completion of our Phase 2 DAYBREAK trial, we identified six genetically-defined cohorts that we believe merit further investigation for potential setmelanotide efficacy. We also are evaluating setmelanotide for the treatment of Prader-Willi syndrome (PWS) in a 26-week, open-label Phase 2 trial which was initiated at a single site in the United States during the first quarter of 2025.</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setmelanotide, we have two earlier-stage investigational MC4R agonists in clinical development, RM-718, designed for weekly administration, and bivamelagon, an oral small molecule, which are each advancing in Phase 1 and 2 clinical trials, respectively. These investigational assets are designed to be highly selective for the MC4R and MC1R sparing and thereby not cause hyperpigmentation. We completed enrollment in our Phase 2 trial evaluating bivamelagon, in acquired hypothalamic obesity in the first quarter of 2025. With RM-718, we anticipate initiating Part C of our Phase 1 trial to evaluate this weekly MC4R agonist in patients with acquired hypothalamic obesity in the first quarter of 2025.</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leveraging what we believe is the largest known DNA database focused on obesity - with approximately 100,000 sequencing samples as of December 31, 2024 - to improve the understanding, diagnosis and care of people living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BBS and biallelic POMC, PCSK1 or LEPR deficiencies. Our epidemiology estimates for the two more prevalent indications being studied in our Phase 3 EMANATE trial (SH2B1 and POMC/PCSK1) suggest that approximately 29,000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All these patients face similar challenges as other patients with rare diseases, namely lack of awareness, resources, tests, tools and, especially, therapeutic options.</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setmelanotide to address additional patients with acquired hypothalamic obesity. In our Phase 2 trial evaluating setmelanotide as a treatment for hypothalamic obesity, as announced in November 2022, 16 of 18 patients achieved the primary endpoint with a body mass index (BMI) decrease greater than 5 percent on setmelanotide therapy, and we observed a 14.5 mean percent reduction in BMI across all patients. As part of our November 2022 presentation, we detailed that fourteen of these patients transitioned from this Phase 2 trial into our open-label, long-term extension trial and they remained on therapy, as of November 3, 2023. Twelve of these 14 patients had achieved a 25.5% reduction in mean BMI from baseline at one year on setmelanotide therapy. On February 22, 2024, we provided an update on progress of our pivotal, Phase 3 clinical trial evaluating setmelanotide in patients with acquired hypothalamic obesity. We completed enrollment in the Phase 3 clinical trial is designed to enroll 120 patients aged 4 years or older randomized 2:1 to setmelanotide therapy or placebo for a total of 60 weeks, including up to eight weeks for dose titration. The primary endpoint is the percent change in BMI after approximately 52 weeks on a therapeutic regimen of setmelanotide versus placebo. Key secondary endpoints include the proportion of patients who achieve ≥5% reduction in BMI from baseline in adults (≥18) or BMI Z-score reduction of ≥0.2 from baseline in pediatrics after approximately 52 weeks on a therapeutic regimen of compared with placebo, and mean change in the weekly average of the daily most hunger score in patients ≥12 years from baseline after approximately 52 weeks on a therapeutic regimen of setmelanotide versus placebo. We expect to report top-line study results in the first half of 2025.</w:t>
      </w:r>
    </w:p>
    <w:p>
      <w:pPr>
        <w:spacing w:after="0" w:line="19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date, we have not generated sufficient cash flow from product sales and have financed our operations primarily through the proceeds received from the sales of common and preferred stock, royalty interest financing, asset sales, as well as capital contributions from the former parent company, Rhythm Holdings LLC. From August 2015 through August 2017, we raised aggregate net proceeds of $80.8 million through our issuance of Convertible Preferred Stock (as defined below). Since our initial public offering, or IPO, on October 10, 2017 and our underwritten follow-on offerings through October 2022, we have raised aggregate net proceeds of approximately $832.7 million through the issuance of our common stock after deducting underwriting discounts, commissions and offering related transaction costs. We also received $100.0 million from the sale of our Rare Pediatric Disease Priority Review Voucher, or PRV, to Alexion Pharmaceuticals, Inc. in February 2021. In June 2022, we entered into the Revenue Interest Financing Agreement (“RIFA”), with entities managed by HealthCare Royalty Partners, collectively referred to as the Investors, and through December 31, 2024 have received cumulative proceeds of $96.7 million, net of certain transaction costs. We also received $147.8 million in net proceeds under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December 31, 2024, our cash and cash equivalents and short-term investments were approximately $320.6 million. We expect that our existing cash and cash equivalents and short-term investments will be sufficient to fund our operations into 2027.</w:t>
      </w:r>
    </w:p>
    <w:p>
      <w:pPr>
        <w:spacing w:after="0" w:line="19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accumulated deficit of $1,155.3 million. Our net losses were $260.6 million and $184.7 million for the years ended December 31, 2024 and 2023, respectively. We expect to continue to incur significant expenses and increasing operating losses over the foreseeable future. We expect our expenses will increase substantially in connection with our ongoing activities, as we:</w:t>
      </w:r>
    </w:p>
    <w:p>
      <w:pPr>
        <w:spacing w:after="0" w:line="180" w:lineRule="exact"/>
        <w:rPr>
          <w:sz w:val="20"/>
          <w:szCs w:val="20"/>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clinical trials for setmelanotide and our other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contract manufacturing organizations, or CMOs, for the manufacture of clinical and commercial-grade setmelanotide;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setmelanotide for future indications, and for our other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and financial operations and build a marketing and commercialization infrastructure;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sales and marketing efforts necessary to support the continued commercial efforts of IMCIVREE globally;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into account the levels, timing and collection of revenue earned from sales of IMCIVREE and other products approved in the future, if any;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our cash and cash equivalents and short-term investments were approximately $320.6 million. We expect that our cash and cash equivalents and short-term investments as of December 31, 2024, will enable us to fund our operating expenses into 2027.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Background</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a Delaware corporation organized in February 2013 under the name Rhythm Metabolic, Inc., and as of October 2015, under the name Rhythm Pharmaceuticals, Inc.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39" w:firstLine="540"/>
        <w:spacing w:after="0" w:line="254" w:lineRule="auto"/>
        <w:rPr>
          <w:sz w:val="20"/>
          <w:szCs w:val="20"/>
          <w:color w:val="auto"/>
        </w:rPr>
      </w:pPr>
      <w:r>
        <w:rPr>
          <w:rFonts w:ascii="Times New Roman" w:cs="Times New Roman" w:eastAsia="Times New Roman" w:hAnsi="Times New Roman"/>
          <w:sz w:val="18"/>
          <w:szCs w:val="18"/>
          <w:color w:val="auto"/>
        </w:rPr>
        <w:t>To date, we have generated approximately $227.6 million of revenue from product sales.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in March 2022 under the paid early access program. IMCIVREE was approval by the FDA and the EC in adult and pediatric patients six years of age and older with obesity due to BBS in June and September 2022, respectively. Following these approvals for BBS, sales of IMCIVREE have grown, and we expect will continue to grow as we identify and treat more patients with this disease and obtain reimbursement throughout the international markets in which we operate.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of our inventory of IMCIVREE produced prior to FDA approval is available for commercial or clinical use. Most of the manufacturing costs have been recorded as research and development expenses in prior periods. </w:t>
      </w:r>
      <w:r>
        <w:rPr>
          <w:rFonts w:ascii="Times New Roman" w:cs="Times New Roman" w:eastAsia="Times New Roman" w:hAnsi="Times New Roman"/>
          <w:sz w:val="18"/>
          <w:szCs w:val="18"/>
          <w:color w:val="212529"/>
        </w:rPr>
        <w:t>We 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cost of sales to increase in 2025 as we continue to sell inventory that is produced after we began capitalizing manufacturing costs for IMCIVREE commercial inventory.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and genetic sequencing efforts, and the clinical development of setmelanotide, which include:</w:t>
      </w:r>
    </w:p>
    <w:p>
      <w:pPr>
        <w:spacing w:after="0" w:line="162" w:lineRule="exact"/>
        <w:rPr>
          <w:sz w:val="20"/>
          <w:szCs w:val="20"/>
          <w:color w:val="auto"/>
        </w:rPr>
      </w:pPr>
    </w:p>
    <w:p>
      <w:pPr>
        <w:jc w:val="both"/>
        <w:ind w:left="1040" w:right="79" w:hanging="315"/>
        <w:spacing w:after="0" w:line="266"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and clinical study materials;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genetic sequencing of potential patients in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rent and maintenance of facilities, insurance and other operating costs;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Xinvento B.V., or Xinvento in the three months ended March 31, 2023;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acquired in process research and development costs associated with the acquisition of LG Chem, Ltd.’s, or LGC’s, proprietary compound bivamelagon in the three months ended March 31, 2024.</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spacing w:after="0" w:line="3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research and development expenses: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Research and development summary</w:t>
            </w:r>
          </w:p>
        </w:tc>
        <w:tc>
          <w:tcPr>
            <w:tcW w:w="34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237,957</w:t>
            </w: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unable to predict the duration and costs of the current or future clinical trials of our product candidates. The duration, costs, and timing of clinical trials and development of setmelanotide, RM-718, bivamelagon, and a potential therapeutic product candidate for congenital hyperinsulinism (CHI) will depend on a variety of factors, including:</w:t>
      </w:r>
    </w:p>
    <w:p>
      <w:pPr>
        <w:spacing w:after="0" w:line="176" w:lineRule="exact"/>
        <w:rPr>
          <w:sz w:val="20"/>
          <w:szCs w:val="20"/>
          <w:color w:val="auto"/>
        </w:rPr>
      </w:pPr>
    </w:p>
    <w:p>
      <w:pPr>
        <w:ind w:left="1040" w:right="79" w:hanging="315"/>
        <w:spacing w:after="0" w:line="282" w:lineRule="auto"/>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demonstrated by setmelanotide in future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trial design;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would significantly change the costs and timing associated with its development and potential commercialization.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selling, general and administrative expenses.</w:t>
      </w: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summary</w:t>
            </w:r>
          </w:p>
        </w:tc>
        <w:tc>
          <w:tcPr>
            <w:tcW w:w="20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8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$ 144,304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$ 117,532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 expenses, insurance and investor relations costs, among other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included elsewhere in this Annual Report, we believe that the following accounting policies are the most critical to aid in fully understanding and evaluating our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606, Revenue from Contracts with Customers, we recognize revenue when a customer obtains control of promised goods or services, in an amount that reflects the consideration we expect to receive in exchange for the goods or services provided. To determine revenue recognition for arrangements within the scope of ASC 606, we perform the following five steps: (1) identify the contracts with a customer;</w:t>
      </w:r>
    </w:p>
    <w:p>
      <w:pPr>
        <w:spacing w:after="0" w:line="3" w:lineRule="exact"/>
        <w:rPr>
          <w:sz w:val="20"/>
          <w:szCs w:val="20"/>
          <w:color w:val="auto"/>
        </w:rPr>
      </w:pPr>
    </w:p>
    <w:p>
      <w:pPr>
        <w:jc w:val="both"/>
        <w:ind w:left="60" w:right="59" w:hanging="10"/>
        <w:spacing w:after="0" w:line="251" w:lineRule="auto"/>
        <w:tabs>
          <w:tab w:leader="none" w:pos="3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(3) determine the transaction price; (4) allocate the transaction price to the performance obligations in the contract; and (5) recognize revenue when or as the entity satisfies a performance obligation. At contract inception,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all contracts that fall into the scope of ASC 606, we have identified one performance obligation: the sale of IMCIVREE to our customers. We have not incurred or capitalized any incremental costs associated with obtaining contracts with customers.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which accounts for the largest portion of our total revenues, the Company sells its product to one material specialty pharmacy. The product is distributed through third-party logistics, or 3PL, distribution agent that does not take title to the product. Once the product is delivered to the Company’s specialty pharmacy provider, our customer in the United States,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Revenue is recorded at net selling price (transaction price), which includes estimates of variable consideration. Our variable consideration consists of government rebates, trade discounts, product returns and other incentives. The largest of our variable consideration components is government rebates for which reserves are established for estimated rebates for programs such as Medicaid, Medicare and Tricare in the United States as well as certain government rebates and pricing adjustments in certain international markets that we operate. We estimate these rebates based upon a range of possible outcomes that take into consideration the estimated payer mix. These reserves are recorded in the same period the related revenue is recognized, resulting in a reduction of product revenue and the establishment of a liability that is included in accrued expenses and other current liabilities on our consolidated balance sheets. On a quarterly basis, we update our estimates and record any necessary adjustments in the period identified. Overall, these reserves reflect our best estimates of the amount of consideration to which we are entitled based on the terms of the applicable contract. If actual results in the future vary from estimates, we adjust these estimates, which would affect net product revenue and earnings in the period such variances become known. Provisions for trade discounts, chargebacks and allowances are recorded as reductions to accounts receivable, and returns, government rebates, and other incentives are recorded as a component of accrued expenses.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the value associated with goods and services received in the period in connection with research and development activities.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or alternatively, the deferral of amounts paid for goods or services to be incurred in the future. The majority of our service providers invoice us monthly in arrears for services performed or when contractual milestones are met. We make estimates of our accrued expenses or prepaid expenses as of each balance sheet date in our financial statements based on facts and circumstances known to us at the time those financial statements are prepared. We periodically confirm the accuracy of our estimates with the service providers and make adjustments if necessary. The significant estimates in our accrued research and development expenses include fees paid to CROs, CMOs and consultants in connection with research and development activities.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accrue our expenses related to CROs, CMOs and consultants based on our estimates of the services received and efforts expended pursuant to quotes and contracts with CROs, CMOs and consultants that conduct research and development and manufacturing on our behalf. The financial terms of these agreements are subject to negotiation, vary from contract to contract and may result in uneven payment flows. The allocation of CRO upfront expenses for both clinical trials and preclinical studies generally tracks actual work activity. However, there may be instances in which payments made to our vendors will exceed the level of services provided and result in a prepayment of the research and development expense. In accruing service fees delivered over a period of time, we estimate the time period over which services will be performed and the level of effort to be expended in each period. If the actual timing of the performance of services or the level of effort varies from our estimate, we adjust accrued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the Rhythm Pharmaceuticals, Inc. 2017 Equity Incentive Plan, (the “2017 Plan”) which provides for the grant of incentive stock options, non-qualified stock options, stock appreciation rights, performance units, restricted stock awards, restricted stock units and stock grants to employees, consultants, advisors and directors, as determined by the board of directors. As of December 31, 2024, we had reserved 12,475,344 shares of common stock under the 2017 Plan. Shares of common stock issued pursuant to awards are generally issued from authorized but unissued shares. The 2017 Plan provides that the exercise price of incentive stock options cannot be less than 100% of the fair market value of the common stock on the date of the award for participants who own less than 10% of the total combined voting power of stock, and not less than 110% for participants who own more than 10% of the voting power. Awards granted under the 2017 Plan will vest over periods as determined by our Compensation Committee and approved by our board of directors.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9, 2022, our board of directors adopted the Rhythm Pharmaceuticals, Inc. 2022 Employment Inducement Plan (the “2022 Inducement Plan”), which became effective on such date without stockholder approval pursuant to Rule 5635(c)(4) of the Nasdaq Stock Market LLC listing rules (“Rule 5635(c)(4)”). The 2022 Inducement Plan provides for the grant of non-qualified stock options, stock appreciation rights, performance units, restricted stock awards, restricted stock units and stock grants. In accordance with Rule 5635(c)(4), awards under the 2022 Inducement Plan may only be made to a newly hired employee who has not previously been a member of our board of directors, or an employee who is being rehired following a bona fide period of non-employment by the Company or a subsidiary, as a material inducement to the employee’s entering into employment with the Company or its subsidiary. An aggregate of 1,000,000 shares of our common stock have been reserved for issuance under the 2022 Inducement Plan.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stock options granted under the 2022 Inducement Plan will not be less than the fair market value of a share of our common stock on the grant date. Other terms of awards, including vesting requirements, are determined by our board of directors and are subject to the provisions of the 2022 Inducement Plan. Stock options granted to employees generally vest over a four-year period but may be granted with different vesting terms. Certain options may provide for accelerated vesting in the event of a change in control. Stock options granted under the 2022 Inducement Plan expire no more than 10 years from the date of grant. As of December 31, 2024, there were 495,978 stock option awards outstanding, 317,554 restricted stock unit awards outstanding and 14,586 shares of common stock available for future grant under the 2022 Inducement Plan.</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stock option awards to employees and non-employees using the Black-Scholes option-pricing model, which requires the input of subjective assumptions, including (a) the expected volatility of our stock,</w:t>
      </w:r>
    </w:p>
    <w:p>
      <w:pPr>
        <w:jc w:val="both"/>
        <w:ind w:left="60" w:right="59" w:hanging="10"/>
        <w:spacing w:after="0" w:line="252"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award, (c) the risk-free interest rate, and (d) expected dividends. Due to the lack of a public market for the trading of our common stock and a lack of company-specific historical and implied volatility data, we previously based our estimate of expected volatility on the historical volatility of a group of companies in the pharmaceutical and biotechnology industries in a similar stage of development as us and that are publicly traded. For these analyses, we selected companies with comparable characteristics to ours including enterprise value, risk profiles and with historical share price information sufficient to meet the expected life of the stock-based awards. We computed the historical volatility data using the daily closing prices for the selected companies' shares during the equivalent period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calculated expected term of our stock-based awards. We estimate volatility by using a blend of our stock price history for the length of time we have market data for our stock and the historical volatility of similar public companies for the expected term of each grant. We will continue to apply this process until a sufficient amount of historical information regarding the volatility of our own stock price becomes available.</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estimated the expected life of our employee stock options using the "simplified" method, whereby, the expected life equals the average of the vesting term and the original contractual term of the option. The risk-free interest rates for periods within the expected life of the option are based on the U.S. Treasury yield curve in effect during the period the options were granted. We have elected to account for forfeitures as they occur. Upon adopting Accounting Standards Update 2018-07, </w:t>
      </w:r>
      <w:r>
        <w:rPr>
          <w:rFonts w:ascii="Times New Roman" w:cs="Times New Roman" w:eastAsia="Times New Roman" w:hAnsi="Times New Roman"/>
          <w:sz w:val="18"/>
          <w:szCs w:val="18"/>
          <w:i w:val="1"/>
          <w:iCs w:val="1"/>
          <w:color w:val="auto"/>
        </w:rPr>
        <w:t>Improvements to Nonemployee Share-Based Payment Accounting (Topic 718)</w:t>
      </w:r>
      <w:r>
        <w:rPr>
          <w:rFonts w:ascii="Times New Roman" w:cs="Times New Roman" w:eastAsia="Times New Roman" w:hAnsi="Times New Roman"/>
          <w:sz w:val="18"/>
          <w:szCs w:val="18"/>
          <w:color w:val="auto"/>
        </w:rPr>
        <w:t xml:space="preserve"> on July 1, 2018, we elected that unsettled equity-classified awards to nonemployees for which a measurement date has not been established be measured using the adoption date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account for uncertain tax positions in accordance with the provisions of Accounting Standards Codification, or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or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2024, we did not have any uncertain tax positions.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Income taxes are recorded in accordance with ASC 740, which provides for deferred taxes using an asset and liability approach. We recognize deferred tax assets and liabilities for the expected future tax consequences of events that have been included in the financial statements or tax returns. We determine our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 substantial annual limitation due to ownership change limitations that have occurred previously or that could occur in the future, as provided by Section 382 of the Internal Revenue Code of 1986, as amended, or the Code, or Section 382, as well as similar state provisions and other provisions of the Code. Ownership changes may limit the amount of net operating losses and tax credit carryforwards that can be utilized annually to offset future taxable income and tax, respectively. In general, an ownership change, as defined by Section 382, occurs when there is a greater than 50% change in the ownership of stock among certain 5% shareholders over a three-year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together with the changes in those items in dollars and as a percentage: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200" w:type="dxa"/>
            <w:vAlign w:val="bottom"/>
            <w:gridSpan w:val="3"/>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52,698</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103,006</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395,629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2,059</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increased by $52.7 million to $130.1 million in 2024 from $77.4 million in 2023,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68%. We expect our sales of IMCIVREE to continue to increase following the FDA approval for the treatment of patients with BBS in the United States in June 2022. We have achieved market access for IMCIVREE for BBS or POMC and LEPR deficiencies, or both, in more than 15 countries outside the United States, and we continue to collaborate with authorities to achieve access in additional markets. For the years ended December 31, 2024 and 2023, a substantial amount of our product revenue, or 74% and 77%, respectively, was generated from sales of our product to patients in the United States.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$4.1 million to $13.4 million in 2024 from $9.3 million in 2023,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 of 44%, which was driven primarily by the increase in product revenue in 2024. Cost of sales is composed of royalty expense due to Ipsen on our net product sales, amortization of our capitalized sales-based milestone payment made to Ipsen, upon our first commercial sale in the United States and EU, the cost of product, as well as costs associated with our patient assistance programs. Specifically, the $4.1 million increase in cost of sales in 2024 was due to $2.6 million of additional royalties due to our growth in sales and $1.5 million </w:t>
      </w:r>
      <w:r>
        <w:rPr>
          <w:rFonts w:ascii="Times New Roman" w:cs="Times New Roman" w:eastAsia="Times New Roman" w:hAnsi="Times New Roman"/>
          <w:sz w:val="18"/>
          <w:szCs w:val="18"/>
          <w:color w:val="212529"/>
        </w:rPr>
        <w:t>due to higher product costs from higher net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revenue. </w:t>
      </w:r>
      <w:r>
        <w:rPr>
          <w:rFonts w:ascii="Times New Roman" w:cs="Times New Roman" w:eastAsia="Times New Roman" w:hAnsi="Times New Roman"/>
          <w:sz w:val="18"/>
          <w:szCs w:val="18"/>
          <w:color w:val="000000"/>
        </w:rPr>
        <w:t>We expect cost of sales as a percentage of product revenue, net to continue to be in a range of 10% to 12%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foreseeable future.</w:t>
      </w:r>
    </w:p>
    <w:p>
      <w:pPr>
        <w:spacing w:after="0" w:line="185"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increased by $103.0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$238.0 million in 2024 from $135.0 million in 2023, an increase of 76%. The increase was primarily due to the following:</w:t>
      </w:r>
    </w:p>
    <w:p>
      <w:pPr>
        <w:spacing w:after="0" w:line="160" w:lineRule="exact"/>
        <w:rPr>
          <w:sz w:val="20"/>
          <w:szCs w:val="20"/>
          <w:color w:val="auto"/>
        </w:rPr>
      </w:pPr>
    </w:p>
    <w:p>
      <w:pPr>
        <w:ind w:left="1040" w:right="79" w:hanging="315"/>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acquired in-process research and development costs associated with the acquisition of LGC’s proprietary compound bivamelagon of $92.4 million;</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$8.1 million in salaries, benefits and stock-based compensation related to the hiring of additional full-time employees in order to support the growth of our research and development programs;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$7.5 million in our </w:t>
      </w:r>
      <w:r>
        <w:rPr>
          <w:rFonts w:ascii="Times New Roman" w:cs="Times New Roman" w:eastAsia="Times New Roman" w:hAnsi="Times New Roman"/>
          <w:sz w:val="18"/>
          <w:szCs w:val="18"/>
          <w:color w:val="212529"/>
        </w:rPr>
        <w:t>Phase 3 acquired hypothalamic obesity trial, our Phase 1 clinical trial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RM-718 and the Phase 2 bivamelagon trial acquired from LGC. </w:t>
      </w:r>
      <w:r>
        <w:rPr>
          <w:rFonts w:ascii="Times New Roman" w:cs="Times New Roman" w:eastAsia="Times New Roman" w:hAnsi="Times New Roman"/>
          <w:sz w:val="18"/>
          <w:szCs w:val="18"/>
          <w:color w:val="000000"/>
        </w:rPr>
        <w:t>These costs were partially offset by reduced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activity due to the completion and wind down of our long term extension trial, Phase 2 Basket trial, Phase 3 pediatrics trial, and switch trial; and</w:t>
      </w:r>
    </w:p>
    <w:p>
      <w:pPr>
        <w:spacing w:after="0" w:line="162" w:lineRule="exact"/>
        <w:rPr>
          <w:sz w:val="20"/>
          <w:szCs w:val="20"/>
          <w:color w:val="auto"/>
        </w:rPr>
      </w:pPr>
    </w:p>
    <w:p>
      <w:pPr>
        <w:ind w:left="700" w:right="319" w:firstLine="25"/>
        <w:spacing w:after="0" w:line="500" w:lineRule="auto"/>
        <w:tabs>
          <w:tab w:leader="none" w:pos="10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$4.3 million due to increased CMC development costs related to RM-718 and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The above increases were partially offset by:</w:t>
      </w:r>
    </w:p>
    <w:p>
      <w:pPr>
        <w:spacing w:after="0" w:line="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in-process research and development assets of $5.7 million from Xinvento in 2023, which did not recur in 2024;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 decrease in our clinical trial costs associated with decreased activity in our Phase 2 DAYBREAK trial and pediatrics trial for setmelanotide therapy of approximately $3.6 million.</w:t>
      </w:r>
    </w:p>
    <w:p>
      <w:pPr>
        <w:spacing w:after="0" w:line="16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$26.8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$144.3 million in 2024 from $117.5 million in 2023, an increase of 23%. The increase was primarily due to the following:</w:t>
      </w:r>
    </w:p>
    <w:p>
      <w:pPr>
        <w:spacing w:after="0" w:line="175" w:lineRule="exact"/>
        <w:rPr>
          <w:sz w:val="20"/>
          <w:szCs w:val="20"/>
          <w:color w:val="auto"/>
        </w:rPr>
      </w:pPr>
    </w:p>
    <w:p>
      <w:pPr>
        <w:jc w:val="both"/>
        <w:ind w:left="1040" w:right="79" w:hanging="315"/>
        <w:spacing w:after="0" w:line="266"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$18.7 million due to increased compensation and benefits related costs associated with additional headcount to support our expanding business operations as well as to establish commercial operations in international regions;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an increase of $6.7 million related to increased marketing and promotion costs to support continued revenue growth; and</w:t>
      </w:r>
    </w:p>
    <w:p>
      <w:pPr>
        <w:spacing w:after="0" w:line="161" w:lineRule="exact"/>
        <w:rPr>
          <w:rFonts w:ascii="Times New Roman" w:cs="Times New Roman" w:eastAsia="Times New Roman" w:hAnsi="Times New Roman"/>
          <w:sz w:val="18"/>
          <w:szCs w:val="18"/>
          <w:color w:val="auto"/>
        </w:rPr>
      </w:pPr>
    </w:p>
    <w:p>
      <w:pPr>
        <w:ind w:left="700" w:right="79" w:firstLine="25"/>
        <w:spacing w:after="0" w:line="500" w:lineRule="auto"/>
        <w:tabs>
          <w:tab w:leader="none" w:pos="10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$3.1 million related to professional services costs, </w:t>
      </w:r>
      <w:r>
        <w:rPr>
          <w:rFonts w:ascii="Times New Roman" w:cs="Times New Roman" w:eastAsia="Times New Roman" w:hAnsi="Times New Roman"/>
          <w:sz w:val="18"/>
          <w:szCs w:val="18"/>
          <w:color w:val="212529"/>
        </w:rPr>
        <w:t>including legal, consulting and tax services.</w:t>
      </w:r>
      <w:r>
        <w:rPr>
          <w:rFonts w:ascii="Times New Roman" w:cs="Times New Roman" w:eastAsia="Times New Roman" w:hAnsi="Times New Roman"/>
          <w:sz w:val="18"/>
          <w:szCs w:val="18"/>
          <w:color w:val="auto"/>
        </w:rPr>
        <w:t xml:space="preserve"> The above increases were partially offset by:</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inventoriable costs that were capitalized to inventory as labor and overhead, of $1.7 million.</w:t>
      </w:r>
    </w:p>
    <w:p>
      <w:pPr>
        <w:spacing w:after="0" w:line="223" w:lineRule="exact"/>
        <w:rPr>
          <w:sz w:val="20"/>
          <w:szCs w:val="20"/>
          <w:color w:val="auto"/>
        </w:rPr>
      </w:pPr>
    </w:p>
    <w:p>
      <w:pPr>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increased by $5.0 million to $5.2 million in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in 2023, which was due to the following:</w:t>
      </w:r>
    </w:p>
    <w:p>
      <w:pPr>
        <w:spacing w:after="0" w:line="160" w:lineRule="exact"/>
        <w:rPr>
          <w:sz w:val="20"/>
          <w:szCs w:val="20"/>
          <w:color w:val="auto"/>
        </w:rPr>
      </w:pPr>
    </w:p>
    <w:p>
      <w:pPr>
        <w:ind w:left="1040" w:right="79" w:hanging="315"/>
        <w:spacing w:after="0" w:line="282"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a gain of $8.9 million recognized for the change in fair value of a forward contract recorded with the issuance of Convertible Preferred Stock;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 change in fair value of the embedded derivative in our debt royalty obligation of $1.2 million, realized foreign currency gains of $0.4 million and other income of $0.4 million;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an increase in interest income of $0.8 million earned on our short-term investments, based on higher investment balances from the net proceeds of $147.8 million from the convertible preferred stock issuance.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increases were slightly offset by:</w:t>
      </w:r>
    </w:p>
    <w:p>
      <w:pPr>
        <w:spacing w:after="0" w:line="225" w:lineRule="exact"/>
        <w:rPr>
          <w:sz w:val="20"/>
          <w:szCs w:val="20"/>
          <w:color w:val="auto"/>
        </w:rPr>
      </w:pPr>
    </w:p>
    <w:p>
      <w:pPr>
        <w:ind w:left="1040" w:right="79" w:hanging="315"/>
        <w:spacing w:after="0" w:line="282" w:lineRule="auto"/>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recognition of $4.0 million of non-cash interest expense in 2024 associated with accretion of the current liability payable to LGC in July 2025; and</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an increase in non-cash interest expense of $2.7 million related to amortization of debt discount and deferred financing fees associated with our higher deferred royalty obligation balance, based on the receipt of our final $25.0 million sales milestone in the three months ended September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our cash and cash equivalents and short-term investments were approximately $320.6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5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4"/>
          </w:tcPr>
          <w:p>
            <w:pPr>
              <w:jc w:val="right"/>
              <w:ind w:right="5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(136,157)</w:t>
            </w:r>
          </w:p>
        </w:tc>
      </w:tr>
      <w:tr>
        <w:trPr>
          <w:trHeight w:val="21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74,368</w:t>
            </w:r>
          </w:p>
        </w:tc>
      </w:tr>
      <w:tr>
        <w:trPr>
          <w:trHeight w:val="21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(67,596)</w:t>
            </w:r>
          </w:p>
        </w:tc>
      </w:tr>
      <w:tr>
        <w:trPr>
          <w:trHeight w:val="20"/>
        </w:trPr>
        <w:tc>
          <w:tcPr>
            <w:tcW w:w="5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use of cash in all periods resulted primarily from our net losses, adjusted for non-cash charges and changes in components of </w:t>
      </w:r>
      <w:r>
        <w:rPr>
          <w:rFonts w:ascii="Times New Roman" w:cs="Times New Roman" w:eastAsia="Times New Roman" w:hAnsi="Times New Roman"/>
          <w:sz w:val="18"/>
          <w:szCs w:val="18"/>
          <w:color w:val="212529"/>
        </w:rPr>
        <w:t>operating assets and liabilities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$113.9 million for the year ended December 31, 2024, and consisted primarily of a net loss of $260.6 million adjusted for non-cash items of $43.8 million, which consisted of stock-based compensation, depreciation and amortization, non-cash interest expense, non-cash accretion and amortization of short-term investments, non-cash accretion of other current liability, non-cash rent expense, gain on settlement of forward contract, and the change in the fair value of our embedded derivative liability. Our net loss also included $92.4 million of acquired In-Process Research and Development (IPR&amp;D) assets, which are classified as investing activities. The change in operating assets and liabilities provided net cash of approximately $10.6 million, primarily driven by increases to accounts payable and accrued expenses of $21.9 million, net decreases in long-term assets of $7.9 million, offset by net increases in accounts receivable and inventory of $13.8 million and net increases to prepaid expenses of $5.5 million.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$136.2 million for the year ended December 31, 2023, and consisted primarily of a net loss of $184.7 million adjusted for non-cash items of $38.0 million, which consisted of stock-based compensation, depreciation and amortization, non-cash rent expense, accretion and amortization of our short-term investments and the change in the fair value of our embedded derivative liability. Our net loss also included $5.7 million of acquired IPR&amp;D assets, which are classified as investing activities. The change in operating assets and liabilities reflected a total net source of cash of approximately $4.8 million primarily driven by a net increase in accounts payable and accrued expenses of $14.8 million, decreases in long term assets of $1.7 million and decreases in prepaid expenses and other current assets of $2.7 million. The net cash sources described above were partially offset by net cash uses from increases in accounts receivable and inventory totaling $14.4 million, based on the ongoing growth in the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$48.2 million for the year ended December 31, 2024 and related to purchases of short term investments for $268.3 million and cash used for the purchase of LGC’s proprietary compound bivamelagon for $40.0 million in January 2024, offset by gross maturities of short-term investments of $260.6 million.</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$5.7 million for the year ended December 31, 2023 which related primarily to cash used to purchase Xinvento’s IPR&amp;D assets in February 2023. Our gross purchases of short-term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investments of $354.9 million were generally offset by gross proceeds from maturities of short-term investments of $355.0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$191.2 million for the year ended December 31, 2024, and consisted of net proceeds of $147.8 million from the issuance of Convertible Perferred Stock as well as net proceeds from our ATM equity offering of $39.1 million. We also received proceeds of $17.2 million from the exercise of stock options and the issuance of common stock from our 2017 Employee Stock Purchase Plan, or the ESPP. These proceeds were offset by $12.9 million of repayments on our deferred royalty obligation.</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$74.4 million for the year ended December 31, 2023, which consisted of net proceeds of $48.9 million from the issuance of common stock in August 2023, net proceeds of $24.4 million from the final investment tranche of our deferred royalty obligation and $8.5 million of cash proceeds from the exercise of stock options and the issuance of common stock from the ESPP. These proceeds were partially offset by $7.4 million of repayments of our deferred royalty obligation.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Financing Agreement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June 16, 2022, we entered into the RIFA with HealthCare Royalty, for a total investment amount of up to $100 million. In exchange for the total investment amount to be received by us, HealthCare Royalty will receive a tiered royalty based on global net product sales generated by IMCIVREE. For additional information, see Note 11, “Long-term Obligations” to the consolidated financial statements included elsewhere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clinical development of and seek marketing approval for setmelanotide for future indications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and cash equivalents and short-term investments will be sufficient to fund our operations into 2027.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40" w:right="79" w:hanging="31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commercialize setmelanotide, by building an internal sales force or entering into collaborations with third parties and providing support services for patients;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scope, progress, results and costs of clinical trials for our setmelanotide program, as well as for RM-718 and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timing and outcome of regulatory review of our setmelanotide program; as well as for RM-718 and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000000"/>
        </w:rPr>
        <w:t>, and in connection with a therapeutic product candidate for CHI;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acquisition, integration, research and development and commercialization efforts related to the acquisition of Xinvento B.V. and any related therapeutic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owed to Ipsen, Camurus and LG Chem, pursuant to our license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 losing our emerging growth company status.</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ATM</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 2021, we entered into a Sales Agreement with Cowen and Company, LLC (“Cowen”), pursuant to which we may issue and sell shares of its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12529"/>
        </w:rPr>
        <w:t>On February 29, 2024, we and Cowen entered into Amendment No. 1 to Sales Agreement (the “Amendment”) to increase the aggregate offering price of the shares of common stock that may be issued and sold pursuant to the Sales Agreement to $200.0 million (excluding the aggregate offering price of shares of common stock issued and sold pursuant to the Sales Agreement prior to February 29, 2024). In connection with the Amendment, on February 29, 2024, we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Beginning on December 10, 2024 the company sold 744,595 shares of common stock in the ATM program for net proceeds of $41.2 million as of December 31, 2024. The company sold an additional 587,510 shares of common stock in the ATM program through January 21, 2025 for net proceeds of approximately $32.1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funding</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September 19, 2022, we completed a public offering of 4,800,000 shares of common stock at a price to the public of $26.00 per share. We received $116,887 in net proceeds after deducting underwriting discounts, commissions and offering expenses. In addition, we granted the underwriters a 30-day option to purchase up to an additional 720,000 shares of its common stock at the price to the public, less underwriting discounts and commissions. On October 18, 2022, we completed the sale of an additional 580,000 shares of common stock at a price to the public of $26.00 per share pursuant to the partial exercise of the underwriters’ option to purchase additional shares, for aggregate net proceeds of approximately $14,175, after deducting underwriting discounts, commissions and offering expenses.</w:t>
      </w:r>
    </w:p>
    <w:p>
      <w:pPr>
        <w:spacing w:after="0" w:line="18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April 2024, we received $147.8 million in net proceeds under the Investment Agreement, with certain affiliates of Perceptive Advisors LLC, or Perceptive, and certain other investors, relating to the issuance and sale of 150,000 shares of a new series of the Company’s Convertible Preferred Stock for an aggregate purchase price of $150.0 million, or $1,000 per share.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and CMOs for clinical trials and clinical supply manufacturing and with vendors for clinical research studies and other services and products for operating purposes. We do not classify these as contractual obligations where the contracts are cancelable at any time by us, generally upon 30 days' prior written notice to the vendor.</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Milestone and royalty payments associated with our license agreements with Ipsen, Camurus, and LG Chem, have not been included as contractual obligations as we cannot reasonably estimate if or when they will occur. Under the terms of the Ipsen license agreement, assuming that setmelanotide is successfully developed, receives regulatory approval and is commercialized, Ipsen may receive aggregate payments of up to $40.0 million upon the achievement of certain development and commercial milestones under the license agreement and royalties on future product sales and at December 31, 2024 there were $27.0 million of remaining milestones that may be achieved and due to Ipsen at a future date. During 2022, we paid Ipsen a $4.0 million milestone upon our first commercial sale of IMCIVREE in Europe. We did not make additional milestone payments to Ipsen during 2023 or 2024. In the event that we enter into a sublicense agreement, we will make payments to Ipsen, depending on the date of the sublicense agreement, ranging from 10% to 20% of all revenues actually received under the sublicense agreement.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Camurus license agreement, assuming that the weekly formulation of setmelanotide is successfully developed, receives regulatory approval and is commercialized, Camurus may receive aggregate payments of up to $64.8 million upon the achievement of certain development and commercial milestones under the license agreement and royalties on future product sales. As of December 31, 2024, there were $62.5 million of remaining milestones that may be achieved and for which Camurus would receive payment at a future date. We paid Camurus a $1.0 million milestone in 2022 upon the achievement of a development milestone. We did not make any milestone payments to Camurus during 2023 or 2024. The majority of the aggregate payments under the Camurus license agreement are for milestones that may be achieved no earlier than first commercial sale of this weekly formulation of setmelanotide.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LG Chem license agreement, we have paid LG Chem $40 million in cash, issued shares of our common stock with an aggregate value of $20 million and agreed to make a $40 million payment in cash 18 months after the effective date of the license agreement. We have also agreed to pay LG Chem up to $205 million in cash upon achieving various regulatory and sales milestones based on net sales of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In addition and subject to the completion of Phase 2 development of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the Company has agreed to pay LGC royalties of between low-to-mid single digit percent of net revenues from its MC4R portfolio, including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in a region if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w:t>
      </w:r>
      <w:r>
        <w:rPr>
          <w:rFonts w:ascii="Times New Roman" w:cs="Times New Roman" w:eastAsia="Times New Roman" w:hAnsi="Times New Roman"/>
          <w:sz w:val="18"/>
          <w:szCs w:val="18"/>
          <w:color w:val="212529"/>
        </w:rPr>
        <w:t>bivamelagon</w:t>
      </w:r>
      <w:r>
        <w:rPr>
          <w:rFonts w:ascii="Times New Roman" w:cs="Times New Roman" w:eastAsia="Times New Roman" w:hAnsi="Times New Roman"/>
          <w:sz w:val="18"/>
          <w:szCs w:val="18"/>
          <w:color w:val="auto"/>
        </w:rPr>
        <w:t xml:space="preserve"> for the limited remainder of the royalty term in the relevant region. We entered into this agreement in 2024 and have not yet made any milestone payments.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12529"/>
        </w:rPr>
        <w:t>Based on our current development plans as of December 31, 2024, we expect to make milestone payments to third parties, during the next 12 months from the filing of this Annual Report. These milestones include a $40.0 million payment to LG Chem in July of 2025 (which is the second and final license fee installment, payable to LGC within eighteen (18) months of the effective date of the LG Chem license agrreement) and a $2.0 million payment to the sellers of Xinvento upon the commencement of Good Laboratory Practice (GLP) toxicity trials (currently expected to begin in 2025. Milestones generally become due and payable upon achievement of such milestones or sales. When the achievement of these milestones or sales have not occurred, such contingencies are not recorded in our financial statements and are excluded from the table below.</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12529"/>
        </w:rPr>
        <w:t xml:space="preserve">On May 2, 2024, we entered into an agreement to amend the current operating lease agreement for our head office facility </w:t>
      </w:r>
      <w:r>
        <w:rPr>
          <w:rFonts w:ascii="Times New Roman" w:cs="Times New Roman" w:eastAsia="Times New Roman" w:hAnsi="Times New Roman"/>
          <w:sz w:val="18"/>
          <w:szCs w:val="18"/>
          <w:color w:val="000000"/>
        </w:rPr>
        <w:t>in Boston, Massachusetts</w:t>
      </w:r>
      <w:r>
        <w:rPr>
          <w:rFonts w:ascii="Times New Roman" w:cs="Times New Roman" w:eastAsia="Times New Roman" w:hAnsi="Times New Roman"/>
          <w:sz w:val="18"/>
          <w:szCs w:val="18"/>
          <w:color w:val="212529"/>
        </w:rPr>
        <w:t xml:space="preserve">. Under the amendment, the current lease was extended for five years through July 31, 2030. </w:t>
      </w:r>
      <w:r>
        <w:rPr>
          <w:rFonts w:ascii="Times New Roman" w:cs="Times New Roman" w:eastAsia="Times New Roman" w:hAnsi="Times New Roman"/>
          <w:sz w:val="18"/>
          <w:szCs w:val="18"/>
          <w:color w:val="000000"/>
        </w:rPr>
        <w:t>The lease includes approximately 13,600 square feet of office space.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pending and recently adopted accounting pronouncements, see Note 2 to our audited consolidated financial statements included elsewhere in this Annual Report.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materially exposed to market risk related to changes in foreign currency exchange rates.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the consolidated financial statements filed as part of this Annual Report as listed under Item 15 below.</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2024, our disclosure controls and procedures were effective at the reasonable assurance level.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 15(f) of the Exchange Act). Our management assessed the effectiveness of our internal control over financial reporting as of December 31, 2024. In making this assessment, it used the criteria established in Internal Control—Integrated Framework (2013) issued by the Committee of Sponsoring Organizations of the Treadway Commission (COSO).</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Based upon such assessment, our management concluded that our internal control over financial reporting was effective as of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we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(IT application controls and IT-dependent manual controls) that are dependent on the ineffective ITGCs, or that use data produced from the system impacted by the ineffective ITGCs, were also ineffective.</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In response to the identified material weakness above, we implemented measures designed to improve internal control over financial reporting to remediate the control deficiencies that led to our material weakness.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remediation actions included: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Management has concluded that the material weaknesses described above have been remediated. The applicable controls have been in place for a sufficient period of time and management has concluded, through testing, that the controls operated effectively.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hanges in Internal Control Over Financial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 15(f) under the Exchange Act) that occurred during the fourth quarter of 2024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of Independent Registered Public Accounting Firm</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Ernst &amp; Young LLP, our independent registered public accounting firm, has issued an attestation report on our internal control over financial reporting, which is included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Rhythm Pharmaceuticals, Inc.</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audited Rhythm Pharmaceuticals, Inc.’s internal control over financial reporting as of December 31, 2024, based on criteria established in Internal Control—Integrated Framework issued by the Committee of Sponsoring Organizations of the Treadway Commission (2013 framework) (the COSO criteria). In our opinion, Rhythm Pharmaceuticals, Inc. (the Company) maintained, in all material respects, effective internal control over financial reporting as of December 31, 2024, based on the COSO criteria.</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convertible preferred stock and stockholders’ equity and cash flows for each of the three years in the period ended December 31, 2024, and the related notes and our report dated February 28, 2025 expressed an unqualified opinion thereon.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 w:right="3379" w:hanging="262"/>
        <w:spacing w:after="0" w:line="500"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sz w:val="20"/>
          <w:szCs w:val="20"/>
          <w:color w:val="auto"/>
        </w:rPr>
      </w:pPr>
    </w:p>
    <w:p>
      <w:pPr>
        <w:jc w:val="both"/>
        <w:ind w:left="1220" w:right="59"/>
        <w:spacing w:after="0" w:line="266" w:lineRule="auto"/>
        <w:rPr>
          <w:sz w:val="20"/>
          <w:szCs w:val="20"/>
          <w:color w:val="auto"/>
        </w:rPr>
      </w:pPr>
      <w:r>
        <w:rPr>
          <w:rFonts w:ascii="Times New Roman" w:cs="Times New Roman" w:eastAsia="Times New Roman" w:hAnsi="Times New Roman"/>
          <w:sz w:val="18"/>
          <w:szCs w:val="18"/>
          <w:color w:val="auto"/>
        </w:rPr>
        <w:t>On December 13, 2024, Yann Mazabraud, the Company’s EVP, Head of International, adopted a trading plan intended to satisfy the affirmative defense conditions of Rule 10b5-1(c) under the Exchange Act for the sale of up to 99,495 shares of the Company’s common stock until November 11, 2025.</w:t>
      </w:r>
    </w:p>
    <w:p>
      <w:pPr>
        <w:spacing w:after="0" w:line="176" w:lineRule="exact"/>
        <w:rPr>
          <w:sz w:val="20"/>
          <w:szCs w:val="20"/>
          <w:color w:val="auto"/>
        </w:rPr>
      </w:pPr>
    </w:p>
    <w:p>
      <w:pPr>
        <w:jc w:val="both"/>
        <w:ind w:left="1220" w:right="59"/>
        <w:spacing w:after="0" w:line="261" w:lineRule="auto"/>
        <w:rPr>
          <w:sz w:val="20"/>
          <w:szCs w:val="20"/>
          <w:color w:val="auto"/>
        </w:rPr>
      </w:pPr>
      <w:r>
        <w:rPr>
          <w:rFonts w:ascii="Times New Roman" w:cs="Times New Roman" w:eastAsia="Times New Roman" w:hAnsi="Times New Roman"/>
          <w:sz w:val="18"/>
          <w:szCs w:val="18"/>
          <w:color w:val="auto"/>
        </w:rPr>
        <w:t>On December 16, 2024, Pamela Cramer, the Company’s Chief Human Resources Officer, terminated a trading plan intended to satisfy the affirmative defense conditions of Rule 10b5-1(c) under the Exchange Act, originally adopted on May 10, 2024, for the sale of up to 98,937 shares of the Company’s common stock, originally set to expire on May 15, 2025.</w:t>
      </w:r>
    </w:p>
    <w:p>
      <w:pPr>
        <w:spacing w:after="0" w:line="180" w:lineRule="exact"/>
        <w:rPr>
          <w:sz w:val="20"/>
          <w:szCs w:val="20"/>
          <w:color w:val="auto"/>
        </w:rPr>
      </w:pPr>
    </w:p>
    <w:p>
      <w:pPr>
        <w:jc w:val="both"/>
        <w:ind w:left="1220" w:right="59"/>
        <w:spacing w:after="0" w:line="266" w:lineRule="auto"/>
        <w:rPr>
          <w:sz w:val="20"/>
          <w:szCs w:val="20"/>
          <w:color w:val="auto"/>
        </w:rPr>
      </w:pPr>
      <w:r>
        <w:rPr>
          <w:rFonts w:ascii="Times New Roman" w:cs="Times New Roman" w:eastAsia="Times New Roman" w:hAnsi="Times New Roman"/>
          <w:sz w:val="18"/>
          <w:szCs w:val="18"/>
          <w:color w:val="auto"/>
        </w:rPr>
        <w:t>On December 16, 2024, Pamela Cramer, the Company’s Chief Human Resources Officer, adopted a trading plan intended to satisfy the affirmative defense conditions of Rule 10b5-1(c) under the Exchange Act for the sale of up to 50,394 shares of the Company’s common stock until March 17, 2026.</w:t>
      </w:r>
    </w:p>
    <w:p>
      <w:pPr>
        <w:spacing w:after="0" w:line="176" w:lineRule="exact"/>
        <w:rPr>
          <w:sz w:val="20"/>
          <w:szCs w:val="20"/>
          <w:color w:val="auto"/>
        </w:rPr>
      </w:pPr>
    </w:p>
    <w:p>
      <w:pPr>
        <w:jc w:val="both"/>
        <w:ind w:left="1220" w:right="59"/>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December 31, 2024, no director or officer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of our directors, officers and employees, including our principal executive officer, principal financial officer, principal accounting officer or controller, or persons performing similar functions. We have posted a current copy of our Code of Business Conduct and Ethics on our website at </w:t>
      </w:r>
      <w:r>
        <w:rPr>
          <w:rFonts w:ascii="Times New Roman" w:cs="Times New Roman" w:eastAsia="Times New Roman" w:hAnsi="Times New Roman"/>
          <w:sz w:val="18"/>
          <w:szCs w:val="18"/>
          <w:i w:val="1"/>
          <w:iCs w:val="1"/>
          <w:color w:val="auto"/>
        </w:rPr>
        <w:t xml:space="preserve">www.rhythmtx.com </w:t>
      </w:r>
      <w:r>
        <w:rPr>
          <w:rFonts w:ascii="Times New Roman" w:cs="Times New Roman" w:eastAsia="Times New Roman" w:hAnsi="Times New Roman"/>
          <w:sz w:val="18"/>
          <w:szCs w:val="18"/>
          <w:color w:val="auto"/>
        </w:rPr>
        <w:t>in the “Investors &amp; Media” section under “Corporate Governance.” We intend to disclose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any amendments to, or waivers from, our Code of Business Conduct and Ethics that are required to be disclosed pursuant to the rules of the SEC, as well as Nasdaq’s requirement to disclose waivers with respect to directors and executive officers. The information contained on our website is not considered part of, or incorporated by reference into, this Annual Report or any other filing that we make with the SEC.</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under this item is incorporated herein by reference to our definitive proxy statement for our 2025 annual meeting of stockholders, which proxy statement will be filed with the Securities and Exchange Commission not later than 120 days after the close of our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for our 2025 annual meeting of stockholders, which proxy statement will be filed with the Securities and Exchange commission not later than 120 days after the close of our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70"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regarding our common stock that may be issued under (1) the 2017 Plan; (2) our 2017 Employee Stock Purchase Plan, (the 2017 ESPP); and (3) the 2022 Inducement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ind w:left="60" w:right="40"/>
        <w:spacing w:after="0" w:line="250" w:lineRule="auto"/>
        <w:rPr>
          <w:sz w:val="20"/>
          <w:szCs w:val="20"/>
          <w:color w:val="auto"/>
        </w:rPr>
      </w:pPr>
      <w:r>
        <w:rPr>
          <w:rFonts w:ascii="Times New Roman" w:cs="Times New Roman" w:eastAsia="Times New Roman" w:hAnsi="Times New Roman"/>
          <w:sz w:val="18"/>
          <w:szCs w:val="18"/>
          <w:color w:val="auto"/>
        </w:rPr>
        <w:t>Equity compensation plans approved by stockholders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2017 Plan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2017 ESPP</w:t>
      </w:r>
    </w:p>
    <w:p>
      <w:pPr>
        <w:spacing w:after="0" w:line="9"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color w:val="auto"/>
        </w:rPr>
        <w:t>Equity compensation plans not approved by stockholders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2022 Inducement Plan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49"/>
        </w:trPr>
        <w:tc>
          <w:tcPr>
            <w:tcW w:w="1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 Exercise</w:t>
            </w:r>
          </w:p>
        </w:tc>
        <w:tc>
          <w:tcPr>
            <w:tcW w:w="1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r>
      <w:tr>
        <w:trPr>
          <w:trHeight w:val="190"/>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r>
      <w:tr>
        <w:trPr>
          <w:trHeight w:val="199"/>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7,873,890</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23.32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4,622,751</w:t>
            </w:r>
          </w:p>
        </w:tc>
      </w:tr>
      <w:tr>
        <w:trPr>
          <w:trHeight w:val="234"/>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1,875,738</w:t>
            </w:r>
          </w:p>
        </w:tc>
      </w:tr>
      <w:tr>
        <w:trPr>
          <w:trHeight w:val="648"/>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813,532</w:t>
            </w:r>
          </w:p>
        </w:tc>
        <w:tc>
          <w:tcPr>
            <w:tcW w:w="900" w:type="dxa"/>
            <w:vAlign w:val="bottom"/>
          </w:tcPr>
          <w:p>
            <w:pPr>
              <w:spacing w:after="0"/>
              <w:rPr>
                <w:sz w:val="24"/>
                <w:szCs w:val="24"/>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22.91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14,856</w:t>
            </w:r>
          </w:p>
        </w:tc>
      </w:tr>
      <w:tr>
        <w:trPr>
          <w:trHeight w:val="210"/>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8,687,422</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19.19</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6,513,345</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-856615</wp:posOffset>
            </wp:positionV>
            <wp:extent cx="564896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-582295</wp:posOffset>
            </wp:positionV>
            <wp:extent cx="564896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-170815</wp:posOffset>
            </wp:positionV>
            <wp:extent cx="564896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980" w:space="500"/>
            <w:col w:w="5539"/>
          </w:cols>
          <w:pgMar w:left="1440" w:top="513" w:right="1440" w:bottom="1440" w:gutter="0" w:footer="0" w:header="0"/>
          <w:type w:val="continuous"/>
        </w:sectPr>
      </w:pPr>
    </w:p>
    <w:p>
      <w:pPr>
        <w:jc w:val="both"/>
        <w:ind w:left="300" w:right="79" w:hanging="250"/>
        <w:spacing w:after="0" w:line="241" w:lineRule="auto"/>
        <w:tabs>
          <w:tab w:leader="none" w:pos="26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2017 Plan provides for an annual increase on each January 1 commencing in 2018 and ending in 2027, by an amount equal to 4% of the number of shares of common stock outstanding as of the end of the immediately preceding fiscal year, provided that the Board may provide for no increase or that the increase will be a lesser number of shares.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00" w:right="59" w:hanging="250"/>
        <w:spacing w:after="0" w:line="241" w:lineRule="auto"/>
        <w:tabs>
          <w:tab w:leader="none" w:pos="26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2017 ESPP provides for an annual increase on each January 1 commencing in 2018 and ending in 2027, by an amount equal to the lesser of (i) 1% of the number of shares of common stock outstanding as of the end of the immediately preceding fiscal year or (ii) 682,102, provided that the Board may provide for no increase or that the increase will be a lesser number of shares.</w:t>
      </w:r>
    </w:p>
    <w:p>
      <w:pPr>
        <w:spacing w:after="0" w:line="176" w:lineRule="exact"/>
        <w:rPr>
          <w:rFonts w:ascii="Times New Roman" w:cs="Times New Roman" w:eastAsia="Times New Roman" w:hAnsi="Times New Roman"/>
          <w:sz w:val="14"/>
          <w:szCs w:val="14"/>
          <w:color w:val="auto"/>
        </w:rPr>
      </w:pPr>
    </w:p>
    <w:p>
      <w:pPr>
        <w:jc w:val="both"/>
        <w:ind w:left="300" w:right="59" w:hanging="250"/>
        <w:spacing w:after="0" w:line="233" w:lineRule="auto"/>
        <w:tabs>
          <w:tab w:leader="none" w:pos="28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2022 Inducement Plan adopted on February 9, 2022. Awards issued under the 2022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were reserved for issuance under the 2022 Inducement Plan. The material terms of the 2022 Inducement Plan are described in Note 9 to the consolidated financial statements included herein.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under this item is incorporated herein by reference to our definitive proxy statement for our 2025 annual meeting of stockholders, which proxy statement will be filed with the Securities and Exchange commission not later than 120 days after the close of our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for our 2025 annual meeting of stockholders, which proxy statement will be filed with the Securities and Exchange commission not later than 120 days after the close of our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for our 2025 annual meeting of stockholders, which proxy statement will be filed with the Securities and Exchange commission not later than 120 days after the close of our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1. Consolidated Financial Statements.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on page F-1 of this report.</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left="700" w:right="35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information is either presented in the consolidated financial statements or the notes thereto or is not applicable or required.</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25"/>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87"/>
        </w:trPr>
        <w:tc>
          <w:tcPr>
            <w:tcW w:w="10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34"/>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auto"/>
            </w:tcBorders>
          </w:tcPr>
          <w:p>
            <w:pPr>
              <w:spacing w:after="0"/>
              <w:rPr>
                <w:sz w:val="14"/>
                <w:szCs w:val="14"/>
                <w:color w:val="auto"/>
              </w:rPr>
            </w:pPr>
          </w:p>
        </w:tc>
        <w:tc>
          <w:tcPr>
            <w:tcW w:w="4400" w:type="dxa"/>
            <w:vAlign w:val="bottom"/>
            <w:tcBorders>
              <w:top w:val="single" w:sz="8" w:color="auto"/>
            </w:tcBorders>
            <w:gridSpan w:val="37"/>
          </w:tcPr>
          <w:p>
            <w:pPr>
              <w:spacing w:after="0" w:line="169"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Asset Purchase Agreement, dated January 5, 2021,</w:t>
              </w:r>
            </w:hyperlink>
          </w:p>
        </w:tc>
        <w:tc>
          <w:tcPr>
            <w:tcW w:w="6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Borders>
              <w:top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1/5/2021</w:t>
            </w:r>
          </w:p>
        </w:tc>
        <w:tc>
          <w:tcPr>
            <w:tcW w:w="1400" w:type="dxa"/>
            <w:vAlign w:val="bottom"/>
            <w:tcBorders>
              <w:top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between the Registrant and Alexion Pharmaceuticals, Inc.</w:t>
              </w:r>
            </w:hyperlink>
          </w:p>
        </w:tc>
        <w:tc>
          <w:tcPr>
            <w:tcW w:w="2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Share Purchase Agreement, by and between Rhythm</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3/1/2023</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Pharmaceuticals Netherlands B.V. and Xinvento B.V.,</w:t>
              </w:r>
            </w:hyperlink>
          </w:p>
        </w:tc>
        <w:tc>
          <w:tcPr>
            <w:tcW w:w="5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dated February 27, 2023.</w:t>
              </w:r>
            </w:hyperlink>
          </w:p>
        </w:tc>
        <w:tc>
          <w:tcPr>
            <w:tcW w:w="2580" w:type="dxa"/>
            <w:vAlign w:val="bottom"/>
            <w:gridSpan w:val="30"/>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3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Amended and Restated Certificate of Incorporation.</w:t>
              </w:r>
            </w:hyperlink>
          </w:p>
        </w:tc>
        <w:tc>
          <w:tcPr>
            <w:tcW w:w="620" w:type="dxa"/>
            <w:vAlign w:val="bottom"/>
            <w:gridSpan w:val="15"/>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5/4/2020</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Amended and Restated Bylaws.</w:t>
              </w:r>
            </w:hyperlink>
          </w:p>
        </w:tc>
        <w:tc>
          <w:tcPr>
            <w:tcW w:w="2100" w:type="dxa"/>
            <w:vAlign w:val="bottom"/>
            <w:gridSpan w:val="28"/>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12/18/2023</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Amended and Restated Certificate of Designations</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05/07/2024</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Form of Common Stock Certificate.</w:t>
              </w:r>
            </w:hyperlink>
          </w:p>
        </w:tc>
        <w:tc>
          <w:tcPr>
            <w:tcW w:w="1040" w:type="dxa"/>
            <w:vAlign w:val="bottom"/>
            <w:tcBorders>
              <w:top w:val="single" w:sz="8" w:color="0000EE"/>
            </w:tcBorders>
            <w:gridSpan w:val="9"/>
          </w:tcPr>
          <w:p>
            <w:pPr>
              <w:spacing w:after="0"/>
              <w:rPr>
                <w:sz w:val="17"/>
                <w:szCs w:val="17"/>
                <w:color w:val="auto"/>
              </w:rPr>
            </w:pPr>
          </w:p>
        </w:tc>
        <w:tc>
          <w:tcPr>
            <w:tcW w:w="760" w:type="dxa"/>
            <w:vAlign w:val="bottom"/>
            <w:gridSpan w:val="17"/>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9/25/2017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3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Form of Indenture to be entered into between the</w:t>
              </w:r>
            </w:hyperlink>
          </w:p>
        </w:tc>
        <w:tc>
          <w:tcPr>
            <w:tcW w:w="880" w:type="dxa"/>
            <w:vAlign w:val="bottom"/>
            <w:gridSpan w:val="20"/>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11/2/2021</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Registrant and a trustee acceptable to the registrant.</w:t>
              </w:r>
            </w:hyperlink>
          </w:p>
        </w:tc>
        <w:tc>
          <w:tcPr>
            <w:tcW w:w="68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Form of Indenture.</w:t>
              </w:r>
            </w:hyperlink>
          </w:p>
        </w:tc>
        <w:tc>
          <w:tcPr>
            <w:tcW w:w="3040" w:type="dxa"/>
            <w:vAlign w:val="bottom"/>
            <w:gridSpan w:val="33"/>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S-3ASR</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3/2/2023</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Description of the Registrant’s Securities registered</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3/1/2023</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pursuant to Section 12 of the Securities Exchange Act of</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74">
              <w:r>
                <w:rPr>
                  <w:rFonts w:ascii="Times New Roman" w:cs="Times New Roman" w:eastAsia="Times New Roman" w:hAnsi="Times New Roman"/>
                  <w:sz w:val="18"/>
                  <w:szCs w:val="18"/>
                  <w:color w:val="0000EE"/>
                  <w:w w:val="93"/>
                </w:rPr>
                <w:t>1934.</w:t>
              </w:r>
            </w:hyperlink>
          </w:p>
        </w:tc>
        <w:tc>
          <w:tcPr>
            <w:tcW w:w="4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Indemnification Agreement.</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9/25/2017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2015 Equity Incentive Plan and Form of Option</w:t>
              </w:r>
            </w:hyperlink>
          </w:p>
        </w:tc>
        <w:tc>
          <w:tcPr>
            <w:tcW w:w="960" w:type="dxa"/>
            <w:vAlign w:val="bottom"/>
            <w:gridSpan w:val="22"/>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9/25/2017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Agreement and Notice of Exercise.</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3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2017 Equity Incentive Plan and Form of Option</w:t>
              </w:r>
            </w:hyperlink>
          </w:p>
        </w:tc>
        <w:tc>
          <w:tcPr>
            <w:tcW w:w="960" w:type="dxa"/>
            <w:vAlign w:val="bottom"/>
            <w:gridSpan w:val="22"/>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11/14/2017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Agreement and Notice of Exercise.</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40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2017 Equity Incentive Plan Restricted Stock Unit Award</w:t>
              </w:r>
            </w:hyperlink>
          </w:p>
        </w:tc>
        <w:tc>
          <w:tcPr>
            <w:tcW w:w="320" w:type="dxa"/>
            <w:vAlign w:val="bottom"/>
            <w:gridSpan w:val="6"/>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3/2/2020</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8">
              <w:r>
                <w:rPr>
                  <w:rFonts w:ascii="Times New Roman" w:cs="Times New Roman" w:eastAsia="Times New Roman" w:hAnsi="Times New Roman"/>
                  <w:sz w:val="18"/>
                  <w:szCs w:val="18"/>
                  <w:color w:val="0000EE"/>
                  <w:w w:val="97"/>
                </w:rPr>
                <w:t>Agreement</w:t>
              </w:r>
            </w:hyperlink>
          </w:p>
        </w:tc>
        <w:tc>
          <w:tcPr>
            <w:tcW w:w="3600" w:type="dxa"/>
            <w:vAlign w:val="bottom"/>
            <w:gridSpan w:val="34"/>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2017 Equity Incentive Plan Performance Unit Agreement</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05/07/2024</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412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2017 Employee Stock Purchase Plan</w:t>
              </w:r>
            </w:hyperlink>
          </w:p>
        </w:tc>
        <w:tc>
          <w:tcPr>
            <w:tcW w:w="280" w:type="dxa"/>
            <w:vAlign w:val="bottom"/>
            <w:gridSpan w:val="4"/>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11/14/2017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4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First Amendment to the 2017 Employee Stock Purchase</w:t>
              </w:r>
            </w:hyperlink>
          </w:p>
        </w:tc>
        <w:tc>
          <w:tcPr>
            <w:tcW w:w="360" w:type="dxa"/>
            <w:vAlign w:val="bottom"/>
            <w:gridSpan w:val="8"/>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6/18/2018</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81">
              <w:r>
                <w:rPr>
                  <w:rFonts w:ascii="Times New Roman" w:cs="Times New Roman" w:eastAsia="Times New Roman" w:hAnsi="Times New Roman"/>
                  <w:sz w:val="18"/>
                  <w:szCs w:val="18"/>
                  <w:color w:val="0000EE"/>
                  <w:w w:val="93"/>
                </w:rPr>
                <w:t>Plan</w:t>
              </w:r>
            </w:hyperlink>
          </w:p>
        </w:tc>
        <w:tc>
          <w:tcPr>
            <w:tcW w:w="4080" w:type="dxa"/>
            <w:vAlign w:val="bottom"/>
            <w:gridSpan w:val="36"/>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2022 Employment Inducement Plan and Form of Option</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3/1/2022</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82">
              <w:r>
                <w:rPr>
                  <w:rFonts w:ascii="Times New Roman" w:cs="Times New Roman" w:eastAsia="Times New Roman" w:hAnsi="Times New Roman"/>
                  <w:sz w:val="18"/>
                  <w:szCs w:val="18"/>
                  <w:color w:val="0000EE"/>
                  <w:w w:val="97"/>
                </w:rPr>
                <w:t>Agreement</w:t>
              </w:r>
            </w:hyperlink>
          </w:p>
        </w:tc>
        <w:tc>
          <w:tcPr>
            <w:tcW w:w="3260" w:type="dxa"/>
            <w:vAlign w:val="bottom"/>
            <w:tcBorders>
              <w:top w:val="single" w:sz="8" w:color="0000EE"/>
            </w:tcBorders>
            <w:gridSpan w:val="27"/>
          </w:tcPr>
          <w:p>
            <w:pPr>
              <w:spacing w:after="0"/>
              <w:rPr>
                <w:sz w:val="17"/>
                <w:szCs w:val="17"/>
                <w:color w:val="auto"/>
              </w:rPr>
            </w:pPr>
          </w:p>
        </w:tc>
        <w:tc>
          <w:tcPr>
            <w:tcW w:w="3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2022 Employment Inducement Plan Form of Restricted</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3/1/2022</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Stock Unit Agreement</w:t>
              </w:r>
            </w:hyperlink>
          </w:p>
        </w:tc>
        <w:tc>
          <w:tcPr>
            <w:tcW w:w="2360" w:type="dxa"/>
            <w:vAlign w:val="bottom"/>
            <w:tcBorders>
              <w:top w:val="single" w:sz="8" w:color="0000EE"/>
            </w:tcBorders>
            <w:gridSpan w:val="23"/>
          </w:tcPr>
          <w:p>
            <w:pPr>
              <w:spacing w:after="0"/>
              <w:rPr>
                <w:sz w:val="17"/>
                <w:szCs w:val="17"/>
                <w:color w:val="auto"/>
              </w:rPr>
            </w:pPr>
          </w:p>
        </w:tc>
        <w:tc>
          <w:tcPr>
            <w:tcW w:w="42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Non-Employee Director Compensation Program</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8/6/2024</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License Agreement, dated March 21, 2013, by and</w:t>
              </w:r>
            </w:hyperlink>
          </w:p>
        </w:tc>
        <w:tc>
          <w:tcPr>
            <w:tcW w:w="760" w:type="dxa"/>
            <w:vAlign w:val="bottom"/>
            <w:gridSpan w:val="17"/>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between the Registrant (f/k/a Rhythm Metabolic, Inc.)</w:t>
              </w:r>
            </w:hyperlink>
          </w:p>
        </w:tc>
        <w:tc>
          <w:tcPr>
            <w:tcW w:w="50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and Ipsen Pharma S.A.S.</w:t>
              </w:r>
            </w:hyperlink>
          </w:p>
        </w:tc>
        <w:tc>
          <w:tcPr>
            <w:tcW w:w="2600" w:type="dxa"/>
            <w:vAlign w:val="bottom"/>
            <w:gridSpan w:val="31"/>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License Agreement, dated January 4, 2016, by and</w:t>
              </w:r>
            </w:hyperlink>
          </w:p>
        </w:tc>
        <w:tc>
          <w:tcPr>
            <w:tcW w:w="760" w:type="dxa"/>
            <w:vAlign w:val="bottom"/>
            <w:gridSpan w:val="18"/>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between the Registrant and Camurus AB.</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License Agreement, dated December 3, 2021, by and</w:t>
              </w:r>
            </w:hyperlink>
          </w:p>
        </w:tc>
        <w:tc>
          <w:tcPr>
            <w:tcW w:w="580" w:type="dxa"/>
            <w:vAlign w:val="bottom"/>
            <w:gridSpan w:val="14"/>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3/1/2022</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between the Registrant and RareStone Group Ltd.</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10.10.1‡</w:t>
            </w: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Development and Manufacturing Services Agreement,</w:t>
              </w:r>
            </w:hyperlink>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9/5/2017</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1600" w:type="dxa"/>
            <w:vAlign w:val="bottom"/>
            <w:tcBorders>
              <w:right w:val="single" w:sz="8" w:color="0000EE"/>
            </w:tcBorders>
            <w:gridSpan w:val="1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dated July 17, 2013, by and between the Registrant (f/k/a</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Rhythm Metabolic, Inc.) and Peptisyntha Inc. (n/k/a</w:t>
              </w:r>
            </w:hyperlink>
          </w:p>
        </w:tc>
        <w:tc>
          <w:tcPr>
            <w:tcW w:w="3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Corden Pharma International).</w:t>
              </w:r>
            </w:hyperlink>
          </w:p>
        </w:tc>
        <w:tc>
          <w:tcPr>
            <w:tcW w:w="62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10.10.2‡</w:t>
            </w:r>
          </w:p>
        </w:tc>
        <w:tc>
          <w:tcPr>
            <w:tcW w:w="3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First Amendment to Development and Manufacturing</w:t>
              </w:r>
            </w:hyperlink>
          </w:p>
        </w:tc>
        <w:tc>
          <w:tcPr>
            <w:tcW w:w="520" w:type="dxa"/>
            <w:vAlign w:val="bottom"/>
            <w:gridSpan w:val="12"/>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5/4/2020</w:t>
            </w:r>
          </w:p>
        </w:tc>
        <w:tc>
          <w:tcPr>
            <w:tcW w:w="14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Services Agreement, dated February 20, 2020, by and</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gridSpan w:val="24"/>
            <w:shd w:val="clear" w:color="auto" w:fill="0000EE"/>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3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between the Registrant and Corden Pharma Brussels S.A.</w:t>
              </w:r>
            </w:hyperlink>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Borders>
              <w:top w:val="single" w:sz="8" w:color="0000EE"/>
            </w:tcBorders>
            <w:gridSpan w:val="15"/>
          </w:tcPr>
          <w:p>
            <w:pPr>
              <w:ind w:left="310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40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Second Amendment to Development and Manufacturing</w:t>
              </w:r>
            </w:hyperlink>
          </w:p>
        </w:tc>
        <w:tc>
          <w:tcPr>
            <w:tcW w:w="200" w:type="dxa"/>
            <w:vAlign w:val="bottom"/>
            <w:gridSpan w:val="5"/>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8/3/2020</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41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Services Agreement, dated July 15, 2020, by and between</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the Registrant and Corden Pharma Brussels S.A.</w:t>
              </w:r>
            </w:hyperlink>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3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Development and Manufacturing Services Agreement,</w:t>
              </w:r>
            </w:hyperlink>
          </w:p>
        </w:tc>
        <w:tc>
          <w:tcPr>
            <w:tcW w:w="340" w:type="dxa"/>
            <w:vAlign w:val="bottom"/>
            <w:gridSpan w:val="12"/>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9/5/2017</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3"/>
              </w:rPr>
              <w:t>10.15</w:t>
            </w: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dated as of December 21, 2016, by and between</w:t>
              </w:r>
            </w:hyperlink>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4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Registrant and Recipharm Monts S.A.S.</w:t>
              </w:r>
            </w:hyperlink>
          </w:p>
        </w:tc>
        <w:tc>
          <w:tcPr>
            <w:tcW w:w="80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10.12.1</w:t>
            </w:r>
          </w:p>
        </w:tc>
        <w:tc>
          <w:tcPr>
            <w:tcW w:w="3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Lease, dated November 25, 2015, by and between the</w:t>
              </w:r>
            </w:hyperlink>
          </w:p>
        </w:tc>
        <w:tc>
          <w:tcPr>
            <w:tcW w:w="420" w:type="dxa"/>
            <w:vAlign w:val="bottom"/>
            <w:gridSpan w:val="14"/>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9/5/2017</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3"/>
              </w:rPr>
              <w:t>10.11</w:t>
            </w:r>
          </w:p>
        </w:tc>
      </w:tr>
      <w:tr>
        <w:trPr>
          <w:trHeight w:val="196"/>
        </w:trPr>
        <w:tc>
          <w:tcPr>
            <w:tcW w:w="1200" w:type="dxa"/>
            <w:vAlign w:val="bottom"/>
          </w:tcPr>
          <w:p>
            <w:pPr>
              <w:spacing w:after="0"/>
              <w:rPr>
                <w:sz w:val="17"/>
                <w:szCs w:val="17"/>
                <w:color w:val="auto"/>
              </w:rPr>
            </w:pPr>
          </w:p>
        </w:tc>
        <w:tc>
          <w:tcPr>
            <w:tcW w:w="41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Registrant and 500 Boylston &amp; 222 Berkeley Owner (DE)</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92">
              <w:r>
                <w:rPr>
                  <w:rFonts w:ascii="Times New Roman" w:cs="Times New Roman" w:eastAsia="Times New Roman" w:hAnsi="Times New Roman"/>
                  <w:sz w:val="18"/>
                  <w:szCs w:val="18"/>
                  <w:color w:val="0000EE"/>
                  <w:w w:val="93"/>
                </w:rPr>
                <w:t>LLC.</w:t>
              </w:r>
            </w:hyperlink>
          </w:p>
        </w:tc>
        <w:tc>
          <w:tcPr>
            <w:tcW w:w="3900" w:type="dxa"/>
            <w:vAlign w:val="bottom"/>
            <w:gridSpan w:val="35"/>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10.12.2</w:t>
            </w:r>
          </w:p>
        </w:tc>
        <w:tc>
          <w:tcPr>
            <w:tcW w:w="40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First Amendment to Lease, dated April 15, 2016, by and</w:t>
              </w:r>
            </w:hyperlink>
          </w:p>
        </w:tc>
        <w:tc>
          <w:tcPr>
            <w:tcW w:w="200" w:type="dxa"/>
            <w:vAlign w:val="bottom"/>
            <w:gridSpan w:val="5"/>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3/8/2019</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196"/>
        </w:trPr>
        <w:tc>
          <w:tcPr>
            <w:tcW w:w="1200" w:type="dxa"/>
            <w:vAlign w:val="bottom"/>
          </w:tcPr>
          <w:p>
            <w:pPr>
              <w:spacing w:after="0"/>
              <w:rPr>
                <w:sz w:val="17"/>
                <w:szCs w:val="17"/>
                <w:color w:val="auto"/>
              </w:rPr>
            </w:pPr>
          </w:p>
        </w:tc>
        <w:tc>
          <w:tcPr>
            <w:tcW w:w="41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between the Registrant and 500 Boylston &amp; 222 Berkeley</w:t>
              </w:r>
            </w:hyperlink>
          </w:p>
        </w:tc>
        <w:tc>
          <w:tcPr>
            <w:tcW w:w="1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Owner (DE) LLC.</w:t>
              </w:r>
            </w:hyperlink>
          </w:p>
        </w:tc>
        <w:tc>
          <w:tcPr>
            <w:tcW w:w="2960" w:type="dxa"/>
            <w:vAlign w:val="bottom"/>
            <w:gridSpan w:val="32"/>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10.12.3</w:t>
            </w: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Second Amendment to Lease, dated August 6, 2018, by</w:t>
              </w:r>
            </w:hyperlink>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8/9/2018</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and between the Registrant and 500 Boylston &amp; 222</w:t>
              </w:r>
            </w:hyperlink>
          </w:p>
        </w:tc>
        <w:tc>
          <w:tcPr>
            <w:tcW w:w="220" w:type="dxa"/>
            <w:vAlign w:val="bottom"/>
            <w:tcBorders>
              <w:top w:val="single" w:sz="8" w:color="0000EE"/>
            </w:tcBorders>
            <w:gridSpan w:val="6"/>
          </w:tcPr>
          <w:p>
            <w:pPr>
              <w:spacing w:after="0"/>
              <w:rPr>
                <w:sz w:val="17"/>
                <w:szCs w:val="17"/>
                <w:color w:val="auto"/>
              </w:rPr>
            </w:pPr>
          </w:p>
        </w:tc>
        <w:tc>
          <w:tcPr>
            <w:tcW w:w="2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Berkeley Owner (DE) LLC.</w:t>
              </w:r>
            </w:hyperlink>
          </w:p>
        </w:tc>
        <w:tc>
          <w:tcPr>
            <w:tcW w:w="2260" w:type="dxa"/>
            <w:vAlign w:val="bottom"/>
            <w:gridSpan w:val="29"/>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10.12.4</w:t>
            </w:r>
          </w:p>
        </w:tc>
        <w:tc>
          <w:tcPr>
            <w:tcW w:w="41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Third Amendment to Lease, dated August 6, 2018, by and</w:t>
              </w:r>
            </w:hyperlink>
          </w:p>
        </w:tc>
        <w:tc>
          <w:tcPr>
            <w:tcW w:w="100" w:type="dxa"/>
            <w:vAlign w:val="bottom"/>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05/07/2024</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200" w:type="dxa"/>
            <w:vAlign w:val="bottom"/>
          </w:tcPr>
          <w:p>
            <w:pPr>
              <w:spacing w:after="0"/>
              <w:rPr>
                <w:sz w:val="17"/>
                <w:szCs w:val="17"/>
                <w:color w:val="auto"/>
              </w:rPr>
            </w:pPr>
          </w:p>
        </w:tc>
        <w:tc>
          <w:tcPr>
            <w:tcW w:w="41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between the Registrant and 500 Boylston &amp; 222 Berkeley</w:t>
              </w:r>
            </w:hyperlink>
          </w:p>
        </w:tc>
        <w:tc>
          <w:tcPr>
            <w:tcW w:w="1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Owner (DE) LLC.</w:t>
              </w:r>
            </w:hyperlink>
          </w:p>
        </w:tc>
        <w:tc>
          <w:tcPr>
            <w:tcW w:w="2960" w:type="dxa"/>
            <w:vAlign w:val="bottom"/>
            <w:gridSpan w:val="32"/>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1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Amended &amp; Restated Offer Letter, dated August 3, 2023,</w:t>
              </w:r>
            </w:hyperlink>
          </w:p>
        </w:tc>
        <w:tc>
          <w:tcPr>
            <w:tcW w:w="160" w:type="dxa"/>
            <w:vAlign w:val="bottom"/>
            <w:gridSpan w:val="4"/>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8/3/2023</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200" w:type="dxa"/>
            <w:vAlign w:val="bottom"/>
          </w:tcPr>
          <w:p>
            <w:pPr>
              <w:spacing w:after="0"/>
              <w:rPr>
                <w:sz w:val="17"/>
                <w:szCs w:val="17"/>
                <w:color w:val="auto"/>
              </w:rPr>
            </w:pPr>
          </w:p>
        </w:tc>
        <w:tc>
          <w:tcPr>
            <w:tcW w:w="3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by and between the Registrant and Hunter Smith.</w:t>
              </w:r>
            </w:hyperlink>
          </w:p>
        </w:tc>
        <w:tc>
          <w:tcPr>
            <w:tcW w:w="74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39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Offer Letter, dated September 4, 2020, by and between</w:t>
              </w:r>
            </w:hyperlink>
          </w:p>
        </w:tc>
        <w:tc>
          <w:tcPr>
            <w:tcW w:w="320" w:type="dxa"/>
            <w:vAlign w:val="bottom"/>
            <w:gridSpan w:val="11"/>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11/2/2020</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the Registrant and Yann Mazabraud.</w:t>
              </w:r>
            </w:hyperlink>
          </w:p>
        </w:tc>
        <w:tc>
          <w:tcPr>
            <w:tcW w:w="166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Amended &amp; Restated Offer Letter, dated July 28, 2023,</w:t>
              </w:r>
            </w:hyperlink>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8/3/2023</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20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by and between the Registrant and Joseph Shulman.</w:t>
              </w:r>
            </w:hyperlink>
          </w:p>
        </w:tc>
        <w:tc>
          <w:tcPr>
            <w:tcW w:w="220" w:type="dxa"/>
            <w:vAlign w:val="bottom"/>
            <w:tcBorders>
              <w:top w:val="single" w:sz="8" w:color="0000EE"/>
            </w:tcBorders>
            <w:gridSpan w:val="6"/>
          </w:tcPr>
          <w:p>
            <w:pPr>
              <w:spacing w:after="0"/>
              <w:rPr>
                <w:sz w:val="17"/>
                <w:szCs w:val="17"/>
                <w:color w:val="auto"/>
              </w:rPr>
            </w:pPr>
          </w:p>
        </w:tc>
        <w:tc>
          <w:tcPr>
            <w:tcW w:w="30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1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Amended &amp; Restated Offer Letter, dated August 3, 2023,</w:t>
              </w:r>
            </w:hyperlink>
          </w:p>
        </w:tc>
        <w:tc>
          <w:tcPr>
            <w:tcW w:w="160" w:type="dxa"/>
            <w:vAlign w:val="bottom"/>
            <w:gridSpan w:val="4"/>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8/3/2023</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by and between the Registrant and Jennifer Chien.</w:t>
              </w:r>
            </w:hyperlink>
          </w:p>
        </w:tc>
        <w:tc>
          <w:tcPr>
            <w:tcW w:w="66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Amended &amp; Restated Offer Letter, dated July 28, 2023,</w:t>
              </w:r>
            </w:hyperlink>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8/3/2023</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by and between the Registrant and David P. Meeker.</w:t>
              </w:r>
            </w:hyperlink>
          </w:p>
        </w:tc>
        <w:tc>
          <w:tcPr>
            <w:tcW w:w="220" w:type="dxa"/>
            <w:vAlign w:val="bottom"/>
            <w:tcBorders>
              <w:top w:val="single" w:sz="8" w:color="0000EE"/>
            </w:tcBorders>
            <w:gridSpan w:val="6"/>
          </w:tcPr>
          <w:p>
            <w:pPr>
              <w:spacing w:after="0"/>
              <w:rPr>
                <w:sz w:val="17"/>
                <w:szCs w:val="17"/>
                <w:color w:val="auto"/>
              </w:rPr>
            </w:pPr>
          </w:p>
        </w:tc>
        <w:tc>
          <w:tcPr>
            <w:tcW w:w="30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3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Offer Letter, dated July 9, 2021, by and between the</w:t>
              </w:r>
            </w:hyperlink>
          </w:p>
        </w:tc>
        <w:tc>
          <w:tcPr>
            <w:tcW w:w="540" w:type="dxa"/>
            <w:vAlign w:val="bottom"/>
            <w:gridSpan w:val="17"/>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8/3/2021</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Registrant and Pamela Cramer</w:t>
              </w:r>
            </w:hyperlink>
          </w:p>
        </w:tc>
        <w:tc>
          <w:tcPr>
            <w:tcW w:w="2080" w:type="dxa"/>
            <w:vAlign w:val="bottom"/>
            <w:gridSpan w:val="28"/>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3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Revenue Interest Financing Agreement, dated June 16,</w:t>
              </w:r>
            </w:hyperlink>
          </w:p>
        </w:tc>
        <w:tc>
          <w:tcPr>
            <w:tcW w:w="340" w:type="dxa"/>
            <w:vAlign w:val="bottom"/>
            <w:gridSpan w:val="12"/>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8/03/2022</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2022, by and between the Company and entities managed</w:t>
              </w:r>
            </w:hyperlink>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by HealthCare Royalty Management, LLC</w:t>
              </w:r>
            </w:hyperlink>
          </w:p>
        </w:tc>
        <w:tc>
          <w:tcPr>
            <w:tcW w:w="1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Exclusive License Agreement, dated January 4, 2024, by</w:t>
              </w:r>
            </w:hyperlink>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2/29/2024</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3"/>
              </w:rPr>
              <w:t>10.25</w:t>
            </w:r>
          </w:p>
        </w:tc>
      </w:tr>
      <w:tr>
        <w:trPr>
          <w:trHeight w:val="196"/>
        </w:trPr>
        <w:tc>
          <w:tcPr>
            <w:tcW w:w="12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and between Rhythm Pharmaceuticals, Inc. and LG</w:t>
              </w:r>
            </w:hyperlink>
          </w:p>
        </w:tc>
        <w:tc>
          <w:tcPr>
            <w:tcW w:w="380" w:type="dxa"/>
            <w:vAlign w:val="bottom"/>
            <w:tcBorders>
              <w:top w:val="single" w:sz="8" w:color="0000EE"/>
            </w:tcBorders>
            <w:gridSpan w:val="13"/>
          </w:tcPr>
          <w:p>
            <w:pPr>
              <w:spacing w:after="0"/>
              <w:rPr>
                <w:sz w:val="17"/>
                <w:szCs w:val="17"/>
                <w:color w:val="auto"/>
              </w:rPr>
            </w:pPr>
          </w:p>
        </w:tc>
        <w:tc>
          <w:tcPr>
            <w:tcW w:w="2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Chem, Ltd.</w:t>
              </w:r>
            </w:hyperlink>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3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Investment Agreement dated April 1, 2024, by and</w:t>
              </w:r>
            </w:hyperlink>
          </w:p>
        </w:tc>
        <w:tc>
          <w:tcPr>
            <w:tcW w:w="620" w:type="dxa"/>
            <w:vAlign w:val="bottom"/>
            <w:gridSpan w:val="20"/>
          </w:tcPr>
          <w:p>
            <w:pPr>
              <w:spacing w:after="0"/>
              <w:rPr>
                <w:sz w:val="17"/>
                <w:szCs w:val="17"/>
                <w:color w:val="auto"/>
              </w:rPr>
            </w:pPr>
          </w:p>
        </w:tc>
        <w:tc>
          <w:tcPr>
            <w:tcW w:w="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04/01/2024</w:t>
            </w:r>
          </w:p>
        </w:tc>
        <w:tc>
          <w:tcPr>
            <w:tcW w:w="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200" w:type="dxa"/>
            <w:vAlign w:val="bottom"/>
          </w:tcPr>
          <w:p>
            <w:pPr>
              <w:spacing w:after="0"/>
              <w:rPr>
                <w:sz w:val="17"/>
                <w:szCs w:val="17"/>
                <w:color w:val="auto"/>
              </w:rPr>
            </w:pPr>
          </w:p>
        </w:tc>
        <w:tc>
          <w:tcPr>
            <w:tcW w:w="40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between Rhythm Pharmaceuticals, Inc., certain affiliates</w:t>
              </w:r>
            </w:hyperlink>
          </w:p>
        </w:tc>
        <w:tc>
          <w:tcPr>
            <w:tcW w:w="2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0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of Perceptive Advisors LLC, and certain other investors</w:t>
              </w:r>
            </w:hyperlink>
          </w:p>
        </w:tc>
        <w:tc>
          <w:tcPr>
            <w:tcW w:w="26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Rhythm Global Insider Trading Policy</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List of Subsidiaries.</w:t>
            </w:r>
          </w:p>
        </w:tc>
        <w:tc>
          <w:tcPr>
            <w:tcW w:w="1320" w:type="dxa"/>
            <w:vAlign w:val="bottom"/>
            <w:tcBorders>
              <w:top w:val="single" w:sz="8" w:color="0000EE"/>
            </w:tcBorders>
            <w:gridSpan w:val="5"/>
          </w:tcPr>
          <w:p>
            <w:pPr>
              <w:spacing w:after="0"/>
              <w:rPr>
                <w:sz w:val="17"/>
                <w:szCs w:val="17"/>
                <w:color w:val="auto"/>
              </w:rPr>
            </w:pPr>
          </w:p>
        </w:tc>
        <w:tc>
          <w:tcPr>
            <w:tcW w:w="1520" w:type="dxa"/>
            <w:vAlign w:val="bottom"/>
            <w:gridSpan w:val="26"/>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Consent of Ernst &amp; Young LLP, Independent Registered</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2260" w:type="dxa"/>
            <w:vAlign w:val="bottom"/>
            <w:tcBorders>
              <w:top w:val="single" w:sz="8" w:color="0000EE"/>
            </w:tcBorders>
            <w:gridSpan w:val="23"/>
          </w:tcPr>
          <w:p>
            <w:pPr>
              <w:spacing w:after="0"/>
              <w:rPr>
                <w:sz w:val="17"/>
                <w:szCs w:val="17"/>
                <w:color w:val="auto"/>
              </w:rPr>
            </w:pPr>
          </w:p>
        </w:tc>
        <w:tc>
          <w:tcPr>
            <w:tcW w:w="24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as required</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by Section 302 of the Sarbanes-Oxley Act of 2002 (18</w:t>
            </w:r>
          </w:p>
        </w:tc>
        <w:tc>
          <w:tcPr>
            <w:tcW w:w="80" w:type="dxa"/>
            <w:vAlign w:val="bottom"/>
            <w:tcBorders>
              <w:top w:val="single" w:sz="8" w:color="0000EE"/>
            </w:tcBorders>
            <w:gridSpan w:val="4"/>
          </w:tcPr>
          <w:p>
            <w:pPr>
              <w:spacing w:after="0"/>
              <w:rPr>
                <w:sz w:val="17"/>
                <w:szCs w:val="17"/>
                <w:color w:val="auto"/>
              </w:rPr>
            </w:pPr>
          </w:p>
        </w:tc>
        <w:tc>
          <w:tcPr>
            <w:tcW w:w="2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U.S.C. 1350).</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500" w:type="dxa"/>
            <w:vAlign w:val="bottom"/>
            <w:gridSpan w:val="1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as required by</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8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 (18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U.S.C. 1350).</w:t>
            </w:r>
          </w:p>
        </w:tc>
        <w:tc>
          <w:tcPr>
            <w:tcW w:w="600" w:type="dxa"/>
            <w:vAlign w:val="bottom"/>
            <w:gridSpan w:val="19"/>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300" w:type="dxa"/>
            <w:vAlign w:val="bottom"/>
            <w:gridSpan w:val="3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as required</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by Section 906 of the Sarbanes-Oxley Act of 2002 (18</w:t>
            </w:r>
          </w:p>
        </w:tc>
        <w:tc>
          <w:tcPr>
            <w:tcW w:w="80" w:type="dxa"/>
            <w:vAlign w:val="bottom"/>
            <w:tcBorders>
              <w:top w:val="single" w:sz="8" w:color="0000EE"/>
            </w:tcBorders>
            <w:gridSpan w:val="4"/>
          </w:tcPr>
          <w:p>
            <w:pPr>
              <w:spacing w:after="0"/>
              <w:rPr>
                <w:sz w:val="17"/>
                <w:szCs w:val="17"/>
                <w:color w:val="auto"/>
              </w:rPr>
            </w:pPr>
          </w:p>
        </w:tc>
        <w:tc>
          <w:tcPr>
            <w:tcW w:w="2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2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U.S.C. 1350).</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as required by</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 (18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U.S.C. 1350).</w:t>
            </w:r>
          </w:p>
        </w:tc>
        <w:tc>
          <w:tcPr>
            <w:tcW w:w="6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280" w:type="dxa"/>
            <w:vAlign w:val="bottom"/>
            <w:gridSpan w:val="6"/>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Policy for Recovery of Erroneously Awarded</w:t>
              </w:r>
            </w:hyperlink>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2/29/2024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1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Compensation</w:t>
              </w:r>
            </w:hyperlink>
          </w:p>
        </w:tc>
        <w:tc>
          <w:tcPr>
            <w:tcW w:w="2200" w:type="dxa"/>
            <w:vAlign w:val="bottom"/>
            <w:tcBorders>
              <w:top w:val="single" w:sz="8" w:color="0000EE"/>
            </w:tcBorders>
          </w:tcPr>
          <w:p>
            <w:pPr>
              <w:spacing w:after="0"/>
              <w:rPr>
                <w:sz w:val="17"/>
                <w:szCs w:val="17"/>
                <w:color w:val="auto"/>
              </w:rPr>
            </w:pPr>
          </w:p>
        </w:tc>
        <w:tc>
          <w:tcPr>
            <w:tcW w:w="10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sz w:val="20"/>
          <w:szCs w:val="20"/>
          <w:color w:val="auto"/>
        </w:rPr>
      </w:pPr>
    </w:p>
    <w:p>
      <w:pPr>
        <w:ind w:left="680" w:hanging="630"/>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630"/>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and not filed herewith.</w:t>
      </w:r>
    </w:p>
    <w:p>
      <w:pPr>
        <w:spacing w:after="0" w:line="9" w:lineRule="exact"/>
        <w:rPr>
          <w:sz w:val="20"/>
          <w:szCs w:val="20"/>
          <w:color w:val="auto"/>
        </w:rPr>
      </w:pPr>
    </w:p>
    <w:p>
      <w:pPr>
        <w:ind w:left="680" w:hanging="630"/>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jc w:val="both"/>
        <w:ind w:left="700" w:right="59" w:hanging="650"/>
        <w:spacing w:after="0" w:line="250" w:lineRule="auto"/>
        <w:tabs>
          <w:tab w:leader="none" w:pos="9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confidential treatment has been requested with respect to specific portions of this exhibit. Omitted portions have been filed with the Securities and Exchange Commission pursuant to Rule 406 of the Securities Act.</w:t>
      </w:r>
    </w:p>
    <w:p>
      <w:pPr>
        <w:spacing w:after="0" w:line="1" w:lineRule="exact"/>
        <w:rPr>
          <w:sz w:val="20"/>
          <w:szCs w:val="20"/>
          <w:color w:val="auto"/>
        </w:rPr>
      </w:pPr>
    </w:p>
    <w:p>
      <w:pPr>
        <w:jc w:val="both"/>
        <w:ind w:left="700" w:right="79" w:hanging="650"/>
        <w:spacing w:after="0" w:line="255"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portions of this exhibit (indicated by asterisks) have been omitted pursuant to Regulation S-K, Item 601(b)(10). Such omitted information is not material and the registrant customarily and actually treats such information as private or confidential.</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7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5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By:  /s/ David P. Meeker M.D.</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-127635</wp:posOffset>
            </wp:positionV>
            <wp:extent cx="27260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Borders>
              <w:bottom w:val="single" w:sz="8" w:color="auto"/>
            </w:tcBorders>
            <w:gridSpan w:val="11"/>
          </w:tcPr>
          <w:p>
            <w:pPr>
              <w:ind w:left="1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45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5"/>
        </w:trPr>
        <w:tc>
          <w:tcPr>
            <w:tcW w:w="20" w:type="dxa"/>
            <w:vAlign w:val="bottom"/>
          </w:tcPr>
          <w:p>
            <w:pPr>
              <w:spacing w:after="0"/>
              <w:rPr>
                <w:sz w:val="24"/>
                <w:szCs w:val="24"/>
                <w:color w:val="auto"/>
              </w:rPr>
            </w:pPr>
          </w:p>
        </w:tc>
        <w:tc>
          <w:tcPr>
            <w:tcW w:w="18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7"/>
              </w:rPr>
              <w:t>/s/ David P. Meeker M.D.</w:t>
            </w:r>
          </w:p>
        </w:tc>
        <w:tc>
          <w:tcPr>
            <w:tcW w:w="560" w:type="dxa"/>
            <w:vAlign w:val="bottom"/>
            <w:gridSpan w:val="3"/>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Executive Officer, Director, Chairman of the Board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50"/>
        </w:trPr>
        <w:tc>
          <w:tcPr>
            <w:tcW w:w="20" w:type="dxa"/>
            <w:vAlign w:val="bottom"/>
          </w:tcPr>
          <w:p>
            <w:pPr>
              <w:spacing w:after="0"/>
              <w:rPr>
                <w:sz w:val="21"/>
                <w:szCs w:val="21"/>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David P. Meeker M.D.</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80" w:type="dxa"/>
            <w:vAlign w:val="bottom"/>
          </w:tcPr>
          <w:p>
            <w:pPr>
              <w:spacing w:after="0"/>
              <w:rPr>
                <w:sz w:val="21"/>
                <w:szCs w:val="21"/>
                <w:color w:val="auto"/>
              </w:rPr>
            </w:pPr>
          </w:p>
        </w:tc>
      </w:tr>
      <w:tr>
        <w:trPr>
          <w:trHeight w:val="391"/>
        </w:trPr>
        <w:tc>
          <w:tcPr>
            <w:tcW w:w="20" w:type="dxa"/>
            <w:vAlign w:val="bottom"/>
          </w:tcPr>
          <w:p>
            <w:pPr>
              <w:spacing w:after="0"/>
              <w:rPr>
                <w:sz w:val="24"/>
                <w:szCs w:val="24"/>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Hunter Smith</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Hunter Smith</w:t>
            </w:r>
          </w:p>
        </w:tc>
        <w:tc>
          <w:tcPr>
            <w:tcW w:w="1220" w:type="dxa"/>
            <w:vAlign w:val="bottom"/>
            <w:gridSpan w:val="10"/>
          </w:tcPr>
          <w:p>
            <w:pPr>
              <w:spacing w:after="0"/>
              <w:rPr>
                <w:sz w:val="20"/>
                <w:szCs w:val="20"/>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8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7"/>
              </w:rPr>
              <w:t>/s/ Christopher P. German</w:t>
            </w:r>
          </w:p>
        </w:tc>
        <w:tc>
          <w:tcPr>
            <w:tcW w:w="540" w:type="dxa"/>
            <w:vAlign w:val="bottom"/>
            <w:gridSpan w:val="2"/>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Controller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Christopher P. German</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 Edward T. Mathers</w:t>
            </w:r>
          </w:p>
        </w:tc>
        <w:tc>
          <w:tcPr>
            <w:tcW w:w="800" w:type="dxa"/>
            <w:vAlign w:val="bottom"/>
            <w:gridSpan w:val="5"/>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Lead 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Edward T. Mathers</w:t>
            </w: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Stuart Arbuckle</w:t>
            </w:r>
          </w:p>
        </w:tc>
        <w:tc>
          <w:tcPr>
            <w:tcW w:w="1040" w:type="dxa"/>
            <w:vAlign w:val="bottom"/>
            <w:gridSpan w:val="9"/>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Stuart Arbuckle</w:t>
            </w: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Camille L. Bedrosian, M.D.</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2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Camille L. Bedrosian M.D.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/s/ Jennifer L. Good</w:t>
            </w:r>
          </w:p>
        </w:tc>
        <w:tc>
          <w:tcPr>
            <w:tcW w:w="960" w:type="dxa"/>
            <w:vAlign w:val="bottom"/>
            <w:gridSpan w:val="7"/>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Jennifer L. Good</w:t>
            </w: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/s/ Christophe R. Jean</w:t>
            </w:r>
          </w:p>
        </w:tc>
        <w:tc>
          <w:tcPr>
            <w:tcW w:w="820" w:type="dxa"/>
            <w:vAlign w:val="bottom"/>
            <w:gridSpan w:val="6"/>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Christophe R. Jean</w:t>
            </w: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7"/>
              </w:rPr>
              <w:t>/s/ David W. J. McGirr</w:t>
            </w:r>
          </w:p>
        </w:tc>
        <w:tc>
          <w:tcPr>
            <w:tcW w:w="760" w:type="dxa"/>
            <w:vAlign w:val="bottom"/>
            <w:gridSpan w:val="4"/>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David W. J. McGirr</w:t>
            </w: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Lynn A. Tetrault</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7"/>
        </w:trPr>
        <w:tc>
          <w:tcPr>
            <w:tcW w:w="20" w:type="dxa"/>
            <w:vAlign w:val="bottom"/>
          </w:tcPr>
          <w:p>
            <w:pPr>
              <w:spacing w:after="0"/>
              <w:rPr>
                <w:sz w:val="20"/>
                <w:szCs w:val="20"/>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Lynn A. Tetrault</w:t>
            </w:r>
          </w:p>
        </w:tc>
        <w:tc>
          <w:tcPr>
            <w:tcW w:w="1000" w:type="dxa"/>
            <w:vAlign w:val="bottom"/>
            <w:gridSpan w:val="8"/>
          </w:tcPr>
          <w:p>
            <w:pPr>
              <w:spacing w:after="0"/>
              <w:rPr>
                <w:sz w:val="20"/>
                <w:szCs w:val="20"/>
                <w:color w:val="auto"/>
              </w:rPr>
            </w:pPr>
          </w:p>
        </w:tc>
        <w:tc>
          <w:tcPr>
            <w:tcW w:w="1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42)</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5"/>
        </w:trPr>
        <w:tc>
          <w:tcPr>
            <w:tcW w:w="8320" w:type="dxa"/>
            <w:vAlign w:val="bottom"/>
            <w:gridSpan w:val="7"/>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4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412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6240" w:type="dxa"/>
            <w:vAlign w:val="bottom"/>
            <w:gridSpan w:val="6"/>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&amp; Stockholders’ Equity</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2920" w:type="dxa"/>
            <w:vAlign w:val="bottom"/>
            <w:tcBorders>
              <w:top w:val="single" w:sz="8" w:color="0000EE"/>
            </w:tcBorders>
            <w:gridSpan w:val="4"/>
          </w:tcPr>
          <w:p>
            <w:pPr>
              <w:spacing w:after="0"/>
              <w:rPr>
                <w:sz w:val="17"/>
                <w:szCs w:val="17"/>
                <w:color w:val="auto"/>
              </w:rPr>
            </w:pPr>
          </w:p>
        </w:tc>
        <w:tc>
          <w:tcPr>
            <w:tcW w:w="2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1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Rhythm Pharmaceuticals,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Rhythm Pharmaceuticals, Inc. (the Company) as of December 31, 2024 and 2023, the related consolidated statements of operations and comprehensive loss, convertible preferred stock and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9" w:lineRule="exact"/>
        <w:rPr>
          <w:sz w:val="20"/>
          <w:szCs w:val="20"/>
          <w:color w:val="auto"/>
        </w:rPr>
      </w:pPr>
    </w:p>
    <w:p>
      <w:pPr>
        <w:jc w:val="both"/>
        <w:ind w:left="60" w:right="53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7"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color w:val="auto"/>
        </w:rPr>
        <w:t>Accrued and Prepaid Research and Development Expenses related to Phase 3 EMANATE, Phase 3 evaluation of setmelanotide on acquired hypothalamic obesity and Phase 2 evaluation of bivamelagon on acquired hypothalamic obesity clinical trials</w:t>
      </w:r>
    </w:p>
    <w:p>
      <w:pPr>
        <w:spacing w:after="0" w:line="65" w:lineRule="exact"/>
        <w:rPr>
          <w:sz w:val="20"/>
          <w:szCs w:val="20"/>
          <w:color w:val="auto"/>
        </w:rPr>
      </w:pPr>
    </w:p>
    <w:p>
      <w:pPr>
        <w:ind w:left="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7"/>
          <w:szCs w:val="17"/>
          <w:color w:val="auto"/>
        </w:rPr>
        <w:t>The Company’s accrued expenses and other current liabilities related to research</w:t>
      </w:r>
    </w:p>
    <w:p>
      <w:pPr>
        <w:spacing w:after="0" w:line="29" w:lineRule="exact"/>
        <w:rPr>
          <w:sz w:val="20"/>
          <w:szCs w:val="20"/>
          <w:color w:val="auto"/>
        </w:rPr>
      </w:pPr>
    </w:p>
    <w:p>
      <w:pPr>
        <w:ind w:left="3020" w:right="139"/>
        <w:spacing w:after="0" w:line="253" w:lineRule="auto"/>
        <w:rPr>
          <w:sz w:val="20"/>
          <w:szCs w:val="20"/>
          <w:color w:val="auto"/>
        </w:rPr>
      </w:pPr>
      <w:r>
        <w:rPr>
          <w:rFonts w:ascii="Times New Roman" w:cs="Times New Roman" w:eastAsia="Times New Roman" w:hAnsi="Times New Roman"/>
          <w:sz w:val="18"/>
          <w:szCs w:val="18"/>
          <w:color w:val="auto"/>
        </w:rPr>
        <w:t>and development costs were $17.9 million at December 31, 2024. In addition, the Company’s prepaid expenses and other current assets and other long-term assets related to research and development costs were $7.6 million and $6.2 million, respectively, at December 31, 2024. As discussed in Note 2 of the consolidated financial statements, the Company’s research and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020" w:right="299"/>
        <w:spacing w:after="0" w:line="261" w:lineRule="auto"/>
        <w:rPr>
          <w:sz w:val="20"/>
          <w:szCs w:val="20"/>
          <w:color w:val="auto"/>
        </w:rPr>
      </w:pPr>
      <w:r>
        <w:rPr>
          <w:rFonts w:ascii="Times New Roman" w:cs="Times New Roman" w:eastAsia="Times New Roman" w:hAnsi="Times New Roman"/>
          <w:sz w:val="18"/>
          <w:szCs w:val="18"/>
          <w:color w:val="auto"/>
        </w:rPr>
        <w:t>expenses are based on the Company’s estimates of the progress of the related studies or clinical trials, including the phase or completion of events, invoices received, and contracted costs, which results in an accrual or prepayment at the balance sheet date.</w:t>
      </w:r>
    </w:p>
    <w:p>
      <w:pPr>
        <w:spacing w:after="0" w:line="180" w:lineRule="exact"/>
        <w:rPr>
          <w:sz w:val="20"/>
          <w:szCs w:val="20"/>
          <w:color w:val="auto"/>
        </w:rPr>
      </w:pPr>
    </w:p>
    <w:p>
      <w:pPr>
        <w:ind w:left="3020" w:right="79"/>
        <w:spacing w:after="0" w:line="273" w:lineRule="auto"/>
        <w:rPr>
          <w:sz w:val="20"/>
          <w:szCs w:val="20"/>
          <w:color w:val="auto"/>
        </w:rPr>
      </w:pPr>
      <w:r>
        <w:rPr>
          <w:rFonts w:ascii="Times New Roman" w:cs="Times New Roman" w:eastAsia="Times New Roman" w:hAnsi="Times New Roman"/>
          <w:sz w:val="17"/>
          <w:szCs w:val="17"/>
          <w:color w:val="auto"/>
        </w:rPr>
        <w:t>Auditing certain of the Company’s accrued and prepaid research and development expenses for clinical trials was complex and judgmental, as accounting for the costs associated with these clinical trials required significant estimates of the level of services performed and the associated costs incurred by service providers. Additionally, due to the long duration of these clinical trials and the timing of invoicing received from third parties, the actual amounts incurred are not always known prior to the issuance of the Company’s financial statements.</w:t>
      </w:r>
    </w:p>
    <w:p>
      <w:pPr>
        <w:spacing w:after="0" w:line="61" w:lineRule="exact"/>
        <w:rPr>
          <w:sz w:val="20"/>
          <w:szCs w:val="20"/>
          <w:color w:val="auto"/>
        </w:rPr>
      </w:pPr>
    </w:p>
    <w:p>
      <w:pPr>
        <w:ind w:left="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How We Addressed the Matter in Our</w:t>
      </w:r>
      <w:r>
        <w:rPr>
          <w:sz w:val="20"/>
          <w:szCs w:val="20"/>
          <w:color w:val="auto"/>
        </w:rPr>
        <w:tab/>
      </w:r>
      <w:r>
        <w:rPr>
          <w:rFonts w:ascii="Times New Roman" w:cs="Times New Roman" w:eastAsia="Times New Roman" w:hAnsi="Times New Roman"/>
          <w:sz w:val="17"/>
          <w:szCs w:val="17"/>
          <w:color w:val="auto"/>
        </w:rPr>
        <w:t>To evaluate the prepaid and accrued research and development costs for these</w:t>
      </w:r>
    </w:p>
    <w:p>
      <w:pPr>
        <w:spacing w:after="0" w:line="29" w:lineRule="exact"/>
        <w:rPr>
          <w:sz w:val="20"/>
          <w:szCs w:val="20"/>
          <w:color w:val="auto"/>
        </w:rPr>
      </w:pPr>
    </w:p>
    <w:p>
      <w:pPr>
        <w:ind w:left="3020" w:right="79" w:hanging="2959"/>
        <w:spacing w:after="0" w:line="251" w:lineRule="auto"/>
        <w:tabs>
          <w:tab w:leader="none" w:pos="30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clinical trials at December 31, 2024, our audit procedures included, among others, testing the completeness and accuracy of the underlying data used in the estimates and evaluating the significant judgements and estimates made by management to determine the recorded prepaid and accrued amounts. To test the significant judgments and estimates, we corroborated the progress of research and development activities through discussion with the Company’s research and development personnel that oversee the research and development projects and inspected the Company’s contracts with third parties and any pending change orders to assess the impact on amounts recorded. In addition, we tested estimates of costs incurred to date by confirming actual costs incurred with the relevant third parties and through review of invoices received by the Company. We also analyzed fluctuations in prepaid and accrued amounts by vendor and by trial throughout the period subject to audit, evaluated the costs incurred per trial, site and/or patient for reasonableness and tested subsequent invoices received from third parties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Allowances for Rebates under the Medicaid Drug Rebate Program</w:t>
      </w:r>
    </w:p>
    <w:p>
      <w:pPr>
        <w:spacing w:after="0" w:line="227" w:lineRule="exact"/>
        <w:rPr>
          <w:sz w:val="20"/>
          <w:szCs w:val="20"/>
          <w:color w:val="auto"/>
        </w:rPr>
      </w:pPr>
    </w:p>
    <w:p>
      <w:pPr>
        <w:ind w:left="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7"/>
          <w:szCs w:val="17"/>
          <w:color w:val="auto"/>
        </w:rPr>
        <w:t>As discussed in Note 2 to the Company’s consolidated financial statements, the</w:t>
      </w:r>
    </w:p>
    <w:p>
      <w:pPr>
        <w:spacing w:after="0" w:line="29" w:lineRule="exact"/>
        <w:rPr>
          <w:sz w:val="20"/>
          <w:szCs w:val="20"/>
          <w:color w:val="auto"/>
        </w:rPr>
      </w:pPr>
    </w:p>
    <w:p>
      <w:pPr>
        <w:ind w:left="3020" w:right="159"/>
        <w:spacing w:after="0" w:line="251" w:lineRule="auto"/>
        <w:rPr>
          <w:sz w:val="20"/>
          <w:szCs w:val="20"/>
          <w:color w:val="auto"/>
        </w:rPr>
      </w:pPr>
      <w:r>
        <w:rPr>
          <w:rFonts w:ascii="Times New Roman" w:cs="Times New Roman" w:eastAsia="Times New Roman" w:hAnsi="Times New Roman"/>
          <w:sz w:val="18"/>
          <w:szCs w:val="18"/>
          <w:color w:val="auto"/>
        </w:rPr>
        <w:t>Company recognizes revenue from product sales based on amounts due from customers net of allowances for variable consideration. Variable consideration includes, among others, rebates mandated by law under Medicaid. The Company includes an estimate of variable consideration in its transaction price at the time of sale, when control of the product transfers to the customer. The Company estimates its Medicaid Drug Rebate Program accruals based on monthly sales, historical experience of claims submitted by the various states and jurisdictions, contractual rebate rates and estimated lag time of the rebate invoices. Rebate accruals inclusive of estimated amounts payable for claims not yet received or processed as part of the Company’s Medicaid program are recorded within accrued expenses and other current liabilities on the Company’s consolidated balance sheet.</w:t>
      </w:r>
    </w:p>
    <w:p>
      <w:pPr>
        <w:spacing w:after="0" w:line="192" w:lineRule="exact"/>
        <w:rPr>
          <w:sz w:val="20"/>
          <w:szCs w:val="20"/>
          <w:color w:val="auto"/>
        </w:rPr>
      </w:pPr>
    </w:p>
    <w:p>
      <w:pPr>
        <w:ind w:left="3020" w:right="119"/>
        <w:spacing w:after="0" w:line="261" w:lineRule="auto"/>
        <w:rPr>
          <w:sz w:val="20"/>
          <w:szCs w:val="20"/>
          <w:color w:val="auto"/>
        </w:rPr>
      </w:pPr>
      <w:r>
        <w:rPr>
          <w:rFonts w:ascii="Times New Roman" w:cs="Times New Roman" w:eastAsia="Times New Roman" w:hAnsi="Times New Roman"/>
          <w:sz w:val="18"/>
          <w:szCs w:val="18"/>
          <w:color w:val="auto"/>
        </w:rPr>
        <w:t>Auditing the allowances for rebates owed pursuant to the Medicaid Drug Rebate Program in the U.S. was complex and judgmental due to the complexity of the government mandated calculations. The allowances for rebates owed pursuant to the Medicaid Drug Rebate Program in the U.S. are sensitive to these calculations.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How We Addressed the Matter in Our</w:t>
      </w:r>
      <w:r>
        <w:rPr>
          <w:sz w:val="20"/>
          <w:szCs w:val="20"/>
          <w:color w:val="auto"/>
        </w:rPr>
        <w:tab/>
      </w:r>
      <w:r>
        <w:rPr>
          <w:rFonts w:ascii="Times New Roman" w:cs="Times New Roman" w:eastAsia="Times New Roman" w:hAnsi="Times New Roman"/>
          <w:sz w:val="17"/>
          <w:szCs w:val="17"/>
          <w:color w:val="auto"/>
        </w:rPr>
        <w:t>Our audit procedures to test the allowances for rebates owed pursuant to the</w:t>
      </w:r>
    </w:p>
    <w:p>
      <w:pPr>
        <w:spacing w:after="0" w:line="29" w:lineRule="exact"/>
        <w:rPr>
          <w:sz w:val="20"/>
          <w:szCs w:val="20"/>
          <w:color w:val="auto"/>
        </w:rPr>
      </w:pPr>
    </w:p>
    <w:p>
      <w:pPr>
        <w:ind w:left="3020" w:right="99" w:hanging="2959"/>
        <w:spacing w:after="0" w:line="251" w:lineRule="auto"/>
        <w:tabs>
          <w:tab w:leader="none" w:pos="30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Medicaid Drug Rebate Program included, among others, procedures to assess the methodology used to determine the allowance, procedures to test the completeness and accuracy of the underlying data used in the analysis and procedures to test the significant assumptions utilized. To assess the methodology used to determine the allowance, we involved our government pricing specialists to assist in evaluating the Company’s methodology and calculations to measure certain estimated rebates. To test the completeness and accuracy of the underlying data used in the Company’s analysis, we compared the data used in the Company’s calculations to third-party invoices, historical claims data and actual cash payments through the date of the Company’s financial statements. To test the significant assumptions used in the analysis, we involved our government pricing specialists to assist us evaluating the calculations to measure certain estimated rebates.</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89,137</w:t>
            </w: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392,273</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current liability - LG Chem</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royalty obligation, current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Lease liability</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115,517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royalty obligation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liability</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Series A convertible preferred stock, $0.001 par value: 150,000 shares authorized;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150,000 and 0 shares issued and outstanding at December 31, 2024 and December 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2023, respectively. Liquidation preference of $150,000 as of December 31, 2024.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$0.001 par value: 120,000,000 shares authorized; 62,390,654 and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59,426,559 shares issued and outstanding at December 31, 2024 and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(1,155,338)</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21,729</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392,273</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108,630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395,629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202,795</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(179,157)</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settlement of forward contract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(20,603)</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13,945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dividends on convertible preferred stock</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(264,572)</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(184,678)</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151"/>
        </w:trPr>
        <w:tc>
          <w:tcPr>
            <w:tcW w:w="490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stockholders, basic</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1"/>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16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60,995,204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57,673,128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52,120,701</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(184,678)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gain, net on marketable securities, net of tax</w:t>
            </w: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(181,210)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CONVERTIBLE PREFERRED STOCK &amp; STOCKHOLDERS' EQUITY</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0220"/>
          </w:cols>
          <w:pgMar w:left="840" w:top="513" w:right="839" w:bottom="1440" w:gutter="0" w:footer="0" w:header="0"/>
        </w:sectPr>
      </w:pPr>
    </w:p>
    <w:p>
      <w:pPr>
        <w:spacing w:after="0" w:line="36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1"/>
          <w:szCs w:val="11"/>
          <w:b w:val="1"/>
          <w:bCs w:val="1"/>
          <w:color w:val="auto"/>
        </w:rPr>
        <w:t>Series A Convertible</w:t>
      </w:r>
    </w:p>
    <w:p>
      <w:pPr>
        <w:spacing w:after="0" w:line="6"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1"/>
          <w:szCs w:val="11"/>
          <w:b w:val="1"/>
          <w:bCs w:val="1"/>
          <w:color w:val="auto"/>
        </w:rPr>
        <w:t>Preferred Stock</w:t>
      </w:r>
    </w:p>
    <w:tbl>
      <w:tblPr>
        <w:tblLayout w:type="fixed"/>
        <w:tblInd w:w="0" w:type="dxa"/>
        <w:tblCellMar>
          <w:top w:w="0" w:type="dxa"/>
          <w:left w:w="0" w:type="dxa"/>
          <w:bottom w:w="0" w:type="dxa"/>
          <w:right w:w="0" w:type="dxa"/>
        </w:tblCellMar>
      </w:tblPr>
      <w:tr>
        <w:trPr>
          <w:trHeight w:val="115"/>
        </w:trPr>
        <w:tc>
          <w:tcPr>
            <w:tcW w:w="35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740" w:type="dxa"/>
            <w:vAlign w:val="bottom"/>
            <w:tcBorders>
              <w:top w:val="single" w:sz="8" w:color="auto"/>
            </w:tcBorders>
            <w:gridSpan w:val="2"/>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01"/>
        </w:trPr>
        <w:tc>
          <w:tcPr>
            <w:tcW w:w="3520" w:type="dxa"/>
            <w:vAlign w:val="bottom"/>
            <w:vMerge w:val="continue"/>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compensation expense</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upon completion of public offering, net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costs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unrealized loss on marketable securities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5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2022</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Stock compensation expense</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520" w:type="dxa"/>
            <w:vAlign w:val="bottom"/>
            <w:vMerge w:val="continue"/>
          </w:tcPr>
          <w:p>
            <w:pPr>
              <w:spacing w:after="0"/>
              <w:rPr>
                <w:sz w:val="7"/>
                <w:szCs w:val="7"/>
                <w:color w:val="auto"/>
              </w:rPr>
            </w:pPr>
          </w:p>
        </w:tc>
        <w:tc>
          <w:tcPr>
            <w:tcW w:w="5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upon completion of ATM equity offering, net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costs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unrealized gain on marketable securities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5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2023</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Issuance of Series A Preferred Stock, net of $2,250 of issuance costs</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520" w:type="dxa"/>
            <w:vAlign w:val="bottom"/>
            <w:vMerge w:val="continue"/>
          </w:tcPr>
          <w:p>
            <w:pPr>
              <w:spacing w:after="0"/>
              <w:rPr>
                <w:sz w:val="7"/>
                <w:szCs w:val="7"/>
                <w:color w:val="auto"/>
              </w:rPr>
            </w:pPr>
          </w:p>
        </w:tc>
        <w:tc>
          <w:tcPr>
            <w:tcW w:w="58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150,000</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138,850</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compensation expense</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and vesting of restricted stock units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as consideration for LGC license</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Issuance of common stock upon completion of ATM equity offering, net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$1,125 offering costs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Accretion of preferred stock dividends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3,970</w:t>
            </w:r>
          </w:p>
        </w:tc>
        <w:tc>
          <w:tcPr>
            <w:tcW w:w="0" w:type="dxa"/>
            <w:vAlign w:val="bottom"/>
          </w:tcPr>
          <w:p>
            <w:pPr>
              <w:spacing w:after="0"/>
              <w:rPr>
                <w:sz w:val="1"/>
                <w:szCs w:val="1"/>
                <w:color w:val="auto"/>
              </w:rPr>
            </w:pPr>
          </w:p>
        </w:tc>
      </w:tr>
      <w:tr>
        <w:trPr>
          <w:trHeight w:val="122"/>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unrealized loss on marketable securities</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5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2024</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w:t>
            </w:r>
          </w:p>
        </w:tc>
        <w:tc>
          <w:tcPr>
            <w:tcW w:w="16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142,820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1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780" w:type="dxa"/>
            <w:vAlign w:val="bottom"/>
            <w:tcBorders>
              <w:left w:val="single" w:sz="8" w:color="auto"/>
            </w:tcBorders>
            <w:gridSpan w:val="2"/>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6"/>
              </w:rPr>
              <w:t>Income (Loss)</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0"/>
                <w:szCs w:val="10"/>
                <w:color w:val="auto"/>
              </w:rPr>
            </w:pPr>
          </w:p>
        </w:tc>
        <w:tc>
          <w:tcPr>
            <w:tcW w:w="760" w:type="dxa"/>
            <w:vAlign w:val="bottom"/>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1"/>
        </w:trPr>
        <w:tc>
          <w:tcPr>
            <w:tcW w:w="680" w:type="dxa"/>
            <w:vAlign w:val="bottom"/>
            <w:tcBorders>
              <w:top w:val="single" w:sz="8" w:color="auto"/>
              <w:left w:val="single" w:sz="8" w:color="auto"/>
            </w:tcBorders>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50,283,574</w:t>
            </w: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50</w:t>
            </w: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813,041</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(528,939)</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284,151</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19,831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19,831</w:t>
            </w:r>
          </w:p>
        </w:tc>
        <w:tc>
          <w:tcPr>
            <w:tcW w:w="0" w:type="dxa"/>
            <w:vAlign w:val="bottom"/>
          </w:tcPr>
          <w:p>
            <w:pPr>
              <w:spacing w:after="0"/>
              <w:rPr>
                <w:sz w:val="1"/>
                <w:szCs w:val="1"/>
                <w:color w:val="auto"/>
              </w:rPr>
            </w:pPr>
          </w:p>
        </w:tc>
      </w:tr>
      <w:tr>
        <w:trPr>
          <w:trHeight w:val="140"/>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92,932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855,923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9,752</w:t>
            </w:r>
          </w:p>
        </w:tc>
        <w:tc>
          <w:tcPr>
            <w:tcW w:w="0" w:type="dxa"/>
            <w:vAlign w:val="bottom"/>
          </w:tcPr>
          <w:p>
            <w:pPr>
              <w:spacing w:after="0"/>
              <w:rPr>
                <w:sz w:val="1"/>
                <w:szCs w:val="1"/>
                <w:color w:val="auto"/>
              </w:rPr>
            </w:pPr>
          </w:p>
        </w:tc>
      </w:tr>
      <w:tr>
        <w:trPr>
          <w:trHeight w:val="224"/>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5,380,000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131,112</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(181,119)</w:t>
            </w:r>
          </w:p>
        </w:tc>
        <w:tc>
          <w:tcPr>
            <w:tcW w:w="0" w:type="dxa"/>
            <w:vAlign w:val="bottom"/>
          </w:tcPr>
          <w:p>
            <w:pPr>
              <w:spacing w:after="0"/>
              <w:rPr>
                <w:sz w:val="1"/>
                <w:szCs w:val="1"/>
                <w:color w:val="auto"/>
              </w:rPr>
            </w:pPr>
          </w:p>
        </w:tc>
      </w:tr>
      <w:tr>
        <w:trPr>
          <w:trHeight w:val="115"/>
        </w:trPr>
        <w:tc>
          <w:tcPr>
            <w:tcW w:w="680" w:type="dxa"/>
            <w:vAlign w:val="bottom"/>
            <w:tcBorders>
              <w:top w:val="single" w:sz="8" w:color="auto"/>
              <w:left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56,612,429</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56</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974,356</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(92)</w:t>
            </w:r>
          </w:p>
        </w:tc>
        <w:tc>
          <w:tcPr>
            <w:tcW w:w="1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(710,058)</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264,262</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80" w:type="dxa"/>
            <w:vAlign w:val="bottom"/>
            <w:tcBorders>
              <w:left w:val="single" w:sz="8" w:color="auto"/>
            </w:tcBorders>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32,553</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160"/>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7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32,553</w:t>
            </w:r>
          </w:p>
        </w:tc>
        <w:tc>
          <w:tcPr>
            <w:tcW w:w="0" w:type="dxa"/>
            <w:vAlign w:val="bottom"/>
          </w:tcPr>
          <w:p>
            <w:pPr>
              <w:spacing w:after="0"/>
              <w:rPr>
                <w:sz w:val="1"/>
                <w:szCs w:val="1"/>
                <w:color w:val="auto"/>
              </w:rPr>
            </w:pPr>
          </w:p>
        </w:tc>
      </w:tr>
      <w:tr>
        <w:trPr>
          <w:trHeight w:val="140"/>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49,819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745,066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7,468</w:t>
            </w:r>
          </w:p>
        </w:tc>
        <w:tc>
          <w:tcPr>
            <w:tcW w:w="0" w:type="dxa"/>
            <w:vAlign w:val="bottom"/>
          </w:tcPr>
          <w:p>
            <w:pPr>
              <w:spacing w:after="0"/>
              <w:rPr>
                <w:sz w:val="1"/>
                <w:szCs w:val="1"/>
                <w:color w:val="auto"/>
              </w:rPr>
            </w:pPr>
          </w:p>
        </w:tc>
      </w:tr>
      <w:tr>
        <w:trPr>
          <w:trHeight w:val="224"/>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2,019,245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48,875</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(184,678)</w:t>
            </w:r>
          </w:p>
        </w:tc>
        <w:tc>
          <w:tcPr>
            <w:tcW w:w="0" w:type="dxa"/>
            <w:vAlign w:val="bottom"/>
          </w:tcPr>
          <w:p>
            <w:pPr>
              <w:spacing w:after="0"/>
              <w:rPr>
                <w:sz w:val="1"/>
                <w:szCs w:val="1"/>
                <w:color w:val="auto"/>
              </w:rPr>
            </w:pPr>
          </w:p>
        </w:tc>
      </w:tr>
      <w:tr>
        <w:trPr>
          <w:trHeight w:val="115"/>
        </w:trPr>
        <w:tc>
          <w:tcPr>
            <w:tcW w:w="680" w:type="dxa"/>
            <w:vAlign w:val="bottom"/>
            <w:tcBorders>
              <w:top w:val="single" w:sz="8" w:color="auto"/>
              <w:left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59,426,559</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59</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1,064,302</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134</w:t>
            </w:r>
          </w:p>
        </w:tc>
        <w:tc>
          <w:tcPr>
            <w:tcW w:w="1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(894,736)</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169,759</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80" w:type="dxa"/>
            <w:vAlign w:val="bottom"/>
            <w:tcBorders>
              <w:left w:val="single" w:sz="8" w:color="auto"/>
            </w:tcBorders>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right"/>
              <w:ind w:right="6"/>
              <w:spacing w:after="0" w:line="8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160"/>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74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8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39,682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39,682</w:t>
            </w:r>
          </w:p>
        </w:tc>
        <w:tc>
          <w:tcPr>
            <w:tcW w:w="0" w:type="dxa"/>
            <w:vAlign w:val="bottom"/>
          </w:tcPr>
          <w:p>
            <w:pPr>
              <w:spacing w:after="0"/>
              <w:rPr>
                <w:sz w:val="1"/>
                <w:szCs w:val="1"/>
                <w:color w:val="auto"/>
              </w:rPr>
            </w:pPr>
          </w:p>
        </w:tc>
      </w:tr>
      <w:tr>
        <w:trPr>
          <w:trHeight w:val="140"/>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44,554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0" w:type="dxa"/>
            <w:vAlign w:val="bottom"/>
          </w:tcPr>
          <w:p>
            <w:pPr>
              <w:spacing w:after="0"/>
              <w:rPr>
                <w:sz w:val="1"/>
                <w:szCs w:val="1"/>
                <w:color w:val="auto"/>
              </w:rPr>
            </w:pPr>
          </w:p>
        </w:tc>
      </w:tr>
      <w:tr>
        <w:trPr>
          <w:trHeight w:val="224"/>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1,742,803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15,972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15,974</w:t>
            </w:r>
          </w:p>
        </w:tc>
        <w:tc>
          <w:tcPr>
            <w:tcW w:w="0" w:type="dxa"/>
            <w:vAlign w:val="bottom"/>
          </w:tcPr>
          <w:p>
            <w:pPr>
              <w:spacing w:after="0"/>
              <w:rPr>
                <w:sz w:val="1"/>
                <w:szCs w:val="1"/>
                <w:color w:val="auto"/>
              </w:rPr>
            </w:pPr>
          </w:p>
        </w:tc>
      </w:tr>
      <w:tr>
        <w:trPr>
          <w:trHeight w:val="140"/>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432,143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18,716</w:t>
            </w:r>
          </w:p>
        </w:tc>
        <w:tc>
          <w:tcPr>
            <w:tcW w:w="0" w:type="dxa"/>
            <w:vAlign w:val="bottom"/>
          </w:tcPr>
          <w:p>
            <w:pPr>
              <w:spacing w:after="0"/>
              <w:rPr>
                <w:sz w:val="1"/>
                <w:szCs w:val="1"/>
                <w:color w:val="auto"/>
              </w:rPr>
            </w:pPr>
          </w:p>
        </w:tc>
      </w:tr>
      <w:tr>
        <w:trPr>
          <w:trHeight w:val="224"/>
        </w:trPr>
        <w:tc>
          <w:tcPr>
            <w:tcW w:w="680" w:type="dxa"/>
            <w:vAlign w:val="bottom"/>
            <w:tcBorders>
              <w:lef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744,595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9"/>
                <w:szCs w:val="19"/>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41,073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41,073</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(3,970)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(3,970)</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1"/>
        </w:trPr>
        <w:tc>
          <w:tcPr>
            <w:tcW w:w="780" w:type="dxa"/>
            <w:vAlign w:val="bottom"/>
            <w:tcBorders>
              <w:lef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(260,602)</w:t>
            </w:r>
          </w:p>
        </w:tc>
        <w:tc>
          <w:tcPr>
            <w:tcW w:w="0" w:type="dxa"/>
            <w:vAlign w:val="bottom"/>
          </w:tcPr>
          <w:p>
            <w:pPr>
              <w:spacing w:after="0"/>
              <w:rPr>
                <w:sz w:val="1"/>
                <w:szCs w:val="1"/>
                <w:color w:val="auto"/>
              </w:rPr>
            </w:pPr>
          </w:p>
        </w:tc>
      </w:tr>
      <w:tr>
        <w:trPr>
          <w:trHeight w:val="115"/>
        </w:trPr>
        <w:tc>
          <w:tcPr>
            <w:tcW w:w="680" w:type="dxa"/>
            <w:vAlign w:val="bottom"/>
            <w:tcBorders>
              <w:top w:val="single" w:sz="8" w:color="auto"/>
              <w:left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62,390,654</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61</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1,177,045</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(1,155,338)</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21,729</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-2656840</wp:posOffset>
            </wp:positionV>
            <wp:extent cx="6489065"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6489065" cy="8572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-2493645</wp:posOffset>
            </wp:positionV>
            <wp:extent cx="6489065"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6489065" cy="7747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-2262505</wp:posOffset>
            </wp:positionV>
            <wp:extent cx="648906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-2030730</wp:posOffset>
            </wp:positionV>
            <wp:extent cx="6489065"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6489065" cy="7747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-1859280</wp:posOffset>
            </wp:positionV>
            <wp:extent cx="6489065" cy="939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489065" cy="9398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-1687830</wp:posOffset>
            </wp:positionV>
            <wp:extent cx="648906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-1379220</wp:posOffset>
            </wp:positionV>
            <wp:extent cx="6489065" cy="77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6489065" cy="7747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-1224915</wp:posOffset>
            </wp:positionV>
            <wp:extent cx="6489065" cy="768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489065" cy="7683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-1053465</wp:posOffset>
            </wp:positionV>
            <wp:extent cx="6489065" cy="93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489065" cy="9398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-882015</wp:posOffset>
            </wp:positionV>
            <wp:extent cx="6489065" cy="76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6489065" cy="7683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-650875</wp:posOffset>
            </wp:positionV>
            <wp:extent cx="6489065"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489065" cy="7747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-419100</wp:posOffset>
            </wp:positionV>
            <wp:extent cx="6489065" cy="76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6489065" cy="7683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-264795</wp:posOffset>
            </wp:positionV>
            <wp:extent cx="6489065" cy="768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489065" cy="7683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-110490</wp:posOffset>
            </wp:positionV>
            <wp:extent cx="6489065"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489065" cy="9398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160"/>
            <w:col w:w="5140"/>
          </w:cols>
          <w:pgMar w:left="840" w:top="513" w:right="83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4"/>
        </w:trPr>
        <w:tc>
          <w:tcPr>
            <w:tcW w:w="5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(260,602)</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(181,119)</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19,831</w:t>
            </w:r>
          </w:p>
        </w:tc>
        <w:tc>
          <w:tcPr>
            <w:tcW w:w="0" w:type="dxa"/>
            <w:vAlign w:val="bottom"/>
          </w:tcPr>
          <w:p>
            <w:pPr>
              <w:spacing w:after="0"/>
              <w:rPr>
                <w:sz w:val="1"/>
                <w:szCs w:val="1"/>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0" w:type="dxa"/>
            <w:vAlign w:val="bottom"/>
          </w:tcPr>
          <w:p>
            <w:pPr>
              <w:spacing w:after="0"/>
              <w:rPr>
                <w:sz w:val="1"/>
                <w:szCs w:val="1"/>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accretion &amp; amortization of short-term investments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rent expense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02"/>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RareStone equity investment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embedded derivative liability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settlement of forward contract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Acquired IPR&amp;D assets classified as investing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(5,199)</w:t>
            </w:r>
          </w:p>
        </w:tc>
        <w:tc>
          <w:tcPr>
            <w:tcW w:w="0" w:type="dxa"/>
            <w:vAlign w:val="bottom"/>
          </w:tcPr>
          <w:p>
            <w:pPr>
              <w:spacing w:after="0"/>
              <w:rPr>
                <w:sz w:val="1"/>
                <w:szCs w:val="1"/>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03"/>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(4,840)</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(113,879)</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(136,157)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(173,428)</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(354,918)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(251,937)</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354,967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284,247</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IPR&amp;D 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Payment of milestone obligation under license agreement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(48,173)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28,029</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deferred royalty obligation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from ESPP</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proceeds from issuance of common stock</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131,112</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royalty financing agreement, net of issuance costs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72,338</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forward contract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Proceeds from Series A Preferred Stock, net of issuance costs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138,850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191,242</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213,828</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68,429</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128,005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59,576</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128,005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 issued in exchange for the acquisition of IPR&amp;D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33,669</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exchange for IPR&amp;D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18,716</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preferred stock dividends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(setmelanotide), as a precision medicine designed to treat hyperphagia and severe obesity caused by MC4R pathway diseases. While obesity affects hundreds of millions of people worldwide, we are developing therapies for a subset of individuals who have hyperphagia, a pathological hunger,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left="60" w:right="119" w:firstLine="630"/>
        <w:spacing w:after="0" w:line="266" w:lineRule="auto"/>
        <w:rPr>
          <w:sz w:val="20"/>
          <w:szCs w:val="20"/>
          <w:color w:val="auto"/>
        </w:rPr>
      </w:pPr>
      <w:r>
        <w:rPr>
          <w:rFonts w:ascii="Times New Roman" w:cs="Times New Roman" w:eastAsia="Times New Roman" w:hAnsi="Times New Roman"/>
          <w:sz w:val="18"/>
          <w:szCs w:val="18"/>
          <w:color w:val="auto"/>
        </w:rPr>
        <w:t>The Company is a Delaware corporation organized in February 2013 under the name Rhythm Metabolic, Inc., and as of October 2015, under the name Rhythm Pharmaceuticals, Inc. The Company has wholly owned subsidiaries in the US, Ireland, the United Kingdom, the Netherlands, France, Germany, Italy, Spain, Japan and Canada.</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inception. As of December 31, 2024, the Company had an accumulated deficit of $1,155,338. The Company has primarily funded these losses through the proceeds from the sales of our common stock and preferred stock, asset sales, royalty financing, out-license arrangements, as well as capital contributions received from the former parent company, Rhythm Holdings LLC. To date, the Company has minimal product revenue and management expects operating losses to continue for the foreseeable future. The Company has devoted substantially all of its resources to its drug development efforts, comprising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$320,565 of cash and cash equivalents and short-term investments on hand. In the future, the Company will be dependent on obtaining funding from third parties, such as proceeds from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issuance of debt, sale of equity, proceeds from out license arrangements, product sales and funded research and development programs to maintain the Company's operations and meet the Company's obligations. There is no guarantee that additional equity or other financings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through at least the next twelve months from the filing of this Annual Report on Form 10-K with the SEC.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accounting principles generally accepted in the United States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but are not limited to,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Rhythm Pharmaceuticals, Inc. and its wholly-owned subsidiaries. All significant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year ended December 31, 2024.</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212529"/>
        </w:rPr>
        <w:t xml:space="preserve">In November 2023, the FASB issued ASU 2023-07 – Segment Reporting (Topic 280) – </w:t>
      </w:r>
      <w:r>
        <w:rPr>
          <w:rFonts w:ascii="Times New Roman" w:cs="Times New Roman" w:eastAsia="Times New Roman" w:hAnsi="Times New Roman"/>
          <w:sz w:val="18"/>
          <w:szCs w:val="18"/>
          <w:i w:val="1"/>
          <w:iCs w:val="1"/>
          <w:color w:val="212529"/>
        </w:rPr>
        <w:t>Improvements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Reportable Segment Disclosures</w:t>
      </w:r>
      <w:r>
        <w:rPr>
          <w:rFonts w:ascii="Times New Roman" w:cs="Times New Roman" w:eastAsia="Times New Roman" w:hAnsi="Times New Roman"/>
          <w:sz w:val="18"/>
          <w:szCs w:val="18"/>
          <w:color w:val="212529"/>
        </w:rPr>
        <w:t>, which improves segment disclosure requirements, primarily through enhanced disclosure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spacing w:after="0" w:line="187" w:lineRule="exact"/>
        <w:rPr>
          <w:sz w:val="20"/>
          <w:szCs w:val="20"/>
          <w:color w:val="auto"/>
        </w:rPr>
      </w:pPr>
    </w:p>
    <w:p>
      <w:pPr>
        <w:ind w:left="60" w:right="79" w:firstLine="630"/>
        <w:spacing w:after="0" w:line="258" w:lineRule="auto"/>
        <w:rPr>
          <w:sz w:val="20"/>
          <w:szCs w:val="20"/>
          <w:color w:val="auto"/>
        </w:rPr>
      </w:pPr>
      <w:r>
        <w:rPr>
          <w:rFonts w:ascii="Times New Roman" w:cs="Times New Roman" w:eastAsia="Times New Roman" w:hAnsi="Times New Roman"/>
          <w:sz w:val="18"/>
          <w:szCs w:val="18"/>
          <w:color w:val="auto"/>
        </w:rPr>
        <w:t>The Company is exposed to risks associated with extending credit to customers related to the sale of products. The Company does not require collateral to secure amounts due from its customers. For the years ended December 31, 2024 and 2023, approximately 74% and 77%, respectively, of all of the Company’s revenue was generated from a single customer in the United States. As of December 31, 2024 and 2023, approximately 67% and 67%, respectively, of the Company’s accounts receivable was outstanding from a single customer in the United States.</w:t>
      </w:r>
    </w:p>
    <w:p>
      <w:pPr>
        <w:spacing w:after="0" w:line="183" w:lineRule="exact"/>
        <w:rPr>
          <w:sz w:val="20"/>
          <w:szCs w:val="20"/>
          <w:color w:val="auto"/>
        </w:rPr>
      </w:pPr>
    </w:p>
    <w:p>
      <w:pPr>
        <w:ind w:left="60" w:right="219" w:firstLine="630"/>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manufacturers and suppliers for manufacturing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spacing w:after="0" w:line="180" w:lineRule="exact"/>
        <w:rPr>
          <w:sz w:val="20"/>
          <w:szCs w:val="20"/>
          <w:color w:val="auto"/>
        </w:rPr>
      </w:pPr>
    </w:p>
    <w:p>
      <w:pPr>
        <w:ind w:left="60" w:right="79" w:firstLine="624"/>
        <w:spacing w:after="0" w:line="261" w:lineRule="auto"/>
        <w:rPr>
          <w:sz w:val="20"/>
          <w:szCs w:val="20"/>
          <w:color w:val="auto"/>
        </w:rPr>
      </w:pPr>
      <w:r>
        <w:rPr>
          <w:rFonts w:ascii="Times New Roman" w:cs="Times New Roman" w:eastAsia="Times New Roman" w:hAnsi="Times New Roman"/>
          <w:sz w:val="18"/>
          <w:szCs w:val="18"/>
          <w:color w:val="auto"/>
        </w:rPr>
        <w:t>The Company relies on separate third parties to perform genetic testing in the United States and Europe, respectively. The inability of the vendor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available-for-sale. Accordingly, these investments are recorded at fair value, 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years ended December 31, 2024, 2023, and 2022, the Company did not recognize any credit losses related to its available-for-sale debt securities. Further, as of December 31, 2024 and 2023, the Company did not record an allowance for credit losses related to its available-for-sale debt securities.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Restricted cash consists of security deposits in the form of letters of credit placed in separate restricted bank accounts as required under the terms of the Company’s lease arrangement for its corporate office in Boston, Massachusetts and the Company’s corporate travel credit card.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left="60" w:right="59" w:firstLine="711"/>
        <w:spacing w:after="0" w:line="254"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material credit losses. The Company's contracts with its customers have customary payment terms that generally require payment within 90 days. The Company analyzes amounts that are past due for collectability, and periodically evaluates the creditworthiness of its customer. At December 31, 2024 and 2023, the Company determined an allowance for doubtful account was not required based upon its review of contractual payments and its customer payment histories.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12529"/>
        </w:rPr>
        <w:t>In the United States, which accounts for the largest portion of our total revenues, the Company sells its product to one material specialty pharmacy. The product is distributed through third-party logistics, or 3PL, distribution agent that does not take title to the product. Once the product is delivered to the Company’s specialty pharmacy provider, our customer in the United States,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212529"/>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212529"/>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212529"/>
        </w:rPr>
        <w:t>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212529"/>
        </w:rPr>
        <w:t xml:space="preserve">Government rebates: </w:t>
      </w:r>
      <w:r>
        <w:rPr>
          <w:rFonts w:ascii="Times New Roman" w:cs="Times New Roman" w:eastAsia="Times New Roman" w:hAnsi="Times New Roman"/>
          <w:sz w:val="18"/>
          <w:szCs w:val="18"/>
          <w:color w:val="212529"/>
        </w:rPr>
        <w:t>The Company is subject to discount obligations under government programs, including U.S.</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Medicaid programs, Medicare and Tricare in the United States as well as certain government rebates and pricing adjustments in certain international markets that we operate. We estimate these rebates based upon a range of possible outcomes that take into consideration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necessary adjustments in the period that we identify the adjustments.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212529"/>
        </w:rPr>
        <w:t xml:space="preserve">Trade discounts and allowances: </w:t>
      </w:r>
      <w:r>
        <w:rPr>
          <w:rFonts w:ascii="Times New Roman" w:cs="Times New Roman" w:eastAsia="Times New Roman" w:hAnsi="Times New Roman"/>
          <w:sz w:val="18"/>
          <w:szCs w:val="18"/>
          <w:color w:val="212529"/>
        </w:rPr>
        <w:t>The Company provides customary invoice discounts on IMCIVREE sales to</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certain of our customers for items such as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212529"/>
        </w:rPr>
        <w:t xml:space="preserve">Product returns: </w:t>
      </w:r>
      <w:r>
        <w:rPr>
          <w:rFonts w:ascii="Times New Roman" w:cs="Times New Roman" w:eastAsia="Times New Roman" w:hAnsi="Times New Roman"/>
          <w:sz w:val="18"/>
          <w:szCs w:val="18"/>
          <w:color w:val="212529"/>
        </w:rPr>
        <w:t>Our customers have limited return rights related to the product’s damage or defect. The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Company estimates the amount of product sales that may be returned and records the estimate as a reduction of revenue and a refund liability in the period the related product revenue is recognized. Based on the distribution model for IMCIVREE, the Company believes there will be minimal returns and these reserves have not been material to date.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212529"/>
        </w:rPr>
        <w:t xml:space="preserve">Other incentives: </w:t>
      </w:r>
      <w:r>
        <w:rPr>
          <w:rFonts w:ascii="Times New Roman" w:cs="Times New Roman" w:eastAsia="Times New Roman" w:hAnsi="Times New Roman"/>
          <w:sz w:val="18"/>
          <w:szCs w:val="18"/>
          <w:color w:val="212529"/>
        </w:rPr>
        <w:t>Other incentives include co-payment assistance the Company provides to patients with</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212529"/>
        </w:rPr>
        <w:t>Provisions for trade discounts, chargebacks and allowances are recorded as reductions to accounts receivable, and returns, government rebates, and other incentives are recorded as a component of accrued expenses.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balances and activity in each of the product revenue allowance and reserve categories as follows: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 for Cash Discounts</w:t>
            </w:r>
          </w:p>
        </w:tc>
        <w:tc>
          <w:tcPr>
            <w:tcW w:w="2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Fees, Rebates and Other Incentives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2022</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0" w:type="dxa"/>
            <w:vAlign w:val="bottom"/>
          </w:tcPr>
          <w:p>
            <w:pPr>
              <w:spacing w:after="0"/>
              <w:rPr>
                <w:sz w:val="18"/>
                <w:szCs w:val="18"/>
                <w:color w:val="auto"/>
              </w:rPr>
            </w:pPr>
          </w:p>
        </w:tc>
      </w:tr>
      <w:tr>
        <w:trPr>
          <w:trHeight w:val="230"/>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0" w:type="dxa"/>
            <w:vAlign w:val="bottom"/>
          </w:tcPr>
          <w:p>
            <w:pPr>
              <w:spacing w:after="0"/>
              <w:rPr>
                <w:sz w:val="19"/>
                <w:szCs w:val="19"/>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and payments made</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(1,572)</w:t>
            </w:r>
          </w:p>
        </w:tc>
        <w:tc>
          <w:tcPr>
            <w:tcW w:w="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(10,586)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20" w:type="dxa"/>
            <w:vAlign w:val="bottom"/>
          </w:tcPr>
          <w:p>
            <w:pPr>
              <w:spacing w:after="0"/>
              <w:rPr>
                <w:sz w:val="18"/>
                <w:szCs w:val="18"/>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2023</w:t>
            </w: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20" w:type="dxa"/>
            <w:vAlign w:val="bottom"/>
          </w:tcPr>
          <w:p>
            <w:pPr>
              <w:spacing w:after="0"/>
              <w:rPr>
                <w:sz w:val="21"/>
                <w:szCs w:val="21"/>
                <w:color w:val="auto"/>
              </w:rPr>
            </w:pPr>
          </w:p>
        </w:tc>
      </w:tr>
      <w:tr>
        <w:trPr>
          <w:trHeight w:val="21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0" w:type="dxa"/>
            <w:vAlign w:val="bottom"/>
          </w:tcPr>
          <w:p>
            <w:pPr>
              <w:spacing w:after="0"/>
              <w:rPr>
                <w:sz w:val="18"/>
                <w:szCs w:val="18"/>
                <w:color w:val="auto"/>
              </w:rPr>
            </w:pPr>
          </w:p>
        </w:tc>
      </w:tr>
      <w:tr>
        <w:trPr>
          <w:trHeight w:val="230"/>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and payments made</w:t>
            </w:r>
          </w:p>
        </w:tc>
        <w:tc>
          <w:tcPr>
            <w:tcW w:w="6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(2,263)</w:t>
            </w:r>
          </w:p>
        </w:tc>
        <w:tc>
          <w:tcPr>
            <w:tcW w:w="8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20" w:type="dxa"/>
            <w:vAlign w:val="bottom"/>
          </w:tcPr>
          <w:p>
            <w:pPr>
              <w:spacing w:after="0"/>
              <w:rPr>
                <w:sz w:val="19"/>
                <w:szCs w:val="19"/>
                <w:color w:val="auto"/>
              </w:rPr>
            </w:pPr>
          </w:p>
        </w:tc>
      </w:tr>
      <w:tr>
        <w:trPr>
          <w:trHeight w:val="209"/>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2024</w:t>
            </w: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Provision for cash discounts are recorded as reductions of accounts receivable, and fees, rebates, and other incentives are recorded as components of accrued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customers may include non-refundable upfront fees, payments upon the exercise of customer options, payments based upon the achievement of defined milestones, and royalties on sales of products and product candidates if they are approved and commercialized.</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Refer to Note 10 “Significant Agreements”, for discussion related to the Company’s accounting for the RareStone Group, Ltd.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Royalty Obligation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treat the debt obligation to HealthCare Royalty Management, LLC as discussed further in Note 11, “Long-Term Obligations”, as a deferred royalty obligation, amortized using the effective interest rate method over the estimated life of the revenue streams. We recognize interest expense thereon using the effective rate, which is based on our current estimates of future revenues over the life of the arrangement. In connection therewith, we periodically assess our expected revenues using internal projections, impute interest on the carrying value of the deferred royalty obligation, and record interest expense using the imputed effective interest rate. To the extent our estimates of future revenues are greater or less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than previous estimates or the estimated timing of such payments is materially different than previous estimates, we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that we make estimates that could impact the classification of such costs, as well as the period over which such costs will be amortized.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WIP</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1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w:t>
            </w: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ind w:left="60" w:right="59" w:firstLine="720"/>
        <w:spacing w:after="0" w:line="258" w:lineRule="auto"/>
        <w:rPr>
          <w:sz w:val="20"/>
          <w:szCs w:val="20"/>
          <w:color w:val="auto"/>
        </w:rPr>
      </w:pPr>
      <w:r>
        <w:rPr>
          <w:rFonts w:ascii="Times New Roman" w:cs="Times New Roman" w:eastAsia="Times New Roman" w:hAnsi="Times New Roman"/>
          <w:sz w:val="18"/>
          <w:szCs w:val="18"/>
          <w:color w:val="auto"/>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in cost of sales in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sell. No events or changes in circumstances existed to require an impairment assessment during the years ended December 31, 2024, 2023 and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costs incurred in advance of services being received, including services related to clinical trial programs. Prepaid expenses and other current assets consists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09"/>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long-term assets consist primarily of costs incurred in advance of services being received, including services related to clinical trial programs. Since the Company will not receive services within one year of the balance sheet date, these assets are considered long-term. Other long-term assets consists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research and development costs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7,326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7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3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780" w:type="dxa"/>
            <w:vAlign w:val="bottom"/>
            <w:tcBorders>
              <w:bottom w:val="single" w:sz="8" w:color="CCEEFF"/>
            </w:tcBorders>
          </w:tcPr>
          <w:p>
            <w:pPr>
              <w:jc w:val="center"/>
              <w:ind w:left="36"/>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(4,767)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Shorter of asset life or lease term.</w:t>
      </w:r>
    </w:p>
    <w:p>
      <w:pPr>
        <w:spacing w:after="0" w:line="20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years ended December 31, 2024, 2023 and 2022 was $710, $903, and $896 respectively.</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is calculated using the straight-line method over the estimated useful lives of the assets. 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 Expense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projects are expensed as acquired IPR&amp;D and recorded as a component of research and development expense in the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cost of products sold over the remaining useful life of the related product.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years ended December 31, 2024, 2023 and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ind w:left="1500" w:right="199" w:hanging="80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1500" w:right="99" w:hanging="80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2" w:lineRule="exact"/>
        <w:rPr>
          <w:sz w:val="20"/>
          <w:szCs w:val="20"/>
          <w:color w:val="auto"/>
        </w:rPr>
      </w:pPr>
    </w:p>
    <w:p>
      <w:pPr>
        <w:ind w:left="100" w:right="79" w:firstLine="603"/>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marketable securities and derivative liability at December 31, 2024 and 2023 were carried at fair value, determined according to the fair value hierarchy. See Note 5 for further discussion.</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payable and accrued expenses and other current liabilities approximate their fair values due to their short-term maturities at December 31,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Costs incurred in the research and development of the Company’s products are expensed to operations as incurred. Research and development expenses consist of costs incurred in performing research and development activities, including salaries and benefits, facilities costs, overhead costs, contract services and other outside costs. The value of goods and services received from contract research organizations, or CROs, or contract manufacturing organizations, or CMOs, in the reporting period are estimated based on the level of services performed and progress in the period for which the Company has not yet received an invoice from the supplier.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reporting period. Actual results could differ from the Company’s estimates. The Company’s historical accrual estimates have not been materially different from the actual costs.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and expensed as the related goods are delivered or the services are performed.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is taxed as a C corporation for federal income tax purposes. Income taxes for the Company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Income taxes have been calculated on a separate tax return basis.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likely to be realized upon ultimate settlement with the related tax authority.</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provision for income taxes in the accompanying consolidated statements of operations. As of December 31, 2024 and 2023, no accrued interest or penalties are included as a component of accrued expenses in the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shareholders by the weighted-average number of common shares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more dilutive of the if-converted or treasury stock method. For purposes of the diluted net loss per share calculation, stock options, restricted stock units and performance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includes the potential common shares, presented based on amounts outstanding at each period end, that were excluded from the computation of diluted net loss per share due to their anti-dilutive effect, under either the treasury stock or if-converted method for the periods indicated:</w:t>
      </w:r>
    </w:p>
    <w:p>
      <w:pPr>
        <w:spacing w:after="0" w:line="18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6,611,391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6,551,025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6,354,544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1,805,412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1,079,382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774,166</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581,246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804,797</w:t>
            </w: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the conversion of Series A convertible</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3,124,995</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09"/>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Potential common shares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11,791,120</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8,211,653</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7,933,507</w:t>
            </w:r>
          </w:p>
        </w:tc>
      </w:tr>
      <w:tr>
        <w:trPr>
          <w:trHeight w:val="20"/>
        </w:trPr>
        <w:tc>
          <w:tcPr>
            <w:tcW w:w="5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represents the net change in stockholders’ equity during a period from sources other than transactions with shareholders. As reflected in the accompanying consolidated statements of operations and comprehensive loss, our comprehensive loss is comprised of net losses, foreign currency translation adjustments and unrealized gains and losses on marketable debt securities. These changes in equity are reflected net of tax.</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expenses. Patent costs were $1,311, $555 and $406 for the years ended December 31, 2024, 2023 and 2022,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Application of New or Revised Accounting Standards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or ASU 2023-09. The new guidance requires that an entity, on an annual basis, disclose additional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We are currently evaluating the impact of the new standard on our consolidated financial statements which is expected to result in enhanced disclosures, however, we do not otherwise expect the adoption of the new guidance to have a material impact on our financial condition or results of operations.</w:t>
      </w:r>
    </w:p>
    <w:p>
      <w:pPr>
        <w:spacing w:after="0" w:line="18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12529"/>
        </w:rPr>
        <w:t>In November 2023, the FASB issued ASU 2023-07 – Segment Reporting (Topic 280) – Improvements to Reportable Segment Disclosures, which improves segment disclosure requirements, primarily through enhanced disclosure 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Asset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LG Chem, Ltd.</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January 4, 2024, the Company entered into a license agreement and share issuance agreement with LG Chem, Ltd. (“LGC”). Under the terms of the license agreement, the Company obtained worldwide rights to LGC’s proprietary compound bivamelagon and assumed sponsorship of two ongoing LGC Phase 2 studies designed to evaluate safety, tolerability, pharmacokinetics and weight loss efficacy of bivamelagon.</w:t>
      </w:r>
    </w:p>
    <w:p>
      <w:pPr>
        <w:spacing w:after="0" w:line="180" w:lineRule="exact"/>
        <w:rPr>
          <w:sz w:val="20"/>
          <w:szCs w:val="20"/>
          <w:color w:val="auto"/>
        </w:rPr>
      </w:pPr>
    </w:p>
    <w:p>
      <w:pPr>
        <w:jc w:val="both"/>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total purchase consideration of $92.4 million consisted of cash payments with a present value of $73.7 million and $18.7 million in the Company’s common shares. At closing, $40.0 million of cash paid was paid and shares were issued at a per share price equal to the ten-day volume weighted average closing price for our common stock, calculated as of the trading day immediately prior to January 4, 2024. The total purchase consideration also includes an additional $40.0 million license fee payable 18 months from the date of execution, whose present value at closing was $33.7 million and is being accreted to its full value through interest expense. The company recorded $0.8 million of transaction costs associated with this transaction, which are recorded as selling, general and administrative expenses. The carrying value of the license fee payable is $37.7 million as of December 31, 2024.</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terms of the license agreement, we agreed to pay LGC up to $205 million in cash upon achieving various regulatory and sales milestones based on net sales of bivamelagon. In addition and subject to the completion of Phase 2 development of bivamelagon, the Company has agreed to pay LGC royalties of between low-to-mid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$92.4 million of purchase consideration as research and development expense in the year ended December 31, 2024.</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Xinvento B.V.</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27, 2023, the Company, through its wholly-owned Dutch subsidiary, Rhythm Pharmaceuticals Netherlands B.V., a Dutch private limited liability company (“Rhythm BV”), entered into a Share Purchase Agreement (the “Purchase Agreement”) with Xinvento B.V., a Dutch private limited liability company based in the Netherlands (“Xinvento”), and the other parties named therein, pursuant to which, and concurrently with the execution thereof, Rhythm BV acquired all of the issued and outstanding shares of Xinvento. The aggregate consideration at closing was approximately $5.7 million, inclusive of transaction costs, as adjusted pursuant to the terms of the Purchase Agreement and subject to the distribution and payment terms set forth therein (the “Closing Purchase Price”).</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Closing Purchase Price, the Purchase Agreement provides for the payment of additional contingent consideration totaling up to $206 million upon achievement of certain development, regulatory and commercial milestones by Xinvento, as follows: (i) up to an aggregate of $6 million in clinical development milestones; (ii) up to an aggregate of $125 million in regulatory approval and commercial milestones; and (iii) up to an aggregate of $75 million in sales milestones in the event a second molecule is selected, developed and approved.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of $5.7 million was composed of $4.5 million of cash paid at closing, a $0.5 million holdback, payable on the one-year anniversary of the acquisition, and $0.6 million of acquisition-related costs. The $0.5 million holdback was paid in the quarter ended March 31, 2024, and is reflected in investing activities in the consolidated statement of cash flow for the year ended December 31, 2024. The Company determined that substantially all of the value as of acquisition date related to Xinvento’s In-Process Research and Development. As a result, the Company determined this transaction should be accounted for as an asset acquisition.</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$5.7 million of purchase consideration as research and development expense in the year ended December 31, 2023.</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Xinvento transaction in the period in which the achievement of the underlying milestones becomes probable.</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Xinvento's results of operations are included in the consolidated financial statements from the date of acquisition. For the years ended December 31, 2024 and 2023, the net loss associated with the operations of Xinvento was de minimis in the Company’s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consists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10"/>
        </w:trPr>
        <w:tc>
          <w:tcPr>
            <w:tcW w:w="6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62,658</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w:t>
      </w:r>
    </w:p>
    <w:p>
      <w:pPr>
        <w:spacing w:after="0" w:line="16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December 31, 2024 using:</w:t>
      </w:r>
    </w:p>
    <w:tbl>
      <w:tblPr>
        <w:tblLayout w:type="fixed"/>
        <w:tblInd w:w="60" w:type="dxa"/>
        <w:tblCellMar>
          <w:top w:w="0" w:type="dxa"/>
          <w:left w:w="0" w:type="dxa"/>
          <w:bottom w:w="0" w:type="dxa"/>
          <w:right w:w="0" w:type="dxa"/>
        </w:tblCellMar>
      </w:tblPr>
      <w:tr>
        <w:trPr>
          <w:trHeight w:val="142"/>
        </w:trPr>
        <w:tc>
          <w:tcPr>
            <w:tcW w:w="4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65,118</w:t>
            </w: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166,310</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306,016</w:t>
            </w:r>
          </w:p>
        </w:tc>
      </w:tr>
      <w:tr>
        <w:trPr>
          <w:trHeight w:val="20"/>
        </w:trPr>
        <w:tc>
          <w:tcPr>
            <w:tcW w:w="4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December 31, 2023 using:</w:t>
      </w:r>
    </w:p>
    <w:tbl>
      <w:tblPr>
        <w:tblLayout w:type="fixed"/>
        <w:tblInd w:w="60" w:type="dxa"/>
        <w:tblCellMar>
          <w:top w:w="0" w:type="dxa"/>
          <w:left w:w="0" w:type="dxa"/>
          <w:bottom w:w="0" w:type="dxa"/>
          <w:right w:w="0" w:type="dxa"/>
        </w:tblCellMar>
      </w:tblPr>
      <w:tr>
        <w:trPr>
          <w:trHeight w:val="142"/>
        </w:trPr>
        <w:tc>
          <w:tcPr>
            <w:tcW w:w="4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r>
      <w:tr>
        <w:trPr>
          <w:trHeight w:val="25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261,612</w:t>
            </w:r>
          </w:p>
        </w:tc>
      </w:tr>
      <w:tr>
        <w:trPr>
          <w:trHeight w:val="196"/>
        </w:trPr>
        <w:tc>
          <w:tcPr>
            <w:tcW w:w="4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6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4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carrying amount of cash and cash equivalents and short-term investments was $320,565 and $275,846,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spacing w:after="0" w:line="16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embedded derivative (asset) or liability associated with our deferred royalty obligation, as discussed further in Note 12, “Long-Term Obligations”, is measured at fair value using an option pricing Monte Carlo simulation model and is included as a component of the deferred royalty obligation. The embedded derivative (asset) or liability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forward contract associated with our Series A Convertible Preferred Stock, as discussed further in Note 9, “Series A Preferred Stock”, is measured at fair value. In order to value the forward contract, a binomial lattice model was used to determine the fair value of the Series A Preferred Stock. The fair value of the forward contract was measured as the difference between the consideration payable of $150,000 and the fair value of the Series A Preferred Stock. The fair value of the forward contract was determined to be $0 at initial issuance and the change in the fair value from initial issuance to settlement of $8,900 was recognized as other income in the condensed consolidated statements of operation for the year ended December 31, 2024. The significant assumptions used in the binomial lattice model include: (1) the Company’s common stock price on the issuance and settlement dates; (2) the Conversion Price as of $48.00 as per the Agreement; (3) a 20-year term to maturity; (4) risk free rates (4.6% - 5%); and (5) volatility (68% and 67%).</w:t>
      </w:r>
    </w:p>
    <w:p>
      <w:pPr>
        <w:spacing w:after="0" w:line="14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estimated fair value of our embedded derivative liability (asset) (in thousands):</w:t>
      </w:r>
    </w:p>
    <w:p>
      <w:pPr>
        <w:spacing w:after="0" w:line="25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aggregate estimated fair value of Level 3 liability (asset)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forward contract - Series A Convertible Preferred Stock</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forward contract</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aggregate estimated fair value of Level 3 liability (asset)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The estimated fair value of the derivative (asset) or liability related to our Royalty Interest Financing Agreement (RIFA) with HealthCare Royalty was determined using Level 3 inputs. The fair value measurement of the derivative (asset)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or liability is sensitive to changes in the unobservable inputs used to value the financial instrument. Changes in the inputs could result in changes to the fair value of each financial instrument.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1"/>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166,310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65,118</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1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definite-lived intangible assets, which totaled $6,174, resulted from the capitalization of certain milestone payments made to Ipsen Pharma, S.A.S., or Ipsen, in accordance with the terms of the Company’s license agreement with Ipsen, in connection with the Company’s first commercial sale of IMCIVREE in the U.S. in March 2021.</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amortization expense for the next five years and beyond is summarized as follows: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0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540"/>
        <w:spacing w:after="0" w:line="261" w:lineRule="auto"/>
        <w:rPr>
          <w:sz w:val="20"/>
          <w:szCs w:val="20"/>
          <w:color w:val="auto"/>
        </w:rPr>
      </w:pPr>
      <w:r>
        <w:rPr>
          <w:rFonts w:ascii="Times New Roman" w:cs="Times New Roman" w:eastAsia="Times New Roman" w:hAnsi="Times New Roman"/>
          <w:sz w:val="18"/>
          <w:szCs w:val="18"/>
          <w:color w:val="auto"/>
        </w:rPr>
        <w:t>The Company began amortizing its finite-lived intangible assets in April 2021 over an 11 year period based on IMCIVREE’s expected patent exclusivity period. Amortization expense totaled $855, $855 and $774 for the years ended December 31, 2024, 2023 and 2022, respectively. Amortization expense is recorded as a component of cost of sales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12529"/>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Securities Exchange Commission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12529"/>
        </w:rPr>
        <w:t>In the quarter ended December 31, 2024 the Company sold 744,595 shares of common stock in the ATM program for net proceeds of $41.2 million. The Company also sold an additional 587,510 shares of common stock in the ATM program through January 21, 2025 for net proceeds of approximately $32.1 million.</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September 19, 2022, the Company completed a public offering of 4,800,000 shares of common stock at a price to the public of $26.00 per share. The Company received $116,887 in net proceeds after deducting underwriting discounts, commissions and offering expenses. In addition, the Company granted the underwriters a 30-day option to purchase up to an additional 720,000 shares of its common stock at the price to the public, less underwriting discounts and commissions. On October 18, 2022, the Company completed the sale of an additional 580,000 shares of common stock at a price to the public of $26.00 per share pursuant to the partial exercise of the underwriters’ option to purchase additional shares, for aggregate net proceeds of approximately $14,175, after deducting underwriting discounts, commissions and offering expenses.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 2021, the Company entered into a Sales Agreement with Cowen and Company, LLC (“Cowen”), pursuant to which the Company may issue and sell shares of its common stock, having an aggregate offering price of up to $100.0 million, from time to time through an “at the market” equity offering program under which Cowen acts as sales agent (the “ATM Program”). Between August 10, 2023 and August 21, 2023, the Company sold approximately two million shares of its common stock in the ATM Program for net proceeds of approximately $48.9 million.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February 9, 2021 the Company completed a public offering of 5,750,000 shares of common stock at an offering price of $30.00 per share, which included the exercise in full by the underwriters of their option to purchase up to 750,000 additional shares of common stock. The Company received approximately $161,550 in net proceeds after deducting underwriting discounts, commissions and estimated offering expenses.</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Rhythm Pharmaceuticals, Inc. 2017 Equity Incentive Plan (the “2017 Plan”) provides for the grant of incentive stock options, non-qualified stock options, stock appreciation rights, performance units, restricted stock awards, restricted stock units and stock grants to employees, consultants, advisors and directors of us or our affiliates, as determined by the board of directors. The number of shares authorized under the 2017 Plan increases on the first day of each calendar year, commencing on January 1, 2018 and ending on (and including) January 1, 2027, by an amount equal to 4% of the outstanding shares of stock outstanding as of the end of the immediately preceding fiscal year. On January 1, 2025, 2024 and 2023, 2,495,626, 2,377,062, and 2,264,497 shares, respectively, were added to the 2017 Plan. Notwithstanding the foregoing, the board of directors may act prior to January 1 for a given year to provide that there will be no such January 1 increase in the number of shares authorized under the 2017 Plan for such year, or that the increase in the number of shares authorized under the 2017 Plan for such year will be a lesser number than would otherwise occur pursuant to the preceding sentence.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Shares of common stock issued upon the exercise of stock options are generally issued from new shares of the Company. The 2017 Plan provides that the exercise price of incentive stock options cannot be less than 100% of the fair market value of the common stock on the date of the award for participants who own less than 10% of the total combined voting power of stock of the Company, and not less than 110% for participants who own more than 10% of the Company's voting power. Awards granted under the 2017 Plan will vest over periods as determined by the Company's board of directors. For options granted to date, the exercise price equaled the fair value of the common stock as determined by the board of directors on the date of grant.</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 aggregate of 12,475,344 shares of common stock were authorized for issuance under the 2017 Plan, of which a total of approximately 4,622,751 shares of common stock remained available for future awards. In addition, a total of 7,852,593 shares of common stock reserved for issuance were subject to currently outstanding stock options, performance share units and restricted stock units granted under the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Plan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9, 2022, the Company’s board of directors adopted the Rhythm Pharmaceuticals, Inc. 2022 Employment Inducement Plan (the “2022 Inducement Plan”), which became effective on such date without stockholder approval pursuant to Rule 5635(c)(4) of the Nasdaq Stock Market LLC listing rules (“Rule 5635(c)(4)”). The 2022 Inducement Plan provides for the grant of non-qualified stock options, stock appreciation rights, performance units, restricted stock awards, restricted stock units and stock grants. In accordance with Rule 5635(c)(4), awards under the 2022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2022 Inducement Plan.</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stock options granted under the 2022 Inducement Plan will not be less than the fair market value of a share of the Company’s common stock on the grant date. Other terms of awards, including vesting requirements, are determined by the Company’s board of directors and are subject to the provisions of the 2022 Inducement Plan. Stock options granted to employees generally vest over a four-year period but may be granted with different vesting terms. Certain options may provide for accelerated vesting in the event of a change in control. Stock options granted under the 2022 Inducement Plan expire no more than 10 years from the date of grant. As of December 31, 2024, there were 495,978 stock option awards outstanding, 317,554 restricted stock unit awards outstanding and 14,586 shares of common stock available for future grant under the 2022 Inducement Plan.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the Rhythm Pharmaceuticals, Inc. 2017 Employee Stock Purchase Plan, (the “2017 ESPP”), which became effective in connection with the completion of the Company’s IPO in October 2017. As of December 31, 2024, a total of 1,872,738 shares of common stock were reserved for issuance under the 2017 ESPP. In addition, the number of shares authorized under the 2017 ESPP increases on the first day of each calendar year, commencing on January 1, 2019 and ending on (and including) January 1, 2027, by an amount equal to the lesser of 1% of outstanding shares as of the end of the immediately preceding fiscal year. On January 1, 2025, 2024 and 2023, no shares were added to the 2017 ESPP. Notwithstanding the foregoing, the board of directors may act prior to January 1 of a given year to provide that there will be no such January 1 increase in the number of shares authorized under the 2017 ESPP for such year, or that the increase in the number of shares authorized under the 2017 ESPP for such year will be a lesser number than would otherwise occur pursuant to the preceding sentence. During the years ended December 31, 2024, 2023 and 2022, shares of 44,554, 49,819, and 92,932 were issued under the 2017 ESPP.</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of common stock under our ESPP is equal to 85.0% of the lower of (i) the market value per share of the common stock on the first business day of an offering period or (ii) the market value per share of the common stock on the purchase date. The fair value of the discounted purchases made under our ESPP is calculated using the Black-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Scholes model. The fair value of the look-back provision plus the 15.0% discount is recognized as compensation expense over the 6 month purchase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stock option awards to employees and non-employees using the Black-Scholes option-pricing model, which requires the input of subjective assumptions, including (a) the expected volatility of the underlying common stock, (b) the expected term of the award, (c) the risk-free interest rate, and (d) expected dividends. The Company bases its estimate of expected volatility using a blend of its stock price history for the length of time it has market data for its stock and using the historical volatility of a group of companies in the pharmaceutical and biotechnology industries in a similar stage of development as the Company that are publicly traded. For these analyses, the Company selected companies with comparable characteristics to its own including enterprise value, risk profiles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will continue to apply this process until a sufficient amount of historical information regarding the volatility of its own stock price becomes available.</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estimated the expected life of its employee stock options using the “simplified” method, whereby, the expected life equals the average of the vesting term and the original contractual term of the option. The risk-free interest rates for periods within the expected life of the option are based on the U.S. Treasury yield curve in effect during the period the options were granted. We have elected to account for forfeitures as they occur.</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grant date fair value of awards subject to service-based vesting is recognized ratably over the requisite service period, which is generally the vesting period of the respective awards. The Company's stock option awards typically vest over a service period that ranges from one to four years and includes awards with one year cliff vesting followed by ratable monthly and quarterly vesting thereafter and ratable monthly and quarterly vesting beginning on the grant date.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926,543, 842,528, and 1,929,345 stock option awards pursuant to the 2017 Plan to certain directors, employees and non-employees, respectively. Using the Black-Scholes option pricing model, the weighted-average grant date fair value relating to outstanding stock options granted under the 2017 Plan during the years ended December 31, 2024, 2023, and 2022 was $32.69, $17.72, and $4.14, respectively.</w:t>
      </w:r>
    </w:p>
    <w:p>
      <w:pPr>
        <w:spacing w:after="0" w:line="18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57,100, 229,360, and 347,985 stock option awards pursuant to the 2022 Inducement Plan. Using the Black-Scholes option pricing model, the weighted-average grant date fair value relating to outstanding stock options granted under the Company’s stock option plan during the years ended December 31, 2024, 2023 and 2022 was $29.16, $15.30, and $13.05, respectively.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stock options granted to employees and directors was estimated at the date of grant using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Black-Scholes option pricing model with the following weighted-average assumptions: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30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30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2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6"/>
        </w:trPr>
        <w:tc>
          <w:tcPr>
            <w:tcW w:w="3040" w:type="dxa"/>
            <w:vAlign w:val="bottom"/>
          </w:tcPr>
          <w:p>
            <w:pPr>
              <w:spacing w:after="0"/>
              <w:rPr>
                <w:sz w:val="24"/>
                <w:szCs w:val="24"/>
                <w:color w:val="auto"/>
              </w:rPr>
            </w:pPr>
          </w:p>
        </w:tc>
        <w:tc>
          <w:tcPr>
            <w:tcW w:w="3620" w:type="dxa"/>
            <w:vAlign w:val="bottom"/>
            <w:gridSpan w:val="2"/>
          </w:tcPr>
          <w:p>
            <w:pPr>
              <w:jc w:val="right"/>
              <w:ind w:right="1936"/>
              <w:spacing w:after="0"/>
              <w:rPr>
                <w:sz w:val="20"/>
                <w:szCs w:val="20"/>
                <w:color w:val="auto"/>
              </w:rPr>
            </w:pPr>
            <w:r>
              <w:rPr>
                <w:rFonts w:ascii="Times New Roman" w:cs="Times New Roman" w:eastAsia="Times New Roman" w:hAnsi="Times New Roman"/>
                <w:sz w:val="18"/>
                <w:szCs w:val="18"/>
                <w:color w:val="auto"/>
              </w:rPr>
              <w:t>F-26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0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2024 is as follows: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left="38"/>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(104,619)</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6,611,391</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4,578,779</w:t>
            </w:r>
          </w:p>
        </w:tc>
        <w:tc>
          <w:tcPr>
            <w:tcW w:w="34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59" w:firstLine="675"/>
        <w:spacing w:after="0" w:line="269" w:lineRule="auto"/>
        <w:rPr>
          <w:sz w:val="20"/>
          <w:szCs w:val="20"/>
          <w:color w:val="auto"/>
        </w:rPr>
      </w:pPr>
      <w:r>
        <w:rPr>
          <w:rFonts w:ascii="Times New Roman" w:cs="Times New Roman" w:eastAsia="Times New Roman" w:hAnsi="Times New Roman"/>
          <w:sz w:val="17"/>
          <w:szCs w:val="17"/>
          <w:color w:val="auto"/>
        </w:rPr>
        <w:t>The Company may grant restricted stock units (“RSUs”) to employees and nonemployee directors under the 2017 Plan and to employees under the 2022 Inducement Plan. Each RSU represents a right to receive one share of the Company's common stock upon the completion of a specific period of continued service. RSU awards granted are valued at the market price of the Company's common stock on the date of grant. The Company recognizes stock-based compensation expense for the fair values of these RSUs on a straight-line basis over the requisite service period of these awards.</w:t>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Company's restricted stock unit activity for the year ended December 31, 2024 is as follows: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5"/>
                <w:szCs w:val="15"/>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1,104,607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1,210,654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(321,392)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(167,160)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the aggregate intrinsic value of unvested RSUs was $102,259.</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left="60" w:right="99" w:firstLine="630"/>
        <w:spacing w:after="0" w:line="254" w:lineRule="auto"/>
        <w:rPr>
          <w:sz w:val="20"/>
          <w:szCs w:val="20"/>
          <w:color w:val="auto"/>
        </w:rPr>
      </w:pPr>
      <w:r>
        <w:rPr>
          <w:rFonts w:ascii="Times New Roman" w:cs="Times New Roman" w:eastAsia="Times New Roman" w:hAnsi="Times New Roman"/>
          <w:sz w:val="18"/>
          <w:szCs w:val="18"/>
          <w:color w:val="auto"/>
        </w:rPr>
        <w:t>In November 2021, the Company granted a maximum of 956,145 performance stock units (“PSUs”) to employees under the 2017 Plan. Each PSU represents a right to receive one share of the Company's common stock upon vesting. The performance-based stock units granted in 2021 vested on December 31, 2023 based upon i) continued service through the vesting date and (ii) the achievement of specific clinical development and regulatory performance events, as approved by the compensation committee. PSU awards are valued at the market price of the Company's common stock on the date of grant. The Company recognizes stock-based compensation expense for the fair value of these PSUs for the awards that are probable of vesting over the service period. During each financial period, management estimates the probable number of PSU’s that would vest until the ultimate achievement of the performance goal is known. In the year ended December 31, 2024, 581,346 of the PSUs granted in 2021 vested.</w:t>
      </w:r>
    </w:p>
    <w:p>
      <w:pPr>
        <w:spacing w:after="0" w:line="188" w:lineRule="exact"/>
        <w:rPr>
          <w:sz w:val="20"/>
          <w:szCs w:val="20"/>
          <w:color w:val="auto"/>
        </w:rPr>
      </w:pPr>
    </w:p>
    <w:p>
      <w:pPr>
        <w:ind w:left="60" w:right="259" w:firstLine="389"/>
        <w:spacing w:after="0" w:line="277" w:lineRule="auto"/>
        <w:rPr>
          <w:sz w:val="20"/>
          <w:szCs w:val="20"/>
          <w:color w:val="auto"/>
        </w:rPr>
      </w:pPr>
      <w:r>
        <w:rPr>
          <w:rFonts w:ascii="Times New Roman" w:cs="Times New Roman" w:eastAsia="Times New Roman" w:hAnsi="Times New Roman"/>
          <w:sz w:val="17"/>
          <w:szCs w:val="17"/>
          <w:color w:val="auto"/>
        </w:rPr>
        <w:t>In April 2024, the Company granted a maximum of 340,000 PSUs to employees under the 2017 Plan. Each PSU represents a right to receive one share of the Company's common stock upon vesting. The performance-based stock units granted in 2024 will vest annually based on the achievement of the following milestones i) continued service through the vesting date, ii) the achievement of annual net product revenue amounts, and iii) the achievement of specific clinical development and regulatory performance events, as approved by the compensation committee. The Company recognizes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the fair value of these PSUs for the awards that are probable of vesting over the service period. The Company granted 249,322 PSU’s as of December 31, 2024. During each financial period, management estimates the probable number of PSU’s that would vest until the ultimate achievement of the performance goal is known. As of December 31, 2024 none of these PSU’s have vested.</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Company's performance stock unit activity for the year ended December 31, 2024 is as follows:</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20" w:type="dxa"/>
            <w:vAlign w:val="bottom"/>
          </w:tcPr>
          <w:p>
            <w:pPr>
              <w:spacing w:after="0"/>
              <w:rPr>
                <w:sz w:val="15"/>
                <w:szCs w:val="15"/>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581,346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(581,346)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classification of the Company's stock-based compensation expenses related to stock options, restricted stock units, performance stock units and the employee stock purchase plan recognized in the Company's consolidated statements of operations and comprehensive loss.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award type recognized during the years ended December 31, 2024 , 2023 and 2022 was as follows: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7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center"/>
              <w:ind w:left="1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$ 21,788</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stock purchase plan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10"/>
        </w:trPr>
        <w:tc>
          <w:tcPr>
            <w:tcW w:w="6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unrecognized compensation cost of $36,031 related to non-vested employee, non-employee and director stock option awards under all equity plans that are expected to be recognized over a weighted-average period of 2.04 years. The Company has unrecognized compensation cost of $51,615 related to non-vested employee restricted stock unit and performance stock unit awards under all equity plans that are expected to be recognized over a weighted-average period of 2.46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Series A Convertible Preferred Stock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1, 2024, the Company entered into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$2,250 of issuance costs, or $1,000 per share (the “Issuance”). The Issuance closed on April 15, 2024.</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the obligation to issue 150,000 shares of Convertible Preferred Stock to Perceptive and Investors in the future at a set price represented a forward contract which was required to be accounted for at fair value. The fair value of the forward contract was measured as the difference between the fair value of the Convertible Preferred Stock, as determined using a binomial lattice valuation model, and the consideration payable to the Company. The assumptions used in the binomial lattice model include: (1) the Company’s common stock price on the issuance and settlement dates; (2) the Conversion Price as of $48.00 as per the Agreement; (3) a 20-year term to maturity; (4) risk-free rates; and (5) volatility. The fair value of the forward contract upon issuance was determined to be $0. Upon closing, the value of the forward contract was determined to be $8,900 and the fair value of the Convertible Preferred Stock was determined to be $141,100. The Convertible Preferred Stock was recorded at its fair value on the Issuance and the change in fair value of the forward contract was recorded as other income in its consolidated statement of operations for the year ended December 31, 2024. Issuance costs of $2,250 were incurred and recorded as a reduction in the carrying value of the Convertible Preferred Stock in the year ended December 31, 2024.</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December 31,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Convertible Preferred Stock has the following rights and privileges: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Series A Preferred Stock will rank senior to the Company’s common stock with respect to the distribution of assets upon the Company’s liquidation, dissolution or winding up.</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the right to redeem all Convertible Preferred Stock after the Redemption Trigger Date, which is the fifth anniversary of the Initial Issue Date of April 15, 2024.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occurs, each holder shall have the right to require the Company to repurchase all, or any whole number of shares that is less than all, of the holder’s Convertible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December 31, 2024, the Company does not consider a change of control to be probable and therefore the Convertible Preferred Stock is not considered redeemable.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After the second anniversary, dividends on the Convertible Preferred Stock accrue quarterly, at a 6% annual rate, and if not paid out in cash before the quarter end, will become PIK Dividends and added to the liquidation preference, or original issue price plus PIK Dividends. Since dividends do not commence until the second anniversary of the Issuance, the Convertible Preferred Stock is considered increasing rate preferred stock. Accordingly, the Company accretes the dividends, using the effective interest method, from Issuance to the first contractual call date, April 15, 2029. The Company accrued dividends of $3,970 for the year ended December 31, 2024, as a reduction to Additional Paid-In Capital and an increase to the carrying value of Convertible Preferred Stock. The carrying value of Convertible Preferred Stock as of December 31, 2024 is $142,820.</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Holders of Convertible Preferred Stock 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other holder, of the number of shares of common stock outstanding immediately after giving effect to such exercise.</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July 10, 2024, the Company filed with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Significant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RareStone Group Ltd.</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an Exclusive License Agreement with RareStone Group Ltd.,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 The arrangement includes a license and an additional performance obligation to supply product upon the request of RareStone.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 xml:space="preserve">According to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xml:space="preserve">, RareStone has agreed to seek local approvals to commercialize IMCIVREE for the treatment of obesity and hyperphagia due to biallelic POMC, PCSK1 or LEPR deficiency, as well as Bardet-Biedl and Alström syndromes. Additionally, RareStone has agreed to fund efforts to identify and enroll patients from China in the Company’s global EMANATE trial, a Phase 3, randomized, double-blind, placebo-controlled trial to evaluate setmelanotide in four independent sub-studies in patients with obesity due to a heterozygous variant of POMC/PCSK1 or LEPR; certain variants of the SRCI gene, and certain variants of the SH2B1 gene. In accordance with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RareStone made an upfront payment to Rhythm of $7,000 and issued Rhythm 1,077,586 ordinary shares. The Company is eligible to receive development and commercialization milestones of up to $62,500, as well as tiered royalty payments on annual net sales of IMCIVREE.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The Company initially estimated the fair value of the RareStone equity to be $2,440 based on a preliminary valuation during the first quarter of 2022. Upon completion of the valuation procedures during the second quarter of 2022, the Company concluded the initial fair value of the RareStone equity to be $1,040. During the third quarter of 2022, the Company estimated the fair value of the RareStone equity to be de minimis based upon the results of an updated valuation and recorded an other-than-temporary impairment of $1,040 related to the decline in fair value as a component of other expense in our consolidated statements of operations and other comprehensive loss for the year ended December 31, 2022. The other-than-temporary impairment of $1,040 included the reclassification of a $300 unrealized loss previously recorded as a component of accumulated other comprehensive income (loss) in our consolidated statement of stockholders’ equity during the second quarter of 2022.</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2F2F2F"/>
        </w:rPr>
        <w:t>The Company received total upfront consideration of $8,040 comprised of an upfront payment of $7,000, and the estimated fair value of the RareStone equity of $1,040. The Company determined that the RareStone License contains two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F2F2F"/>
        </w:rPr>
        <w:t>performance obligations, the delivery of the license and the supply of clinical and commercial product. The Company further determined the supply of commercial product to RareStone contains a significant future discount and estimates the discount to be $1,286, which is recorded as a component of deferred revenue on the consolidated balance sheet at December 31, 2024.</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2F2F2F"/>
        </w:rPr>
        <w:t xml:space="preserve">Based on a relative fair-value allocation between the license and the manufacture of clinical and commercial product, the </w:t>
      </w:r>
      <w:r>
        <w:rPr>
          <w:rFonts w:ascii="Times New Roman" w:cs="Times New Roman" w:eastAsia="Times New Roman" w:hAnsi="Times New Roman"/>
          <w:sz w:val="18"/>
          <w:szCs w:val="18"/>
          <w:color w:val="000000"/>
        </w:rPr>
        <w:t>Company recognized $6,754 of license revenue in the consolidated statements of operations and</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 xml:space="preserve">comprehensive loss during the year ended December 31, 2022. </w:t>
      </w:r>
      <w:r>
        <w:rPr>
          <w:rFonts w:ascii="Times New Roman" w:cs="Times New Roman" w:eastAsia="Times New Roman" w:hAnsi="Times New Roman"/>
          <w:sz w:val="18"/>
          <w:szCs w:val="18"/>
          <w:color w:val="2F2F2F"/>
        </w:rPr>
        <w:t>The discount related to commercial manufacturing supply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F2F2F"/>
        </w:rPr>
        <w:t xml:space="preserve">will be deferred and recognized over the commercial supply period or upon termination of the agreement. </w:t>
      </w:r>
      <w:r>
        <w:rPr>
          <w:rFonts w:ascii="Times New Roman" w:cs="Times New Roman" w:eastAsia="Times New Roman" w:hAnsi="Times New Roman"/>
          <w:sz w:val="18"/>
          <w:szCs w:val="18"/>
          <w:color w:val="000000"/>
        </w:rPr>
        <w:t>No license</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revenue was recognized during the years ended December 31, 2023 or 2024.</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October 28, 2022, we delivered written notice, or the October 2022 Notice, to RareStone that we have terminated the RareStone License for cause. In accordance with the October 2022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written notice to us that it objects to the claims in the October 2022 Notice, including our termination of the RareStone License for cause. On March 16, 2023, we provided written notice, or the March 2023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October 2022 Notice.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May 10, 2023, RareStone provided written notice to the Company reaffirming its objections to the claims in our October 2022 Notice and March 2023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Since our last written response in January 2024, we have engaged in discussions with RareStone in an effort to reach a resolution, however, we cannot predict whether a resolution will ever be reached.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Ipsen Pharma S.A.S.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our March 21, 2013 license agreement with Ipsen Pharma, S.A.S., or Ipsen, the Company has an exclusive, sublicensable, worldwide license to certain patents and other intellectual property rights to research, develop, and commercialize compounds that were discovered or researched by Ipsen in the course of conducting its MC4R program or that otherwise were covered by the licensed patents. Under the terms of the setmelanotide Ipsen license agreement, assuming that setmelanotide is successfully developed, receives regulatory approval and is commercialized, Ipsen may receive aggregate payments of up to $40,000 upon the achievement of certain development and commercial milestones and royalties on future product sales in the mid-single digits. Substantially all of such aggregate payments of up to $40,000 are for milestones that may be achieved no earlier than first commercial sale of setmelanotide. In the event that the Company executes a sublicense agreement, it shall make payments to Ipsen, depending on the date of such sublicense agreement, ranging from 10% to 20% of all revenues actually received under such sublicense agreement.</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capitalized a $5,000 and $4,000 commercial milestone as a finite-lived intangible asset, as a result of the first commercial sales of IMCIVREE in the U.S. and Europe during March 2021 and March 2022, respectively. There were no research and development expenses related to milestones recorded in each of the years ended December 31, 2024, 2023 and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Camurus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January 2016, the Company entered into a license agreement with Camurus AB, or Camurus, for the use of Camurus' drug delivery technology. The contract includes a non-refundable and non-creditable signing fee of $500. The Camurus agreement also includes up to $7,750 in one-time, non-refundable development milestones achievable upon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regulatory successes. The Company is also required to pay to Camurus, mid to mid-high single digit royalties, on a product-by-product and country-by-country basis of annual net sales, until the later of (i) 10 years after the date of first commercial sale of such product in such country; or (ii) the expiration of the last to expire valid claim of all licensed patent rights in such country covering such product. The Company is also required to pay one-time, non-refundable, non-creditable sales milestones upon the achievement of certain sales levels for such product that cannot be in excess of $57,000. The Company recorded development milestone expenses related to this license agreement of $1,000 during the year ended December 31, 2022. The expenses were recorded as research and development expenses when the milestone criteria were met in full during 2022. There are no research and development expenses related to milestones recorded in 2023 or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Long-Term Obligations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$100,000, or the Investment Amount. Under the terms of the RIFA, we received $37,500 on June 29, 2022 upon FDA approval of IMCIVREE in BBS, referred to as the Initial Investment Amount, and we received an additional $37,500 on September 29, 2022 of the Investment Amount upon EMA approval for BBS. On September 12, 2023, we received the remaining $24,370 of the Investment Amount, net of debt issuance costs, following the achievement of a specified amount of cumulative net sales of IMCIVREE between July 1, 2022 and September 30, 2023.</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$125,000, 7.5% on annual net revenues of between $125,000 and $300,000 and 2.5% on annual net revenues exceeding $300,000.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December 31, 2024 we have made $20,430 of payments.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of occurs, the Investors may accelerate payments due under the RIFA up to the Hard Cap plus any other obligations payable under the RIFA.</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repayment period commenced on July 8, 2022 for the Initial Investment Amount, and expires on the earlier of</w:t>
      </w:r>
    </w:p>
    <w:p>
      <w:pPr>
        <w:spacing w:after="0" w:line="27" w:lineRule="exact"/>
        <w:rPr>
          <w:sz w:val="20"/>
          <w:szCs w:val="20"/>
          <w:color w:val="auto"/>
        </w:rPr>
      </w:pPr>
    </w:p>
    <w:p>
      <w:pPr>
        <w:jc w:val="both"/>
        <w:ind w:left="60" w:right="59" w:hanging="10"/>
        <w:spacing w:after="0" w:line="267" w:lineRule="auto"/>
        <w:tabs>
          <w:tab w:leader="none" w:pos="27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spacing w:after="0" w:line="17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have evaluated the terms of the RIFA and concluded that the features are similar to those of a debt instrument. Accordingly, we have accounted for the transaction as long-term debt and presented it as a deferred royalty obligation on our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5, “Fair Value of Financial Instruments” to our consolidated financial statements. During the second quarter of 2022, the Company recorded $1,590 for the initial fair value of the embedded derivative liability (asset). The fair value of the embedded derivative liability (asset) was ($270) and $1,150 as of December 31, 2024 and December 31, 2023, respectively. We will remeasure the embedded derivative to fair value each reporting period until the time the features lapse and/or termination of the deferred royalty obligation. For the years ended December 31, 2024 and December 31, 2023, we recognized other income of $1,420 and $190, due to the remeasurement of the embedded derivative liability. The carrying value of the deferred royalty obligation at December 31, 2024 was $109,810 based on $100,000 of proceeds, net of the initial fair value of the bifurcated embedded derivative liability upon execution of the RIFA, and debt issuance costs incurred. The carrying value is classified as $1,541 within current liabilities and $108,269 within long-term liabilities on the consolidated balance sheet as of December 31, 2024. The carrying value of the deferred royalty obligation approximated fair value at December 31, 2024. The effective interest rate as of December 31, 2024 was 16.02%. In connection with the deferred royalty obligation, we incurred debt issuance costs totaling $3,287.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classification of these costs, as well as the period over which these costs will be amortized.</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 party to various agreements, principally relating to licensed technology, that require future payments relating to milestones that may be met in subsequent periods, or royalties on future sales of specified products. See Note 10 for discussion of these arrangements. Additionally, the Company is party to various contracts with CROs and CMOs that generally provide for termination on notice, with the exact amounts in the event of termination to be based on the timing of the termination and the terms of the agreement.</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Based on the Company’s current development plans as of December 31, 2024, the Company does not expect to make milestone payments due to third parties during the next 12 months from the filing of this Annual Report on Form 10-K, in connection with our license agreements. These milestones generally become due and payable upon achievement of such milestones or sales and achievement of development milestones. When the achievement of these milestones or sales have not occurred, such contingencies are not recorded in the Company’s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12529"/>
        </w:rPr>
        <w:t>Expenses paid directly to related parties for the years ended December 31, 2024 and 2023, were immaterial.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Outstanding payments due to related parties as of December 31, 2024 and December 31, 2023 were immaterial.</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(1,329)</w:t>
            </w:r>
          </w:p>
        </w:tc>
        <w:tc>
          <w:tcPr>
            <w:tcW w:w="2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(5,445)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(181,119)</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Components of provision for income taxes are as follows:</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3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Expense</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3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Expense</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benefit at the federal statutory tax rate to the Company's effective income tax rate is as follows:</w:t>
      </w:r>
    </w:p>
    <w:p>
      <w:pPr>
        <w:spacing w:after="0" w:line="16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As of</w:t>
      </w:r>
    </w:p>
    <w:p>
      <w:pPr>
        <w:ind w:left="7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Orphan drug credit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Agreement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80" w:type="dxa"/>
            <w:vAlign w:val="bottom"/>
            <w:tcBorders>
              <w:bottom w:val="single" w:sz="8" w:color="CCEEFF"/>
            </w:tcBorders>
          </w:tcPr>
          <w:p>
            <w:pPr>
              <w:spacing w:after="0"/>
              <w:rPr>
                <w:sz w:val="18"/>
                <w:szCs w:val="18"/>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are as follows:</w:t>
      </w:r>
    </w:p>
    <w:p>
      <w:pPr>
        <w:spacing w:after="0" w:line="2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w:t>
      </w:r>
    </w:p>
    <w:p>
      <w:pP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167,375</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153,685</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Orphan drug credit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license fee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174 Costs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w:t>
            </w: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163(j) Interest Limitation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267,496</w:t>
            </w:r>
          </w:p>
        </w:tc>
      </w:tr>
      <w:tr>
        <w:trPr>
          <w:trHeight w:val="216"/>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(267,158)</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 and other</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5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a full valuation allowance against its deferred tax assets at December 31, 2024 and 2023, because the Company's management has determined that is it more likely than not that these assets will not be realized. The increase in the valuation allowance of $58,344 in 2024 and $49,901 in 2023 primarily relates to the net loss incurred by the Company during each period.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$610,234 and $694,029, respectively, which are available to reduce future taxable income. The net operating loss carryforwards expire at various times beginning in 2033 for federal and state purposes. Of the federal net operating loss carryforwards at December 31, 2024, $537,214 can be carried forward indefinitely. As of December 31, 2024, the Company had gross foreign net operating loss carryforwards of approximately $2,566 which have an indefinite carryforward period.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tax credits of approximately $13,802 and $4,812, respectively, which may be used to offset future tax liabilities. Additionally, as of 2024, the Company had a federal orphan drug credit related to qualifying research of $34,603. These tax credit carryforwards will begin to expire at various times beginning in 2033 for federal purposes and 2028 for state purposes.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and other provisions within the Internal Revenue Code.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provided U.S. deferred income taxes or foreign withholding taxes on unremitted earnings of foreign subsidiaries of approximately $250 as such amounts are considered to be indefinitely reinvested in these jurisdictions. The accumulated earnings in the foreign subsidiaries are primarily utilized to fund working capital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requirements as its subsidiaries continue to expand their operations. The amount of any unrecognized deferred tax liability related to undistributed foreign earnings is immaterial.</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not recorded any reserves for uncertain tax positions as of December 31, 2024 and 2023. The Company has not, as yet, conducted a study of research and development credit carryforwards. This study may result in an adjustment to the Company's research and development credit carryforwards; however, until a study is completed and any adjustment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and comprehensive loss if an adjustment were required.</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will be classified as provision for income taxes in the accompanying statements of operations and comprehensive loss. As of December 31, 2024 and 2023, the Company had no accrued interest or penalties related to uncertain tax positions.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examination by the U.S. federal, state, local, and foreign income tax authorities for tax years 2013 forward. The Company is not currently under examination by the Internal Revenue Service or any other jurisdictions for any tax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 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year ended December 31, 2024.</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Analysis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4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23"/>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product revenue - U.S.</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96,108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62,425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14,324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Net product revenue - International</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34,018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2,560</w:t>
            </w:r>
          </w:p>
        </w:tc>
      </w:tr>
      <w:tr>
        <w:trPr>
          <w:trHeight w:val="223"/>
        </w:trPr>
        <w:tc>
          <w:tcPr>
            <w:tcW w:w="4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net product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130,126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77,428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16,884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6,754</w:t>
            </w:r>
          </w:p>
        </w:tc>
      </w:tr>
      <w:tr>
        <w:trPr>
          <w:trHeight w:val="223"/>
        </w:trPr>
        <w:tc>
          <w:tcPr>
            <w:tcW w:w="4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net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130,126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77,428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23,638</w:t>
            </w:r>
          </w:p>
        </w:tc>
      </w:tr>
      <w:tr>
        <w:trPr>
          <w:trHeight w:val="230"/>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13,368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9,302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Global headcount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119,084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70,777</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Preclinical, clinical and development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82,180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74,465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66,013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Commercial &amp; medical affairs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55,767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41,756</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Corporate, general &amp;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32,135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27,154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20,220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segment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1,896</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(11,139)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1,179</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(585)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23"/>
        </w:trPr>
        <w:tc>
          <w:tcPr>
            <w:tcW w:w="42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(260,602)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(184,678)</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(181,119)</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allocates, for the purpose of geographic data reporting, its revenue based upon the location of its customers. Total revenue by geographic area was as follows: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25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1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r>
      <w:tr>
        <w:trPr>
          <w:trHeight w:val="216"/>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4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0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130,126</w:t>
            </w:r>
          </w:p>
        </w:tc>
        <w:tc>
          <w:tcPr>
            <w:tcW w:w="4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77,428</w:t>
            </w:r>
          </w:p>
        </w:tc>
        <w:tc>
          <w:tcPr>
            <w:tcW w:w="3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r>
      <w:tr>
        <w:trPr>
          <w:trHeight w:val="20"/>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and 2023, long-lived assets at locations outside the United States were not material.</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as disclosed within the above notes to these consolidated financial statements, and except as described below.</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From January 1, 2025 to January 21, 2025 the Company sold approximately 0.6 million shares of its common stock in the ATM Program for net proceeds of approximately $32.1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4" w:name="page185"/>
    <w:bookmarkEnd w:id="184"/>
    <w:p>
      <w:pPr>
        <w:ind w:left="9112"/>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156845</wp:posOffset>
            </wp:positionV>
            <wp:extent cx="6292215" cy="4540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292215" cy="454025"/>
                    </a:xfrm>
                    <a:prstGeom prst="rect">
                      <a:avLst/>
                    </a:prstGeom>
                    <a:noFill/>
                  </pic:spPr>
                </pic:pic>
              </a:graphicData>
            </a:graphic>
          </wp:anchor>
        </w:drawing>
      </w:r>
    </w:p>
    <w:p>
      <w:pPr>
        <w:sectPr>
          <w:pgSz w:w="11900" w:h="16838" w:orient="portrait"/>
          <w:cols w:equalWidth="0" w:num="1">
            <w:col w:w="9912"/>
          </w:cols>
          <w:pgMar w:left="988" w:top="333" w:right="999" w:bottom="1440" w:gutter="0" w:footer="0" w:header="0"/>
        </w:sectPr>
      </w:pPr>
    </w:p>
    <w:p>
      <w:pPr>
        <w:spacing w:after="0" w:line="398" w:lineRule="exact"/>
        <w:rPr>
          <w:sz w:val="20"/>
          <w:szCs w:val="20"/>
          <w:color w:val="auto"/>
        </w:rPr>
      </w:pPr>
    </w:p>
    <w:p>
      <w:pPr>
        <w:ind w:left="281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00" w:type="dxa"/>
            <w:vAlign w:val="bottom"/>
            <w:tcBorders>
              <w:left w:val="single" w:sz="8" w:color="auto"/>
            </w:tcBorders>
          </w:tcPr>
          <w:p>
            <w:pPr>
              <w:ind w:left="100"/>
              <w:spacing w:after="0"/>
              <w:rPr>
                <w:sz w:val="20"/>
                <w:szCs w:val="20"/>
                <w:color w:val="auto"/>
              </w:rPr>
            </w:pPr>
            <w:r>
              <w:rPr>
                <w:rFonts w:ascii="Cambria" w:cs="Cambria" w:eastAsia="Cambria" w:hAnsi="Cambria"/>
                <w:sz w:val="16"/>
                <w:szCs w:val="16"/>
                <w:b w:val="1"/>
                <w:bCs w:val="1"/>
                <w:color w:val="auto"/>
              </w:rPr>
              <w:t>Effective:</w:t>
            </w:r>
          </w:p>
        </w:tc>
        <w:tc>
          <w:tcPr>
            <w:tcW w:w="196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00" w:type="dxa"/>
            <w:vAlign w:val="bottom"/>
            <w:tcBorders>
              <w:left w:val="single" w:sz="8" w:color="auto"/>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r>
      <w:tr>
        <w:trPr>
          <w:trHeight w:val="278"/>
        </w:trPr>
        <w:tc>
          <w:tcPr>
            <w:tcW w:w="900" w:type="dxa"/>
            <w:vAlign w:val="bottom"/>
            <w:tcBorders>
              <w:left w:val="single" w:sz="8" w:color="auto"/>
            </w:tcBorders>
          </w:tcPr>
          <w:p>
            <w:pPr>
              <w:ind w:left="100"/>
              <w:spacing w:after="0"/>
              <w:rPr>
                <w:sz w:val="20"/>
                <w:szCs w:val="20"/>
                <w:color w:val="auto"/>
              </w:rPr>
            </w:pPr>
            <w:r>
              <w:rPr>
                <w:rFonts w:ascii="Cambria" w:cs="Cambria" w:eastAsia="Cambria" w:hAnsi="Cambria"/>
                <w:sz w:val="16"/>
                <w:szCs w:val="16"/>
                <w:b w:val="1"/>
                <w:bCs w:val="1"/>
                <w:color w:val="auto"/>
              </w:rPr>
              <w:t>Page:</w:t>
            </w:r>
          </w:p>
        </w:tc>
        <w:tc>
          <w:tcPr>
            <w:tcW w:w="196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1 of 8</w:t>
            </w:r>
          </w:p>
        </w:tc>
      </w:tr>
      <w:tr>
        <w:trPr>
          <w:trHeight w:val="66"/>
        </w:trPr>
        <w:tc>
          <w:tcPr>
            <w:tcW w:w="900" w:type="dxa"/>
            <w:vAlign w:val="bottom"/>
            <w:tcBorders>
              <w:lef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72" w:space="580"/>
            <w:col w:w="2860"/>
          </w:cols>
          <w:pgMar w:left="988" w:top="333" w:right="999" w:bottom="1440" w:gutter="0" w:footer="0" w:header="0"/>
          <w:type w:val="continuous"/>
        </w:sectPr>
      </w:pPr>
    </w:p>
    <w:p>
      <w:pPr>
        <w:spacing w:after="0" w:line="210" w:lineRule="exact"/>
        <w:rPr>
          <w:sz w:val="20"/>
          <w:szCs w:val="20"/>
          <w:color w:val="auto"/>
        </w:rPr>
      </w:pPr>
    </w:p>
    <w:p>
      <w:pPr>
        <w:ind w:left="372" w:hanging="372"/>
        <w:spacing w:after="0"/>
        <w:tabs>
          <w:tab w:leader="none" w:pos="37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39" w:lineRule="exact"/>
        <w:rPr>
          <w:sz w:val="20"/>
          <w:szCs w:val="20"/>
          <w:color w:val="auto"/>
        </w:rPr>
      </w:pPr>
    </w:p>
    <w:p>
      <w:pPr>
        <w:ind w:left="492" w:right="360"/>
        <w:spacing w:after="0" w:line="294" w:lineRule="auto"/>
        <w:rPr>
          <w:sz w:val="20"/>
          <w:szCs w:val="20"/>
          <w:color w:val="auto"/>
        </w:rPr>
      </w:pPr>
      <w:r>
        <w:rPr>
          <w:rFonts w:ascii="Times New Roman" w:cs="Times New Roman" w:eastAsia="Times New Roman" w:hAnsi="Times New Roman"/>
          <w:sz w:val="17"/>
          <w:szCs w:val="17"/>
          <w:color w:val="auto"/>
        </w:rPr>
        <w:t xml:space="preserve">The purpose of this Global Insider Trading Policy (this </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b w:val="1"/>
          <w:bCs w:val="1"/>
          <w:u w:val="single" w:color="auto"/>
          <w:color w:val="auto"/>
        </w:rPr>
        <w:t>Policy</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 is to reduce the risk that any employee, executive officer or member of the Board of Directors of Rhythm Pharmaceuticals, Inc. (together with its subsidiaries, the </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b w:val="1"/>
          <w:bCs w:val="1"/>
          <w:u w:val="single" w:color="auto"/>
          <w:color w:val="auto"/>
        </w:rPr>
        <w:t>Company</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or certain family members might be alleged or found to have engaged in insider trading in violation of applicable laws and regulations.</w:t>
      </w:r>
    </w:p>
    <w:p>
      <w:pPr>
        <w:spacing w:after="0" w:line="154" w:lineRule="exact"/>
        <w:rPr>
          <w:sz w:val="20"/>
          <w:szCs w:val="20"/>
          <w:color w:val="auto"/>
        </w:rPr>
      </w:pPr>
    </w:p>
    <w:p>
      <w:pPr>
        <w:ind w:left="492"/>
        <w:spacing w:after="0" w:line="258" w:lineRule="auto"/>
        <w:rPr>
          <w:sz w:val="20"/>
          <w:szCs w:val="20"/>
          <w:color w:val="auto"/>
        </w:rPr>
      </w:pPr>
      <w:r>
        <w:rPr>
          <w:rFonts w:ascii="Times New Roman" w:cs="Times New Roman" w:eastAsia="Times New Roman" w:hAnsi="Times New Roman"/>
          <w:sz w:val="18"/>
          <w:szCs w:val="18"/>
          <w:color w:val="auto"/>
        </w:rPr>
        <w:t>U.S. laws and regulations prohibit anyone from trading in the securities of a public company (a) while in possession of material nonpublic information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material nonpublic information</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or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MNPI</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and (b) in breach of a duty of trust or confidence. These laws and regulations also prohibit anyone who is aware of MNPI from providing such information to others who may trade. As a public company with its shares of common stock traded on The Nasdaq Stock Market LLC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Nasdaq</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Rhythm Pharmaceuticals, Inc. (together with its subsidiaries, the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requires its personnel to comply with laws and regulations that prohibit insider trading. Violating such laws and regulations can undermine investor trust, harm the reputation and integrity of the Company, and result in your dismissal from the Company or even serious criminal and civil charges against you and the Company. The Company reserves the right to take disciplinary or other measures it determines in its sole discretion to be appropriate in any particular situation, including disclosure of wrongdoing to governmental authorities.</w:t>
      </w:r>
    </w:p>
    <w:p>
      <w:pPr>
        <w:spacing w:after="0" w:line="198" w:lineRule="exact"/>
        <w:rPr>
          <w:sz w:val="20"/>
          <w:szCs w:val="20"/>
          <w:color w:val="auto"/>
        </w:rPr>
      </w:pPr>
    </w:p>
    <w:p>
      <w:pPr>
        <w:ind w:left="492" w:right="160"/>
        <w:spacing w:after="0" w:line="262" w:lineRule="auto"/>
        <w:rPr>
          <w:sz w:val="20"/>
          <w:szCs w:val="20"/>
          <w:color w:val="auto"/>
        </w:rPr>
      </w:pPr>
      <w:r>
        <w:rPr>
          <w:rFonts w:ascii="Times New Roman" w:cs="Times New Roman" w:eastAsia="Times New Roman" w:hAnsi="Times New Roman"/>
          <w:sz w:val="18"/>
          <w:szCs w:val="18"/>
          <w:color w:val="auto"/>
        </w:rPr>
        <w:t>Insider trading may result in unfair manipulation of the market in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stock and may adversely affect the value of its stock. It may also expose the Company to potential liability and reputational harm. This Policy sets parameters for when trading in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stock or other securities is not permitted or appropriate, however, it is not intended to be a comprehensive review of the laws of insider trading.</w:t>
      </w:r>
    </w:p>
    <w:p>
      <w:pPr>
        <w:spacing w:after="0" w:line="177" w:lineRule="exact"/>
        <w:rPr>
          <w:sz w:val="20"/>
          <w:szCs w:val="20"/>
          <w:color w:val="auto"/>
        </w:rPr>
      </w:pPr>
    </w:p>
    <w:p>
      <w:pPr>
        <w:ind w:left="372" w:hanging="372"/>
        <w:spacing w:after="0"/>
        <w:tabs>
          <w:tab w:leader="none" w:pos="37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SCOPE</w:t>
      </w:r>
    </w:p>
    <w:p>
      <w:pPr>
        <w:spacing w:after="0" w:line="229" w:lineRule="exact"/>
        <w:rPr>
          <w:sz w:val="20"/>
          <w:szCs w:val="20"/>
          <w:color w:val="auto"/>
        </w:rPr>
      </w:pPr>
    </w:p>
    <w:p>
      <w:pPr>
        <w:ind w:left="492" w:right="20"/>
        <w:spacing w:after="0" w:line="278" w:lineRule="auto"/>
        <w:rPr>
          <w:sz w:val="20"/>
          <w:szCs w:val="20"/>
          <w:color w:val="auto"/>
        </w:rPr>
      </w:pPr>
      <w:r>
        <w:rPr>
          <w:rFonts w:ascii="Times New Roman" w:cs="Times New Roman" w:eastAsia="Times New Roman" w:hAnsi="Times New Roman"/>
          <w:sz w:val="17"/>
          <w:szCs w:val="17"/>
          <w:color w:val="auto"/>
        </w:rPr>
        <w:t>This Policy applies to all directors, officers, and employees of the Company. The Company may also determine that this Policy applies to individuals with access to material nonpublic information, such as contractors or consultants who have an obligation not to disclose or misuse the Company</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s confidential information. Individuals subject to this Policy are responsible for ensuring that members of their </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b w:val="1"/>
          <w:bCs w:val="1"/>
          <w:u w:val="single" w:color="auto"/>
          <w:color w:val="auto"/>
        </w:rPr>
        <w:t>Family Members</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 (defined as individuals who share the same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s own account. Directors, officers, and employees, together with any other person designated as being subject to this Policy by the General Counsel or his or her designee (</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b w:val="1"/>
          <w:bCs w:val="1"/>
          <w:u w:val="single" w:color="auto"/>
          <w:color w:val="auto"/>
        </w:rPr>
        <w:t>Rhythm Legal</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 are referred to collectively as </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 If a Covered Person is in possession of MNPI when the individual</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s service to the Company terminates, such Covered Person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33" w:right="999" w:bottom="1440" w:gutter="0" w:footer="0" w:header="0"/>
          <w:type w:val="continuous"/>
        </w:sectPr>
      </w:pPr>
    </w:p>
    <w:bookmarkStart w:id="185" w:name="page186"/>
    <w:bookmarkEnd w:id="185"/>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3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2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92" w:space="560"/>
            <w:col w:w="2860"/>
          </w:cols>
          <w:pgMar w:left="988" w:top="680"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continue to comply with the restrictions set forth in this Policy until that information has become public or is no longer material.</w:t>
      </w:r>
    </w:p>
    <w:p>
      <w:pPr>
        <w:spacing w:after="0" w:line="225" w:lineRule="exact"/>
        <w:rPr>
          <w:sz w:val="20"/>
          <w:szCs w:val="20"/>
          <w:color w:val="auto"/>
        </w:rPr>
      </w:pPr>
    </w:p>
    <w:p>
      <w:pPr>
        <w:ind w:left="492" w:right="40"/>
        <w:spacing w:after="0" w:line="261" w:lineRule="auto"/>
        <w:rPr>
          <w:sz w:val="20"/>
          <w:szCs w:val="20"/>
          <w:color w:val="auto"/>
        </w:rPr>
      </w:pPr>
      <w:r>
        <w:rPr>
          <w:rFonts w:ascii="Times New Roman" w:cs="Times New Roman" w:eastAsia="Times New Roman" w:hAnsi="Times New Roman"/>
          <w:sz w:val="18"/>
          <w:szCs w:val="18"/>
          <w:color w:val="auto"/>
        </w:rPr>
        <w:t>Questions regarding this Policy should be directed to Rhythm Legal, which is responsible for the administration of this Policy. Rhythm Legal has authority to interpret, amend and implement this Policy. This authority includes interpreting or waiving the terms of this Policy, to the extent consistent with its general purpose and applicable securities laws.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Chief Financial Officer will administer this Policy as it applies to any trading activity by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General Counsel. The Board may approve any waiver of the terms of this Policy for directors or officers. Covered Persons may be asked periodically to certify their compliance with the terms and provisions of this Policy.</w:t>
      </w:r>
    </w:p>
    <w:p>
      <w:pPr>
        <w:spacing w:after="0" w:line="176" w:lineRule="exact"/>
        <w:rPr>
          <w:sz w:val="20"/>
          <w:szCs w:val="20"/>
          <w:color w:val="auto"/>
        </w:rPr>
      </w:pPr>
    </w:p>
    <w:p>
      <w:pPr>
        <w:ind w:left="372" w:hanging="372"/>
        <w:spacing w:after="0"/>
        <w:tabs>
          <w:tab w:leader="none" w:pos="37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PROHIBITED ACTIVITIES</w:t>
      </w:r>
    </w:p>
    <w:p>
      <w:pPr>
        <w:spacing w:after="0" w:line="22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Unless otherwise permitted by this Policy, Covered Persons shall not:</w:t>
      </w:r>
    </w:p>
    <w:p>
      <w:pPr>
        <w:spacing w:after="0" w:line="225" w:lineRule="exact"/>
        <w:rPr>
          <w:sz w:val="20"/>
          <w:szCs w:val="20"/>
          <w:color w:val="auto"/>
        </w:rPr>
      </w:pPr>
    </w:p>
    <w:p>
      <w:pPr>
        <w:ind w:left="1132" w:right="760" w:hanging="322"/>
        <w:spacing w:after="0" w:line="282" w:lineRule="auto"/>
        <w:tabs>
          <w:tab w:leader="none" w:pos="11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the Company while in possession of material nonpublic information about the Company;</w:t>
      </w:r>
    </w:p>
    <w:p>
      <w:pPr>
        <w:spacing w:after="0" w:line="161" w:lineRule="exact"/>
        <w:rPr>
          <w:rFonts w:ascii="Times New Roman" w:cs="Times New Roman" w:eastAsia="Times New Roman" w:hAnsi="Times New Roman"/>
          <w:sz w:val="18"/>
          <w:szCs w:val="18"/>
          <w:color w:val="auto"/>
        </w:rPr>
      </w:pPr>
    </w:p>
    <w:p>
      <w:pPr>
        <w:ind w:left="1132" w:right="360" w:hanging="322"/>
        <w:spacing w:after="0" w:line="266" w:lineRule="auto"/>
        <w:tabs>
          <w:tab w:leader="none" w:pos="11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any other company (including any of our vendors, licensors, suppliers, customers or competitors), while in possession of material nonpublic information about the other company obtained in connection with your employment by or service to the Company;</w:t>
      </w:r>
    </w:p>
    <w:p>
      <w:pPr>
        <w:spacing w:after="0" w:line="175" w:lineRule="exact"/>
        <w:rPr>
          <w:rFonts w:ascii="Times New Roman" w:cs="Times New Roman" w:eastAsia="Times New Roman" w:hAnsi="Times New Roman"/>
          <w:sz w:val="18"/>
          <w:szCs w:val="18"/>
          <w:color w:val="auto"/>
        </w:rPr>
      </w:pPr>
    </w:p>
    <w:p>
      <w:pPr>
        <w:ind w:left="1132" w:right="140" w:hanging="322"/>
        <w:spacing w:after="0" w:line="282" w:lineRule="auto"/>
        <w:tabs>
          <w:tab w:leader="none" w:pos="11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outside the Company unless in accordance with Company policy regarding confidential information; or</w:t>
      </w:r>
    </w:p>
    <w:p>
      <w:pPr>
        <w:spacing w:after="0" w:line="161" w:lineRule="exact"/>
        <w:rPr>
          <w:rFonts w:ascii="Times New Roman" w:cs="Times New Roman" w:eastAsia="Times New Roman" w:hAnsi="Times New Roman"/>
          <w:sz w:val="18"/>
          <w:szCs w:val="18"/>
          <w:color w:val="auto"/>
        </w:rPr>
      </w:pPr>
    </w:p>
    <w:p>
      <w:pPr>
        <w:ind w:left="1132" w:right="220" w:hanging="322"/>
        <w:spacing w:after="0" w:line="282" w:lineRule="auto"/>
        <w:tabs>
          <w:tab w:leader="none" w:pos="11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within the Company except on a need-to-know basis.</w:t>
      </w:r>
    </w:p>
    <w:p>
      <w:pPr>
        <w:spacing w:after="0" w:line="158" w:lineRule="exact"/>
        <w:rPr>
          <w:sz w:val="20"/>
          <w:szCs w:val="20"/>
          <w:color w:val="auto"/>
        </w:rPr>
      </w:pPr>
    </w:p>
    <w:p>
      <w:pPr>
        <w:ind w:left="372" w:hanging="372"/>
        <w:spacing w:after="0"/>
        <w:tabs>
          <w:tab w:leader="none" w:pos="37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KEY TERMS; MATERIAL NON-PUBLIC INFORMATION</w:t>
      </w:r>
    </w:p>
    <w:p>
      <w:pPr>
        <w:spacing w:after="0" w:line="239" w:lineRule="exact"/>
        <w:rPr>
          <w:sz w:val="20"/>
          <w:szCs w:val="20"/>
          <w:color w:val="auto"/>
        </w:rPr>
      </w:pPr>
    </w:p>
    <w:p>
      <w:pPr>
        <w:ind w:left="492" w:right="580"/>
        <w:spacing w:after="0" w:line="276" w:lineRule="auto"/>
        <w:rPr>
          <w:sz w:val="20"/>
          <w:szCs w:val="20"/>
          <w:color w:val="auto"/>
        </w:rPr>
      </w:pP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includes stocks, bonds, notes, debentures, options, warrants, equity and other convertible securities, as well as</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derivative instruments.</w:t>
      </w:r>
    </w:p>
    <w:p>
      <w:pPr>
        <w:spacing w:after="0" w:line="176" w:lineRule="exact"/>
        <w:rPr>
          <w:sz w:val="20"/>
          <w:szCs w:val="20"/>
          <w:color w:val="auto"/>
        </w:rPr>
      </w:pPr>
    </w:p>
    <w:p>
      <w:pPr>
        <w:ind w:left="492" w:right="20"/>
        <w:spacing w:after="0" w:line="260" w:lineRule="auto"/>
        <w:rPr>
          <w:sz w:val="20"/>
          <w:szCs w:val="20"/>
          <w:color w:val="auto"/>
        </w:rPr>
      </w:pP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Purchase</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and</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are defined broadly under the U.S. securities law.</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Purchase</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includes not only the actual purchase of a</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 xml:space="preserve">security, but also any contract to purchase or otherwise acquire a security.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Sale</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193" w:lineRule="exact"/>
        <w:rPr>
          <w:sz w:val="20"/>
          <w:szCs w:val="20"/>
          <w:color w:val="auto"/>
        </w:rPr>
      </w:pPr>
    </w:p>
    <w:p>
      <w:pPr>
        <w:jc w:val="both"/>
        <w:ind w:left="492" w:right="180"/>
        <w:spacing w:after="0" w:line="266" w:lineRule="auto"/>
        <w:rPr>
          <w:sz w:val="20"/>
          <w:szCs w:val="20"/>
          <w:color w:val="auto"/>
        </w:rPr>
      </w:pPr>
      <w:r>
        <w:rPr>
          <w:rFonts w:ascii="Times New Roman" w:cs="Times New Roman" w:eastAsia="Times New Roman" w:hAnsi="Times New Roman"/>
          <w:sz w:val="18"/>
          <w:szCs w:val="18"/>
          <w:color w:val="auto"/>
        </w:rPr>
        <w:t xml:space="preserve">Information is considered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material</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if there is a substantial likelihood that a reasonable investor would consider it important in deciding whether to buy or sell a security, or if the information could affect the price of the security. Material information can be positive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680" w:right="999" w:bottom="1440" w:gutter="0" w:footer="0" w:header="0"/>
          <w:type w:val="continuous"/>
        </w:sectPr>
      </w:pPr>
    </w:p>
    <w:bookmarkStart w:id="186" w:name="page187"/>
    <w:bookmarkEnd w:id="186"/>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3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040" w:space="560"/>
            <w:col w:w="2860"/>
          </w:cols>
          <w:pgMar w:left="1440" w:top="680" w:right="9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40" w:right="40"/>
        <w:spacing w:after="0" w:line="287" w:lineRule="auto"/>
        <w:rPr>
          <w:sz w:val="20"/>
          <w:szCs w:val="20"/>
          <w:color w:val="auto"/>
        </w:rPr>
      </w:pPr>
      <w:r>
        <w:rPr>
          <w:rFonts w:ascii="Times New Roman" w:cs="Times New Roman" w:eastAsia="Times New Roman" w:hAnsi="Times New Roman"/>
          <w:sz w:val="18"/>
          <w:szCs w:val="18"/>
          <w:color w:val="auto"/>
        </w:rPr>
        <w:t>negative and can relate to virtually any aspect of a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business. Also, information that something is likely to happen in the future</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or even just that it may happen</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could be deemed material.</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Examples of information that should be presumed to be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material</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include (but are not limited to) information about:</w:t>
      </w:r>
    </w:p>
    <w:p>
      <w:pPr>
        <w:spacing w:after="0" w:line="225" w:lineRule="exact"/>
        <w:rPr>
          <w:sz w:val="20"/>
          <w:szCs w:val="20"/>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results or earnings forecasts;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tender offers, or dispositions;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pipeline products or developments regarding approved products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pending regulatory action or approval;</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developments regarding strategic collaborations;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loss of a major contract or customer;</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other significant personnel changes;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liquidity or potential or actual defaults on borrowings;</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security incidents; and</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regulatory actions.</w:t>
      </w:r>
    </w:p>
    <w:p>
      <w:pPr>
        <w:spacing w:after="0" w:line="235" w:lineRule="exact"/>
        <w:rPr>
          <w:sz w:val="20"/>
          <w:szCs w:val="20"/>
          <w:color w:val="auto"/>
        </w:rPr>
      </w:pPr>
    </w:p>
    <w:p>
      <w:pPr>
        <w:ind w:left="40" w:right="60"/>
        <w:spacing w:after="0" w:line="263" w:lineRule="auto"/>
        <w:rPr>
          <w:sz w:val="20"/>
          <w:szCs w:val="20"/>
          <w:color w:val="auto"/>
        </w:rPr>
      </w:pPr>
      <w:r>
        <w:rPr>
          <w:rFonts w:ascii="Times New Roman" w:cs="Times New Roman" w:eastAsia="Times New Roman" w:hAnsi="Times New Roman"/>
          <w:sz w:val="18"/>
          <w:szCs w:val="18"/>
          <w:color w:val="auto"/>
        </w:rPr>
        <w:t xml:space="preserve">Information is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nonpublic</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if it is not available to the general public. For information to be considered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public</w:t>
      </w:r>
      <w:r>
        <w:rPr>
          <w:rFonts w:ascii="Times New Roman" w:cs="Times New Roman" w:eastAsia="Times New Roman" w:hAnsi="Times New Roman"/>
          <w:sz w:val="18"/>
          <w:szCs w:val="18"/>
          <w:color w:val="auto"/>
        </w:rPr>
        <w:t>,</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it must be widely disseminated in a manner that makes it generally available to investors in a Regulation FD-compliant method, such as through a press release, a filing with the U.S. Securities and Exchange Commission (the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SEC</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or a Regulation FD-compliant conference call. Rhythm Legal shall have sole discretion to decide whether information is nonpublic or public for purposes of this Policy. See also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Confidentiality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left="40" w:right="180"/>
        <w:spacing w:after="0" w:line="261"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public dissemination. In addition, even after a public announcement, a reasonable period of time may need to lapse in order for the market to react to and absorb the information. Generally, the passage of two full trading days following release of the information to the public, is a reasonable waiting period before such information is deemed to be public.</w:t>
      </w:r>
    </w:p>
    <w:p>
      <w:pPr>
        <w:spacing w:after="0" w:line="189" w:lineRule="exact"/>
        <w:rPr>
          <w:sz w:val="20"/>
          <w:szCs w:val="20"/>
          <w:color w:val="auto"/>
        </w:rPr>
      </w:pPr>
    </w:p>
    <w:p>
      <w:pPr>
        <w:jc w:val="both"/>
        <w:ind w:left="40" w:right="160"/>
        <w:spacing w:after="0" w:line="266" w:lineRule="auto"/>
        <w:rPr>
          <w:sz w:val="20"/>
          <w:szCs w:val="20"/>
          <w:color w:val="auto"/>
        </w:rPr>
      </w:pPr>
      <w:r>
        <w:rPr>
          <w:rFonts w:ascii="Times New Roman" w:cs="Times New Roman" w:eastAsia="Times New Roman" w:hAnsi="Times New Roman"/>
          <w:sz w:val="18"/>
          <w:szCs w:val="18"/>
          <w:color w:val="auto"/>
        </w:rPr>
        <w:t xml:space="preserve">It is important to realize that whether a particular piece of information is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material</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or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nonpublic</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will be judged after the fact, with the benefit of hindsight. In addition, if you learn something that leads you to want to buy or sell securities, that information may be considered material. It is important to keep in mind that material information need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358775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80" w:right="999" w:bottom="1440" w:gutter="0" w:footer="0" w:header="0"/>
          <w:type w:val="continuous"/>
        </w:sectPr>
      </w:pPr>
    </w:p>
    <w:bookmarkStart w:id="187" w:name="page188"/>
    <w:bookmarkEnd w:id="187"/>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3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4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92" w:space="560"/>
            <w:col w:w="2860"/>
          </w:cols>
          <w:pgMar w:left="988" w:top="680"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92" w:right="340"/>
        <w:spacing w:after="0" w:line="261" w:lineRule="auto"/>
        <w:rPr>
          <w:sz w:val="20"/>
          <w:szCs w:val="20"/>
          <w:color w:val="auto"/>
        </w:rPr>
      </w:pPr>
      <w:r>
        <w:rPr>
          <w:rFonts w:ascii="Times New Roman" w:cs="Times New Roman" w:eastAsia="Times New Roman" w:hAnsi="Times New Roman"/>
          <w:sz w:val="18"/>
          <w:szCs w:val="18"/>
          <w:color w:val="auto"/>
        </w:rPr>
        <w:t>certain - information that something is likely to happen, or even just that it might happen, could affect the market price of a security and therefore, especially when viewed in hindsight, may be determined to be material. The laws and regulations concerning insider trading are complex, and Covered Persons should never hesitate and are encouraged to seek guidance from Rhythm Legal prior to considering a transaction in securities.</w:t>
      </w:r>
    </w:p>
    <w:p>
      <w:pPr>
        <w:spacing w:after="0" w:line="180" w:lineRule="exact"/>
        <w:rPr>
          <w:sz w:val="20"/>
          <w:szCs w:val="20"/>
          <w:color w:val="auto"/>
        </w:rPr>
      </w:pPr>
    </w:p>
    <w:p>
      <w:pPr>
        <w:ind w:left="492" w:right="20"/>
        <w:spacing w:after="0" w:line="258" w:lineRule="auto"/>
        <w:rPr>
          <w:sz w:val="20"/>
          <w:szCs w:val="20"/>
          <w:color w:val="auto"/>
        </w:rPr>
      </w:pPr>
      <w:r>
        <w:rPr>
          <w:rFonts w:ascii="Times New Roman" w:cs="Times New Roman" w:eastAsia="Times New Roman" w:hAnsi="Times New Roman"/>
          <w:sz w:val="18"/>
          <w:szCs w:val="18"/>
          <w:color w:val="auto"/>
        </w:rPr>
        <w:t>Both the SEC and Nasdaq are very effective at detecting and pursuing insider trading cases and they have aggressively prosecuted insider traders and tippers (individuals who share MNPI with another person, known as the tippee, who uses that information to engage in insider trading). Any person who engages in insider trading or tipping can face a substantial jail term, civil penalties and disgorgement of profits and substantial criminal fines. In addition, if it is found that the Company failed to take appropriate steps to prevent insider trading, the Company may be subject to significant criminal fines and civil penalties.</w:t>
      </w:r>
    </w:p>
    <w:p>
      <w:pPr>
        <w:spacing w:after="0" w:line="179" w:lineRule="exact"/>
        <w:rPr>
          <w:sz w:val="20"/>
          <w:szCs w:val="20"/>
          <w:color w:val="auto"/>
        </w:rPr>
      </w:pPr>
    </w:p>
    <w:p>
      <w:pPr>
        <w:ind w:left="372" w:hanging="372"/>
        <w:spacing w:after="0"/>
        <w:tabs>
          <w:tab w:leader="none" w:pos="37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CONFIDENTIALTY</w:t>
      </w:r>
    </w:p>
    <w:p>
      <w:pPr>
        <w:spacing w:after="0" w:line="239" w:lineRule="exact"/>
        <w:rPr>
          <w:sz w:val="20"/>
          <w:szCs w:val="20"/>
          <w:color w:val="auto"/>
        </w:rPr>
      </w:pPr>
    </w:p>
    <w:p>
      <w:pPr>
        <w:ind w:left="492" w:right="60"/>
        <w:spacing w:after="0" w:line="269" w:lineRule="auto"/>
        <w:rPr>
          <w:sz w:val="20"/>
          <w:szCs w:val="20"/>
          <w:color w:val="auto"/>
        </w:rPr>
      </w:pPr>
      <w:r>
        <w:rPr>
          <w:rFonts w:ascii="Times New Roman" w:cs="Times New Roman" w:eastAsia="Times New Roman" w:hAnsi="Times New Roman"/>
          <w:sz w:val="17"/>
          <w:szCs w:val="17"/>
          <w:color w:val="auto"/>
        </w:rPr>
        <w:t>Pursuant to Rhythm</w:t>
      </w:r>
      <w:r>
        <w:rPr>
          <w:rFonts w:ascii="Cambria" w:cs="Cambria" w:eastAsia="Cambria" w:hAnsi="Cambria"/>
          <w:sz w:val="17"/>
          <w:szCs w:val="17"/>
          <w:b w:val="1"/>
          <w:bCs w:val="1"/>
          <w:color w:val="auto"/>
        </w:rPr>
        <w:t>’</w:t>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b w:val="1"/>
          <w:bCs w:val="1"/>
          <w:i w:val="1"/>
          <w:iCs w:val="1"/>
          <w:color w:val="auto"/>
        </w:rPr>
        <w:t>Code of Business Conduct and Ethics</w:t>
      </w:r>
      <w:r>
        <w:rPr>
          <w:rFonts w:ascii="Times New Roman" w:cs="Times New Roman" w:eastAsia="Times New Roman" w:hAnsi="Times New Roman"/>
          <w:sz w:val="17"/>
          <w:szCs w:val="17"/>
          <w:color w:val="auto"/>
        </w:rPr>
        <w:t>, all Covered Persons are obligated to maintain the confidentiality of all confidential and non-public information entrusted to them by the Company and by any third parties with which the Company does business. Unauthorized disclosure of confidential information about the Company is strictly prohibited. The Company is required under Regulation FD of the U.S. securities laws to avoid the selective disclosure of material non-public information. The Company has established procedures for releasing material information in a manner that is designed to achieve broad public dissemination of the information immediately upon its release. Therefore, Company Parties must not discuss internal, confidential business matters or developments with anyone outside of the Company (including, without limitation, Family Members), except as required in the performance of their duties. This prohibition applies specifically, but not exclusively, to inquiries about Rhythm which may be made by members of the financial press, investment analysts, or others in the financial community. It is very important that all such communications on behalf of the Company be made through an appropriately designated officer under carefully controlled circumstances. If you receive any inquiries of this nature, unless you are expressly authorized to the contrary, you should decline comment and forward the inquiry to Rhythm Legal and to Corporate Affairs and Investor Relations.</w:t>
      </w:r>
    </w:p>
    <w:p>
      <w:pPr>
        <w:spacing w:after="0" w:line="178" w:lineRule="exact"/>
        <w:rPr>
          <w:sz w:val="20"/>
          <w:szCs w:val="20"/>
          <w:color w:val="auto"/>
        </w:rPr>
      </w:pPr>
    </w:p>
    <w:p>
      <w:pPr>
        <w:ind w:left="492" w:right="220"/>
        <w:spacing w:after="0" w:line="264" w:lineRule="auto"/>
        <w:rPr>
          <w:sz w:val="20"/>
          <w:szCs w:val="20"/>
          <w:color w:val="auto"/>
        </w:rPr>
      </w:pPr>
      <w:r>
        <w:rPr>
          <w:rFonts w:ascii="Times New Roman" w:cs="Times New Roman" w:eastAsia="Times New Roman" w:hAnsi="Times New Roman"/>
          <w:sz w:val="18"/>
          <w:szCs w:val="18"/>
          <w:color w:val="auto"/>
        </w:rPr>
        <w:t xml:space="preserve">All Covered Persons are reminded to use extreme care to ensure that confidential information is not inadvertently disclosed to others. Be particularly careful to avoid discussing any matter that might be confidential or sensitive in public places such as lobbies, airports, elevators and restaurants. Meetings in which confidential information is discussed should be conducted behind closed doors. Even inadvertent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leaks</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of confidential information can lead to violations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680" w:right="999" w:bottom="1440" w:gutter="0" w:footer="0" w:header="0"/>
          <w:type w:val="continuous"/>
        </w:sectPr>
      </w:pPr>
    </w:p>
    <w:bookmarkStart w:id="188" w:name="page189"/>
    <w:bookmarkEnd w:id="188"/>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3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5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92" w:space="560"/>
            <w:col w:w="2860"/>
          </w:cols>
          <w:pgMar w:left="988" w:top="680" w:right="9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372" w:hanging="372"/>
        <w:spacing w:after="0"/>
        <w:tabs>
          <w:tab w:leader="none" w:pos="37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TRADING</w:t>
      </w:r>
    </w:p>
    <w:p>
      <w:pPr>
        <w:spacing w:after="0" w:line="225" w:lineRule="exact"/>
        <w:rPr>
          <w:sz w:val="20"/>
          <w:szCs w:val="20"/>
          <w:color w:val="auto"/>
        </w:rPr>
      </w:pPr>
    </w:p>
    <w:p>
      <w:pPr>
        <w:ind w:left="472"/>
        <w:spacing w:after="0"/>
        <w:tabs>
          <w:tab w:leader="none" w:pos="1091"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ind w:left="1132" w:right="380"/>
        <w:spacing w:after="0" w:line="282" w:lineRule="auto"/>
        <w:rPr>
          <w:sz w:val="20"/>
          <w:szCs w:val="20"/>
          <w:color w:val="auto"/>
        </w:rPr>
      </w:pPr>
      <w:r>
        <w:rPr>
          <w:rFonts w:ascii="Times New Roman" w:cs="Times New Roman" w:eastAsia="Times New Roman" w:hAnsi="Times New Roman"/>
          <w:sz w:val="18"/>
          <w:szCs w:val="18"/>
          <w:color w:val="auto"/>
        </w:rPr>
        <w:t>Covered Persons must not purchase, sell, gift or otherwise transfer any security of the Company during any blackout period, except as otherwise permitted by this Policy.</w:t>
      </w:r>
    </w:p>
    <w:p>
      <w:pPr>
        <w:spacing w:after="0" w:line="158" w:lineRule="exact"/>
        <w:rPr>
          <w:sz w:val="20"/>
          <w:szCs w:val="20"/>
          <w:color w:val="auto"/>
        </w:rPr>
      </w:pPr>
    </w:p>
    <w:p>
      <w:pPr>
        <w:ind w:left="1132"/>
        <w:spacing w:after="0"/>
        <w:tabs>
          <w:tab w:leader="none" w:pos="1771"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b w:val="1"/>
          <w:bCs w:val="1"/>
          <w:color w:val="auto"/>
        </w:rPr>
        <w:t>Quarterly Blackout Periods</w:t>
      </w:r>
    </w:p>
    <w:p>
      <w:pPr>
        <w:spacing w:after="0" w:line="22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The quarterly blackout period:</w:t>
      </w:r>
    </w:p>
    <w:p>
      <w:pPr>
        <w:spacing w:after="0" w:line="225" w:lineRule="exact"/>
        <w:rPr>
          <w:sz w:val="20"/>
          <w:szCs w:val="20"/>
          <w:color w:val="auto"/>
        </w:rPr>
      </w:pPr>
    </w:p>
    <w:p>
      <w:pPr>
        <w:ind w:left="2192" w:hanging="329"/>
        <w:spacing w:after="0" w:line="296" w:lineRule="auto"/>
        <w:tabs>
          <w:tab w:leader="none" w:pos="21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after completion of trading on Nasdaq on the 15th day of the last month of each fiscal quarter (or on the last trading day prior to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is not a trading day); and</w:t>
      </w:r>
    </w:p>
    <w:p>
      <w:pPr>
        <w:spacing w:after="0" w:line="23" w:lineRule="exact"/>
        <w:rPr>
          <w:rFonts w:ascii="Times New Roman" w:cs="Times New Roman" w:eastAsia="Times New Roman" w:hAnsi="Times New Roman"/>
          <w:sz w:val="18"/>
          <w:szCs w:val="18"/>
          <w:color w:val="auto"/>
        </w:rPr>
      </w:pPr>
    </w:p>
    <w:p>
      <w:pPr>
        <w:ind w:left="2192" w:hanging="329"/>
        <w:spacing w:after="0"/>
        <w:tabs>
          <w:tab w:leader="none" w:pos="21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ends after completion of the second trading day after the earnings release for that quarter.</w:t>
      </w:r>
    </w:p>
    <w:p>
      <w:pPr>
        <w:spacing w:after="0" w:line="235" w:lineRule="exact"/>
        <w:rPr>
          <w:sz w:val="20"/>
          <w:szCs w:val="20"/>
          <w:color w:val="auto"/>
        </w:rPr>
      </w:pPr>
    </w:p>
    <w:p>
      <w:pPr>
        <w:ind w:left="1792" w:right="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trading day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is any day on which Nasdaq is open for trading. If, for example, the Company were to release earnings on Tuesday prior to 9:30 a.m. Eastern Time, then the blackout period would terminate after the close of trading on Wednesday. If the Company were to release earnings on Tuesday after 9:30 a.m. Eastern Time, then the blackout period would terminate after the close of trading on Thursday. Any question as to whether information is publicly available should be directed to Rhythm Legal.</w:t>
      </w:r>
    </w:p>
    <w:p>
      <w:pPr>
        <w:spacing w:after="0" w:line="179" w:lineRule="exact"/>
        <w:rPr>
          <w:sz w:val="20"/>
          <w:szCs w:val="20"/>
          <w:color w:val="auto"/>
        </w:rPr>
      </w:pPr>
    </w:p>
    <w:p>
      <w:pPr>
        <w:ind w:left="1132"/>
        <w:spacing w:after="0"/>
        <w:tabs>
          <w:tab w:leader="none" w:pos="1771"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b w:val="1"/>
          <w:bCs w:val="1"/>
          <w:color w:val="auto"/>
        </w:rPr>
        <w:t>Additional Blackout Periods</w:t>
      </w:r>
    </w:p>
    <w:p>
      <w:pPr>
        <w:spacing w:after="0" w:line="229" w:lineRule="exact"/>
        <w:rPr>
          <w:sz w:val="20"/>
          <w:szCs w:val="20"/>
          <w:color w:val="auto"/>
        </w:rPr>
      </w:pPr>
    </w:p>
    <w:p>
      <w:pPr>
        <w:ind w:left="1792" w:right="80"/>
        <w:spacing w:after="0" w:line="261" w:lineRule="auto"/>
        <w:rPr>
          <w:sz w:val="20"/>
          <w:szCs w:val="20"/>
          <w:color w:val="auto"/>
        </w:rPr>
      </w:pPr>
      <w:r>
        <w:rPr>
          <w:rFonts w:ascii="Times New Roman" w:cs="Times New Roman" w:eastAsia="Times New Roman" w:hAnsi="Times New Roman"/>
          <w:sz w:val="18"/>
          <w:szCs w:val="18"/>
          <w:color w:val="auto"/>
        </w:rPr>
        <w:t>From time to time, Rhythm Legal may determine that an additional blackout period is appropriate for specific Covered Persons. When subject to an additional blackout period, such Covered Persons must not purchase, sell, gift or otherwise transfer any security of the Company, except as otherwise permitted by this Policy, and must not disclose that an additional blackout period is in effect.</w:t>
      </w:r>
    </w:p>
    <w:p>
      <w:pPr>
        <w:spacing w:after="0" w:line="176" w:lineRule="exact"/>
        <w:rPr>
          <w:sz w:val="20"/>
          <w:szCs w:val="20"/>
          <w:color w:val="auto"/>
        </w:rPr>
      </w:pPr>
    </w:p>
    <w:p>
      <w:pPr>
        <w:ind w:left="472"/>
        <w:spacing w:after="0"/>
        <w:tabs>
          <w:tab w:leader="none" w:pos="1091"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Pre-Clearance Requirements</w:t>
      </w:r>
    </w:p>
    <w:p>
      <w:pPr>
        <w:spacing w:after="0" w:line="243" w:lineRule="exact"/>
        <w:rPr>
          <w:sz w:val="20"/>
          <w:szCs w:val="20"/>
          <w:color w:val="auto"/>
        </w:rPr>
      </w:pPr>
    </w:p>
    <w:p>
      <w:pPr>
        <w:ind w:left="1132" w:right="480"/>
        <w:spacing w:after="0" w:line="277" w:lineRule="auto"/>
        <w:rPr>
          <w:sz w:val="20"/>
          <w:szCs w:val="20"/>
          <w:color w:val="auto"/>
        </w:rPr>
      </w:pPr>
      <w:r>
        <w:rPr>
          <w:rFonts w:ascii="Times New Roman" w:cs="Times New Roman" w:eastAsia="Times New Roman" w:hAnsi="Times New Roman"/>
          <w:sz w:val="18"/>
          <w:szCs w:val="18"/>
          <w:color w:val="auto"/>
        </w:rPr>
        <w:t xml:space="preserve">Rhythm Legal may designate specific Covered Persons (each, a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Pre-Clearance Person</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who (with their controlled entities and household members) must pre-clear each transaction in any security of the Company.</w:t>
      </w:r>
    </w:p>
    <w:p>
      <w:pPr>
        <w:spacing w:after="0" w:line="166" w:lineRule="exact"/>
        <w:rPr>
          <w:sz w:val="20"/>
          <w:szCs w:val="20"/>
          <w:color w:val="auto"/>
        </w:rPr>
      </w:pPr>
    </w:p>
    <w:p>
      <w:pPr>
        <w:ind w:left="1132" w:right="140"/>
        <w:spacing w:after="0" w:line="256" w:lineRule="auto"/>
        <w:rPr>
          <w:sz w:val="20"/>
          <w:szCs w:val="20"/>
          <w:color w:val="auto"/>
        </w:rPr>
      </w:pPr>
      <w:r>
        <w:rPr>
          <w:rFonts w:ascii="Times New Roman" w:cs="Times New Roman" w:eastAsia="Times New Roman" w:hAnsi="Times New Roman"/>
          <w:sz w:val="18"/>
          <w:szCs w:val="18"/>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provide a written statement (which may be via email) confirming that he or she is not aware of material nonpublic information about the Company at the time of the request for pre-clearance and that he or she will not engage in any proposed transaction if in possession of MNPI at such time. Rhythm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680" w:right="999" w:bottom="1440" w:gutter="0" w:footer="0" w:header="0"/>
          <w:type w:val="continuous"/>
        </w:sectPr>
      </w:pPr>
    </w:p>
    <w:bookmarkStart w:id="189" w:name="page190"/>
    <w:bookmarkEnd w:id="189"/>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3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6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92" w:space="560"/>
            <w:col w:w="2860"/>
          </w:cols>
          <w:pgMar w:left="988" w:top="680"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92" w:right="280"/>
        <w:spacing w:after="0" w:line="261" w:lineRule="auto"/>
        <w:rPr>
          <w:sz w:val="20"/>
          <w:szCs w:val="20"/>
          <w:color w:val="auto"/>
        </w:rPr>
      </w:pPr>
      <w:r>
        <w:rPr>
          <w:rFonts w:ascii="Times New Roman" w:cs="Times New Roman" w:eastAsia="Times New Roman" w:hAnsi="Times New Roman"/>
          <w:sz w:val="18"/>
          <w:szCs w:val="18"/>
          <w:color w:val="auto"/>
        </w:rPr>
        <w:t>Legal, or the Chief Financial Officer, shall have sole discretion to decide whether to clear any contemplated transaction. Pre-clearance approval will remain valid for fivebusiness days from the date given. Notwithstanding receipt of pre-clearance, if the Pre-Clearance Person becomes aware of material nonpublic information, or becomes subject to a blackout period before the transaction is effected, the transaction may not be completed.</w:t>
      </w:r>
    </w:p>
    <w:p>
      <w:pPr>
        <w:spacing w:after="0" w:line="180" w:lineRule="exact"/>
        <w:rPr>
          <w:sz w:val="20"/>
          <w:szCs w:val="20"/>
          <w:color w:val="auto"/>
        </w:rPr>
      </w:pPr>
    </w:p>
    <w:p>
      <w:pPr>
        <w:ind w:left="492" w:right="180"/>
        <w:spacing w:after="0" w:line="271" w:lineRule="auto"/>
        <w:rPr>
          <w:sz w:val="20"/>
          <w:szCs w:val="20"/>
          <w:color w:val="auto"/>
        </w:rPr>
      </w:pPr>
      <w:r>
        <w:rPr>
          <w:rFonts w:ascii="Times New Roman" w:cs="Times New Roman" w:eastAsia="Times New Roman" w:hAnsi="Times New Roman"/>
          <w:sz w:val="18"/>
          <w:szCs w:val="18"/>
          <w:color w:val="auto"/>
        </w:rPr>
        <w:t>Pre-clearance should not be understood to represent legal advice by the company that a proposed transaction complies with the law. None of the Company, Rhythm Legal, or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other employees will have any liability for any delay in reviewing, or refusal of, a request for pre-clearance.</w:t>
      </w:r>
    </w:p>
    <w:p>
      <w:pPr>
        <w:spacing w:after="0" w:line="168" w:lineRule="exact"/>
        <w:rPr>
          <w:sz w:val="20"/>
          <w:szCs w:val="20"/>
          <w:color w:val="auto"/>
        </w:rPr>
      </w:pPr>
    </w:p>
    <w:p>
      <w:pPr>
        <w:ind w:left="372" w:hanging="372"/>
        <w:spacing w:after="0"/>
        <w:tabs>
          <w:tab w:leader="none" w:pos="37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EXEMPT TRANSACTIONS</w:t>
      </w:r>
    </w:p>
    <w:p>
      <w:pPr>
        <w:spacing w:after="0" w:line="22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This Policy, except for provisions set forth in the Prohibited Transactions section below, does not apply to:</w:t>
      </w:r>
    </w:p>
    <w:p>
      <w:pPr>
        <w:spacing w:after="0" w:line="225" w:lineRule="exact"/>
        <w:rPr>
          <w:sz w:val="20"/>
          <w:szCs w:val="20"/>
          <w:color w:val="auto"/>
        </w:rPr>
      </w:pPr>
    </w:p>
    <w:p>
      <w:pPr>
        <w:ind w:left="1292" w:right="420" w:hanging="320"/>
        <w:spacing w:after="0" w:line="282" w:lineRule="auto"/>
        <w:tabs>
          <w:tab w:leader="none" w:pos="12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directly with the Company (including purchase of Company securities in the Rhythm employee stock purchase plan);</w:t>
      </w:r>
    </w:p>
    <w:p>
      <w:pPr>
        <w:spacing w:after="0" w:line="161" w:lineRule="exact"/>
        <w:rPr>
          <w:rFonts w:ascii="Times New Roman" w:cs="Times New Roman" w:eastAsia="Times New Roman" w:hAnsi="Times New Roman"/>
          <w:sz w:val="18"/>
          <w:szCs w:val="18"/>
          <w:color w:val="auto"/>
        </w:rPr>
      </w:pPr>
    </w:p>
    <w:p>
      <w:pPr>
        <w:ind w:left="1292" w:right="180" w:hanging="320"/>
        <w:spacing w:after="0" w:line="282" w:lineRule="auto"/>
        <w:tabs>
          <w:tab w:leader="none" w:pos="12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61" w:lineRule="exact"/>
        <w:rPr>
          <w:rFonts w:ascii="Times New Roman" w:cs="Times New Roman" w:eastAsia="Times New Roman" w:hAnsi="Times New Roman"/>
          <w:sz w:val="18"/>
          <w:szCs w:val="18"/>
          <w:color w:val="auto"/>
        </w:rPr>
      </w:pPr>
    </w:p>
    <w:p>
      <w:pPr>
        <w:ind w:left="1292" w:right="20" w:hanging="320"/>
        <w:spacing w:after="0" w:line="271" w:lineRule="auto"/>
        <w:tabs>
          <w:tab w:leader="none" w:pos="12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equity incentive awards without any open-market sale of securities (e.g., cash exercises of stock options or the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net settlement</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of restricted stock units but not broker-assisted cashless exercises or open-market sales to cover taxes upon the vesting of restricted stock units);</w:t>
      </w:r>
    </w:p>
    <w:p>
      <w:pPr>
        <w:spacing w:after="0" w:line="185" w:lineRule="exact"/>
        <w:rPr>
          <w:rFonts w:ascii="Times New Roman" w:cs="Times New Roman" w:eastAsia="Times New Roman" w:hAnsi="Times New Roman"/>
          <w:sz w:val="18"/>
          <w:szCs w:val="18"/>
          <w:color w:val="auto"/>
        </w:rPr>
      </w:pPr>
    </w:p>
    <w:p>
      <w:pPr>
        <w:ind w:left="1292" w:right="20" w:hanging="320"/>
        <w:spacing w:after="0" w:line="272" w:lineRule="auto"/>
        <w:tabs>
          <w:tab w:leader="none" w:pos="1292" w:val="left"/>
        </w:tabs>
        <w:numPr>
          <w:ilvl w:val="0"/>
          <w:numId w:val="105"/>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sell-to-cover</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transactions pursuant to a non-discretionary policy adopted by the Company that is intended to facilitate</w:t>
      </w:r>
      <w:r>
        <w:rPr>
          <w:rFonts w:ascii="Cambria" w:cs="Cambria" w:eastAsia="Cambria" w:hAnsi="Cambria"/>
          <w:sz w:val="18"/>
          <w:szCs w:val="18"/>
          <w:b w:val="1"/>
          <w:bCs w:val="1"/>
          <w:color w:val="auto"/>
        </w:rPr>
        <w:t xml:space="preserve"> </w:t>
      </w:r>
      <w:r>
        <w:rPr>
          <w:rFonts w:ascii="Times New Roman" w:cs="Times New Roman" w:eastAsia="Times New Roman" w:hAnsi="Times New Roman"/>
          <w:sz w:val="18"/>
          <w:szCs w:val="18"/>
          <w:color w:val="auto"/>
        </w:rPr>
        <w:t>the payment of withholding taxes associated with vesting of equity awards (other than stock options); or</w:t>
      </w:r>
    </w:p>
    <w:p>
      <w:pPr>
        <w:spacing w:after="0" w:line="169"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 a pre-cleared Trading Plan (defined below).</w:t>
      </w:r>
    </w:p>
    <w:p>
      <w:pPr>
        <w:spacing w:after="0" w:line="221" w:lineRule="exact"/>
        <w:rPr>
          <w:sz w:val="20"/>
          <w:szCs w:val="20"/>
          <w:color w:val="auto"/>
        </w:rPr>
      </w:pPr>
    </w:p>
    <w:p>
      <w:pPr>
        <w:ind w:left="372" w:hanging="372"/>
        <w:spacing w:after="0"/>
        <w:tabs>
          <w:tab w:leader="none" w:pos="37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PLANS</w:t>
      </w:r>
    </w:p>
    <w:p>
      <w:pPr>
        <w:spacing w:after="0" w:line="229" w:lineRule="exact"/>
        <w:rPr>
          <w:sz w:val="20"/>
          <w:szCs w:val="20"/>
          <w:color w:val="auto"/>
        </w:rPr>
      </w:pPr>
    </w:p>
    <w:p>
      <w:pPr>
        <w:ind w:left="492" w:right="660"/>
        <w:spacing w:after="0" w:line="292" w:lineRule="auto"/>
        <w:rPr>
          <w:sz w:val="20"/>
          <w:szCs w:val="20"/>
          <w:color w:val="auto"/>
        </w:rPr>
      </w:pPr>
      <w:r>
        <w:rPr>
          <w:rFonts w:ascii="Times New Roman" w:cs="Times New Roman" w:eastAsia="Times New Roman" w:hAnsi="Times New Roman"/>
          <w:sz w:val="18"/>
          <w:szCs w:val="18"/>
          <w:color w:val="auto"/>
        </w:rPr>
        <w:t xml:space="preserve">The restrictions in this Policy, except for provisions set forth in the Prohibited Transactions section below, do not apply to transactions under an approved trading plan (a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Trading Plan</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that satisfies either:</w:t>
      </w:r>
    </w:p>
    <w:p>
      <w:pPr>
        <w:spacing w:after="0" w:line="153" w:lineRule="exact"/>
        <w:rPr>
          <w:sz w:val="20"/>
          <w:szCs w:val="20"/>
          <w:color w:val="auto"/>
        </w:rPr>
      </w:pPr>
    </w:p>
    <w:p>
      <w:pPr>
        <w:ind w:left="1292" w:hanging="320"/>
        <w:spacing w:after="0"/>
        <w:tabs>
          <w:tab w:leader="none" w:pos="12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Rule 10b5-1; or</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elements of a non-Rule 10b5-1 trading arrangement as defined in Item 408(c) of Regulation S-K; and</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Rhythm Legal has pre-approved.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680" w:right="999" w:bottom="1440" w:gutter="0" w:footer="0" w:header="0"/>
          <w:type w:val="continuous"/>
        </w:sectPr>
      </w:pPr>
    </w:p>
    <w:bookmarkStart w:id="190" w:name="page191"/>
    <w:bookmarkEnd w:id="190"/>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32"/>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7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492" w:space="560"/>
            <w:col w:w="2860"/>
          </w:cols>
          <w:pgMar w:left="988" w:top="680"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92" w:right="120"/>
        <w:spacing w:after="0" w:line="282" w:lineRule="auto"/>
        <w:rPr>
          <w:sz w:val="20"/>
          <w:szCs w:val="20"/>
          <w:color w:val="auto"/>
        </w:rPr>
      </w:pPr>
      <w:r>
        <w:rPr>
          <w:rFonts w:ascii="Times New Roman" w:cs="Times New Roman" w:eastAsia="Times New Roman" w:hAnsi="Times New Roman"/>
          <w:sz w:val="18"/>
          <w:szCs w:val="18"/>
          <w:color w:val="auto"/>
        </w:rPr>
        <w:t>Rhythm Legal may impose such other conditions on the implementation and operation of a Trading Plan as Rhythm Legal deems necessary or advisable.</w:t>
      </w:r>
    </w:p>
    <w:p>
      <w:pPr>
        <w:spacing w:after="0" w:line="162" w:lineRule="exact"/>
        <w:rPr>
          <w:sz w:val="20"/>
          <w:szCs w:val="20"/>
          <w:color w:val="auto"/>
        </w:rPr>
      </w:pPr>
    </w:p>
    <w:p>
      <w:pPr>
        <w:ind w:left="492" w:right="280"/>
        <w:spacing w:after="0" w:line="266" w:lineRule="auto"/>
        <w:rPr>
          <w:sz w:val="20"/>
          <w:szCs w:val="20"/>
          <w:color w:val="auto"/>
        </w:rPr>
      </w:pPr>
      <w:r>
        <w:rPr>
          <w:rFonts w:ascii="Times New Roman" w:cs="Times New Roman" w:eastAsia="Times New Roman" w:hAnsi="Times New Roman"/>
          <w:sz w:val="18"/>
          <w:szCs w:val="18"/>
          <w:color w:val="auto"/>
        </w:rPr>
        <w:t>An individual may only enter into or modify a Trading Plan outside of a blackout period and, in any event, when the individual does not possess material nonpublic information. Entering into, modifications to and early terminations of a Trading Plan are subject to pre-approval by Rhythm Legal or the Chief Financial Officer.</w:t>
      </w:r>
    </w:p>
    <w:p>
      <w:pPr>
        <w:spacing w:after="0" w:line="176" w:lineRule="exact"/>
        <w:rPr>
          <w:sz w:val="20"/>
          <w:szCs w:val="20"/>
          <w:color w:val="auto"/>
        </w:rPr>
      </w:pPr>
    </w:p>
    <w:p>
      <w:pPr>
        <w:ind w:left="492" w:right="40"/>
        <w:spacing w:after="0" w:line="266" w:lineRule="auto"/>
        <w:rPr>
          <w:sz w:val="20"/>
          <w:szCs w:val="20"/>
          <w:color w:val="auto"/>
        </w:rPr>
      </w:pPr>
      <w:r>
        <w:rPr>
          <w:rFonts w:ascii="Times New Roman" w:cs="Times New Roman" w:eastAsia="Times New Roman" w:hAnsi="Times New Roman"/>
          <w:sz w:val="18"/>
          <w:szCs w:val="18"/>
          <w:color w:val="auto"/>
        </w:rPr>
        <w:t>The Company also reserves the right from time to time to suspend, discontinue, or otherwise prohibit transactions under a Trading Plan if Rhythm Legal or the Board of Directors, in its discretion, determines that such suspension, discontinuation, or other prohibition is in the best interests of the Company.</w:t>
      </w:r>
    </w:p>
    <w:p>
      <w:pPr>
        <w:spacing w:after="0" w:line="176" w:lineRule="exact"/>
        <w:rPr>
          <w:sz w:val="20"/>
          <w:szCs w:val="20"/>
          <w:color w:val="auto"/>
        </w:rPr>
      </w:pPr>
    </w:p>
    <w:p>
      <w:pPr>
        <w:ind w:left="492" w:right="20"/>
        <w:spacing w:after="0" w:line="264"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Rhythm Legal, or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74" w:lineRule="exact"/>
        <w:rPr>
          <w:sz w:val="20"/>
          <w:szCs w:val="20"/>
          <w:color w:val="auto"/>
        </w:rPr>
      </w:pPr>
    </w:p>
    <w:p>
      <w:pPr>
        <w:ind w:left="372" w:hanging="372"/>
        <w:spacing w:after="0"/>
        <w:tabs>
          <w:tab w:leader="none" w:pos="37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sz w:val="20"/>
          <w:szCs w:val="20"/>
          <w:color w:val="auto"/>
        </w:rPr>
      </w:pPr>
    </w:p>
    <w:p>
      <w:pPr>
        <w:ind w:left="492" w:right="80"/>
        <w:spacing w:after="0" w:line="271"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securities.</w:t>
      </w:r>
    </w:p>
    <w:p>
      <w:pPr>
        <w:spacing w:after="0" w:line="172"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u w:val="single" w:color="auto"/>
          <w:color w:val="auto"/>
        </w:rPr>
        <w:t>Short Sales</w:t>
      </w:r>
    </w:p>
    <w:p>
      <w:pPr>
        <w:spacing w:after="0" w:line="239" w:lineRule="exact"/>
        <w:rPr>
          <w:sz w:val="20"/>
          <w:szCs w:val="20"/>
          <w:color w:val="auto"/>
        </w:rPr>
      </w:pPr>
    </w:p>
    <w:p>
      <w:pPr>
        <w:ind w:left="492"/>
        <w:spacing w:after="0" w:line="262" w:lineRule="auto"/>
        <w:rPr>
          <w:sz w:val="20"/>
          <w:szCs w:val="20"/>
          <w:color w:val="auto"/>
        </w:rPr>
      </w:pPr>
      <w:r>
        <w:rPr>
          <w:rFonts w:ascii="Times New Roman" w:cs="Times New Roman" w:eastAsia="Times New Roman" w:hAnsi="Times New Roman"/>
          <w:sz w:val="18"/>
          <w:szCs w:val="18"/>
          <w:color w:val="auto"/>
        </w:rPr>
        <w:t>Short sales of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securities are prohibited by this Policy. Short sales are sales of shares that the insider does not own at the time of sale, or sales of shares against which the insider does not deliver the shares within 20 days after the sale. In addition, Section 16(c) of the Exchange Act prohibits Section 16 reporting persons (i.e., Section 16 Persons (as defined below) and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10% stockholders) from making short sales of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equity securities.</w:t>
      </w:r>
    </w:p>
    <w:p>
      <w:pPr>
        <w:spacing w:after="0" w:line="181"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39" w:lineRule="exact"/>
        <w:rPr>
          <w:sz w:val="20"/>
          <w:szCs w:val="20"/>
          <w:color w:val="auto"/>
        </w:rPr>
      </w:pPr>
    </w:p>
    <w:p>
      <w:pPr>
        <w:ind w:left="492" w:right="220"/>
        <w:spacing w:after="0" w:line="277" w:lineRule="auto"/>
        <w:rPr>
          <w:sz w:val="20"/>
          <w:szCs w:val="20"/>
          <w:color w:val="auto"/>
        </w:rPr>
      </w:pPr>
      <w:r>
        <w:rPr>
          <w:rFonts w:ascii="Times New Roman" w:cs="Times New Roman" w:eastAsia="Times New Roman" w:hAnsi="Times New Roman"/>
          <w:sz w:val="18"/>
          <w:szCs w:val="18"/>
          <w:color w:val="auto"/>
        </w:rPr>
        <w:t>Transactions in puts, calls, or other derivative securities involving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equity securities, on an exchange, on an over-the-counter market, or in any other organized market, are prohibited by this Policy.</w:t>
      </w:r>
    </w:p>
    <w:p>
      <w:pPr>
        <w:spacing w:after="0" w:line="166"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u w:val="single" w:color="auto"/>
          <w:color w:val="auto"/>
        </w:rPr>
        <w:t>Hedging Transactions</w:t>
      </w:r>
    </w:p>
    <w:p>
      <w:pPr>
        <w:spacing w:after="0" w:line="239" w:lineRule="exact"/>
        <w:rPr>
          <w:sz w:val="20"/>
          <w:szCs w:val="20"/>
          <w:color w:val="auto"/>
        </w:rPr>
      </w:pPr>
    </w:p>
    <w:p>
      <w:pPr>
        <w:ind w:left="492" w:right="280"/>
        <w:spacing w:after="0" w:line="277" w:lineRule="auto"/>
        <w:rPr>
          <w:sz w:val="20"/>
          <w:szCs w:val="20"/>
          <w:color w:val="auto"/>
        </w:rPr>
      </w:pPr>
      <w:r>
        <w:rPr>
          <w:rFonts w:ascii="Times New Roman" w:cs="Times New Roman" w:eastAsia="Times New Roman" w:hAnsi="Times New Roman"/>
          <w:sz w:val="18"/>
          <w:szCs w:val="18"/>
          <w:color w:val="auto"/>
        </w:rPr>
        <w:t>Hedging transactions involving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securities, such as prepaid variable forward contracts, equity swaps, collars and exchange funds, or other transactions that hedge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358775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680" w:right="999" w:bottom="1440" w:gutter="0" w:footer="0" w:header="0"/>
          <w:type w:val="continuous"/>
        </w:sectPr>
      </w:pPr>
    </w:p>
    <w:bookmarkStart w:id="191" w:name="page192"/>
    <w:bookmarkEnd w:id="191"/>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4546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6292215" cy="454660"/>
                    </a:xfrm>
                    <a:prstGeom prst="rect">
                      <a:avLst/>
                    </a:prstGeom>
                    <a:noFill/>
                  </pic:spPr>
                </pic:pic>
              </a:graphicData>
            </a:graphic>
          </wp:anchor>
        </w:drawing>
      </w:r>
    </w:p>
    <w:p>
      <w:pPr>
        <w:ind w:left="2840"/>
        <w:spacing w:after="0"/>
        <w:rPr>
          <w:sz w:val="20"/>
          <w:szCs w:val="20"/>
          <w:color w:val="auto"/>
        </w:rPr>
      </w:pPr>
      <w:r>
        <w:rPr>
          <w:rFonts w:ascii="Times New Roman" w:cs="Times New Roman" w:eastAsia="Times New Roman" w:hAnsi="Times New Roman"/>
          <w:sz w:val="28"/>
          <w:szCs w:val="28"/>
          <w:b w:val="1"/>
          <w:bCs w:val="1"/>
          <w:color w:val="201F1E"/>
        </w:rPr>
        <w:t>Global Insider Trading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Effective: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01 Jan 2025</w:t>
            </w:r>
          </w:p>
        </w:tc>
      </w:tr>
      <w:tr>
        <w:trPr>
          <w:trHeight w:val="53"/>
        </w:trPr>
        <w:tc>
          <w:tcPr>
            <w:tcW w:w="9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r>
      <w:tr>
        <w:trPr>
          <w:trHeight w:val="278"/>
        </w:trPr>
        <w:tc>
          <w:tcPr>
            <w:tcW w:w="920" w:type="dxa"/>
            <w:vAlign w:val="bottom"/>
            <w:tcBorders>
              <w:left w:val="single" w:sz="8" w:color="auto"/>
            </w:tcBorders>
          </w:tcPr>
          <w:p>
            <w:pPr>
              <w:ind w:left="120"/>
              <w:spacing w:after="0"/>
              <w:rPr>
                <w:sz w:val="20"/>
                <w:szCs w:val="20"/>
                <w:color w:val="auto"/>
              </w:rPr>
            </w:pPr>
            <w:r>
              <w:rPr>
                <w:rFonts w:ascii="Cambria" w:cs="Cambria" w:eastAsia="Cambria" w:hAnsi="Cambria"/>
                <w:sz w:val="16"/>
                <w:szCs w:val="16"/>
                <w:b w:val="1"/>
                <w:bCs w:val="1"/>
                <w:color w:val="auto"/>
              </w:rPr>
              <w:t>Page:</w:t>
            </w:r>
          </w:p>
        </w:tc>
        <w:tc>
          <w:tcPr>
            <w:tcW w:w="1940" w:type="dxa"/>
            <w:vAlign w:val="bottom"/>
            <w:tcBorders>
              <w:right w:val="single" w:sz="8" w:color="auto"/>
            </w:tcBorders>
          </w:tcPr>
          <w:p>
            <w:pPr>
              <w:ind w:left="140"/>
              <w:spacing w:after="0"/>
              <w:rPr>
                <w:sz w:val="20"/>
                <w:szCs w:val="20"/>
                <w:color w:val="auto"/>
              </w:rPr>
            </w:pPr>
            <w:r>
              <w:rPr>
                <w:rFonts w:ascii="Cambria" w:cs="Cambria" w:eastAsia="Cambria" w:hAnsi="Cambria"/>
                <w:sz w:val="20"/>
                <w:szCs w:val="20"/>
                <w:b w:val="1"/>
                <w:bCs w:val="1"/>
                <w:color w:val="auto"/>
              </w:rPr>
              <w:t>8 of 8</w:t>
            </w:r>
          </w:p>
        </w:tc>
      </w:tr>
      <w:tr>
        <w:trPr>
          <w:trHeight w:val="66"/>
        </w:trPr>
        <w:tc>
          <w:tcPr>
            <w:tcW w:w="92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6500" w:space="560"/>
            <w:col w:w="2860"/>
          </w:cols>
          <w:pgMar w:left="980" w:top="680" w:right="9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00" w:right="220"/>
        <w:spacing w:after="0" w:line="277" w:lineRule="auto"/>
        <w:rPr>
          <w:sz w:val="20"/>
          <w:szCs w:val="20"/>
          <w:color w:val="auto"/>
        </w:rPr>
      </w:pPr>
      <w:r>
        <w:rPr>
          <w:rFonts w:ascii="Times New Roman" w:cs="Times New Roman" w:eastAsia="Times New Roman" w:hAnsi="Times New Roman"/>
          <w:sz w:val="18"/>
          <w:szCs w:val="18"/>
          <w:color w:val="auto"/>
        </w:rPr>
        <w:t>offset, or are designed to hedge or offset, any decrease in the market value of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equity securities, are prohibited by this Policy.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Margin Accounts and Pledging</w:t>
      </w:r>
    </w:p>
    <w:p>
      <w:pPr>
        <w:spacing w:after="0" w:line="225" w:lineRule="exact"/>
        <w:rPr>
          <w:sz w:val="20"/>
          <w:szCs w:val="20"/>
          <w:color w:val="auto"/>
        </w:rPr>
      </w:pPr>
    </w:p>
    <w:p>
      <w:pPr>
        <w:jc w:val="both"/>
        <w:ind w:left="500" w:right="180"/>
        <w:spacing w:after="0" w:line="264" w:lineRule="auto"/>
        <w:rPr>
          <w:sz w:val="20"/>
          <w:szCs w:val="20"/>
          <w:color w:val="auto"/>
        </w:rPr>
      </w:pPr>
      <w:r>
        <w:rPr>
          <w:rFonts w:ascii="Times New Roman" w:cs="Times New Roman" w:eastAsia="Times New Roman" w:hAnsi="Times New Roman"/>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equity plans, nor to situations approved in advance by Rhythm Legal.</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Partnership Distributions</w:t>
      </w:r>
    </w:p>
    <w:p>
      <w:pPr>
        <w:spacing w:after="0" w:line="225"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ind w:left="380" w:hanging="372"/>
        <w:spacing w:after="0"/>
        <w:tabs>
          <w:tab w:leader="none" w:pos="3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16 REPORTING REQUIREMENTS FOR DIRECTORS AND OFFICERS</w:t>
      </w:r>
    </w:p>
    <w:p>
      <w:pPr>
        <w:spacing w:after="0" w:line="239" w:lineRule="exact"/>
        <w:rPr>
          <w:sz w:val="20"/>
          <w:szCs w:val="20"/>
          <w:color w:val="auto"/>
        </w:rPr>
      </w:pPr>
    </w:p>
    <w:p>
      <w:pPr>
        <w:ind w:left="500" w:right="60"/>
        <w:spacing w:after="0" w:line="260" w:lineRule="auto"/>
        <w:rPr>
          <w:sz w:val="20"/>
          <w:szCs w:val="20"/>
          <w:color w:val="auto"/>
        </w:rPr>
      </w:pPr>
      <w:r>
        <w:rPr>
          <w:rFonts w:ascii="Times New Roman" w:cs="Times New Roman" w:eastAsia="Times New Roman" w:hAnsi="Times New Roman"/>
          <w:sz w:val="18"/>
          <w:szCs w:val="18"/>
          <w:color w:val="auto"/>
        </w:rPr>
        <w:t xml:space="preserve">Members of the Board of Directors and certain designated officers and employees (collectively,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b w:val="1"/>
          <w:bCs w:val="1"/>
          <w:u w:val="single" w:color="auto"/>
          <w:color w:val="auto"/>
        </w:rPr>
        <w:t>Section 16 Persons</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are subject to certain reporting requirements, trading restrictions and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short swing</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 xml:space="preserve"> profit recovery provisions under the U.S. Securities laws (specifically, Section 16 of the Exchange Act). In particular, Section 16 Persons must report changes of beneficial ownership in equity securities of the Company on a Form 4 electronically filed with and received by the SEC before the end of the second business day following the day on which the transaction occurs (the trade date, not the settlement date).</w:t>
      </w:r>
    </w:p>
    <w:p>
      <w:pPr>
        <w:spacing w:after="0" w:line="184" w:lineRule="exact"/>
        <w:rPr>
          <w:sz w:val="20"/>
          <w:szCs w:val="20"/>
          <w:color w:val="auto"/>
        </w:r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Transactions that must be reported on Form 4 by Section 16 Persons include, without limitation, stock purchases and sales, stock option exercises, stock and option grants, restricted stock grants, gifts and most other equity compensation transactions.</w:t>
      </w:r>
    </w:p>
    <w:p>
      <w:pPr>
        <w:spacing w:after="0" w:line="162" w:lineRule="exact"/>
        <w:rPr>
          <w:sz w:val="20"/>
          <w:szCs w:val="20"/>
          <w:color w:val="auto"/>
        </w:rPr>
      </w:pPr>
    </w:p>
    <w:p>
      <w:pPr>
        <w:ind w:left="500"/>
        <w:spacing w:after="0" w:line="264" w:lineRule="auto"/>
        <w:rPr>
          <w:sz w:val="20"/>
          <w:szCs w:val="20"/>
          <w:color w:val="auto"/>
        </w:rPr>
      </w:pPr>
      <w:r>
        <w:rPr>
          <w:rFonts w:ascii="Times New Roman" w:cs="Times New Roman" w:eastAsia="Times New Roman" w:hAnsi="Times New Roman"/>
          <w:sz w:val="18"/>
          <w:szCs w:val="18"/>
          <w:color w:val="auto"/>
        </w:rPr>
        <w:t>In order to ensure compliance with Section 16 reporting requirements, in addition to obtaining pre-clearance as required by this Policy, each Section 16 Person must immediately report to Rhythm Legal, upon execution, details of every transaction involving the Company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stock and stock options, including gifts, transfers, pledges and all transactions made pursuant to a Trading Plan that is otherwise compliant with this Policy.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This document is the confidential property of Rhythm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It may not be reproduced, copied, or distributed without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80" w:right="999" w:bottom="1440" w:gutter="0" w:footer="0" w:header="0"/>
          <w:type w:val="continuous"/>
        </w:sectPr>
      </w:pPr>
    </w:p>
    <w:bookmarkStart w:id="192" w:name="page193"/>
    <w:bookmarkEnd w:id="19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Rhythm Pharmaceuticals, Inc.</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80" w:type="dxa"/>
            <w:vAlign w:val="bottom"/>
            <w:tcBorders>
              <w:bottom w:val="single" w:sz="8" w:color="CCEEFF"/>
            </w:tcBorders>
          </w:tcPr>
          <w:p>
            <w:pPr>
              <w:spacing w:after="0"/>
              <w:rPr>
                <w:sz w:val="15"/>
                <w:szCs w:val="15"/>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 or Incorporation</w:t>
            </w: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Limited</w:t>
            </w:r>
          </w:p>
        </w:tc>
        <w:tc>
          <w:tcPr>
            <w:tcW w:w="18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2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Securities Corp.</w:t>
            </w:r>
          </w:p>
        </w:tc>
        <w:tc>
          <w:tcPr>
            <w:tcW w:w="18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2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Netherlands, B.V.</w:t>
            </w:r>
          </w:p>
        </w:tc>
        <w:tc>
          <w:tcPr>
            <w:tcW w:w="18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UK Limited</w:t>
            </w:r>
          </w:p>
        </w:tc>
        <w:tc>
          <w:tcPr>
            <w:tcW w:w="1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France SAS</w:t>
            </w:r>
          </w:p>
        </w:tc>
        <w:tc>
          <w:tcPr>
            <w:tcW w:w="1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Italy S.r.L.</w:t>
            </w:r>
          </w:p>
        </w:tc>
        <w:tc>
          <w:tcPr>
            <w:tcW w:w="1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Canada Inc.</w:t>
            </w:r>
          </w:p>
        </w:tc>
        <w:tc>
          <w:tcPr>
            <w:tcW w:w="1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Germany GmbH</w:t>
            </w:r>
          </w:p>
        </w:tc>
        <w:tc>
          <w:tcPr>
            <w:tcW w:w="1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Xinvento, B.V.</w:t>
            </w:r>
          </w:p>
        </w:tc>
        <w:tc>
          <w:tcPr>
            <w:tcW w:w="180" w:type="dxa"/>
            <w:vAlign w:val="bottom"/>
            <w:shd w:val="clear" w:color="auto" w:fill="CCEEFF"/>
          </w:tcPr>
          <w:p>
            <w:pPr>
              <w:spacing w:after="0"/>
              <w:rPr>
                <w:sz w:val="21"/>
                <w:szCs w:val="21"/>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Rhythm Pharmaceuticals Spain S.L.</w:t>
            </w:r>
          </w:p>
        </w:tc>
        <w:tc>
          <w:tcPr>
            <w:tcW w:w="18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Spain</w:t>
            </w: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Rhythm Pharmaceuticals Japan K.K.</w:t>
            </w:r>
          </w:p>
        </w:tc>
        <w:tc>
          <w:tcPr>
            <w:tcW w:w="1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4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r>
      <w:tr>
        <w:trPr>
          <w:trHeight w:val="156"/>
        </w:trPr>
        <w:tc>
          <w:tcPr>
            <w:tcW w:w="4180" w:type="dxa"/>
            <w:vAlign w:val="bottom"/>
            <w:tcBorders>
              <w:bottom w:val="single" w:sz="8" w:color="848484"/>
            </w:tcBorders>
          </w:tcPr>
          <w:p>
            <w:pPr>
              <w:spacing w:after="0"/>
              <w:rPr>
                <w:sz w:val="13"/>
                <w:szCs w:val="13"/>
                <w:color w:val="auto"/>
              </w:rPr>
            </w:pPr>
          </w:p>
        </w:tc>
        <w:tc>
          <w:tcPr>
            <w:tcW w:w="180" w:type="dxa"/>
            <w:vAlign w:val="bottom"/>
            <w:tcBorders>
              <w:bottom w:val="single" w:sz="8" w:color="848484"/>
            </w:tcBorders>
          </w:tcPr>
          <w:p>
            <w:pPr>
              <w:spacing w:after="0"/>
              <w:rPr>
                <w:sz w:val="13"/>
                <w:szCs w:val="13"/>
                <w:color w:val="auto"/>
              </w:rPr>
            </w:pPr>
          </w:p>
        </w:tc>
        <w:tc>
          <w:tcPr>
            <w:tcW w:w="4220" w:type="dxa"/>
            <w:vAlign w:val="bottom"/>
            <w:tcBorders>
              <w:bottom w:val="single" w:sz="8" w:color="848484"/>
            </w:tcBorders>
          </w:tcPr>
          <w:p>
            <w:pPr>
              <w:spacing w:after="0"/>
              <w:rPr>
                <w:sz w:val="13"/>
                <w:szCs w:val="13"/>
                <w:color w:val="auto"/>
              </w:rPr>
            </w:pPr>
          </w:p>
        </w:tc>
      </w:tr>
      <w:tr>
        <w:trPr>
          <w:trHeight w:val="642"/>
        </w:trPr>
        <w:tc>
          <w:tcPr>
            <w:tcW w:w="4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60" w:right="1440" w:bottom="1440" w:gutter="0" w:footer="0" w:header="0"/>
        </w:sectPr>
      </w:pPr>
    </w:p>
    <w:bookmarkStart w:id="193" w:name="page194"/>
    <w:bookmarkEnd w:id="19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00" w:lineRule="exact"/>
        <w:rPr>
          <w:sz w:val="20"/>
          <w:szCs w:val="20"/>
          <w:color w:val="auto"/>
        </w:rPr>
      </w:pPr>
    </w:p>
    <w:p>
      <w:pPr>
        <w:spacing w:after="0" w:line="241" w:lineRule="exact"/>
        <w:rPr>
          <w:sz w:val="20"/>
          <w:szCs w:val="20"/>
          <w:color w:val="auto"/>
        </w:rPr>
      </w:pPr>
    </w:p>
    <w:p>
      <w:pPr>
        <w:ind w:left="920" w:hanging="387"/>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333-228323) of Rhythm Pharmaceuticals, Inc.,</w:t>
      </w:r>
    </w:p>
    <w:p>
      <w:pPr>
        <w:spacing w:after="0" w:line="225" w:lineRule="exact"/>
        <w:rPr>
          <w:rFonts w:ascii="Times New Roman" w:cs="Times New Roman" w:eastAsia="Times New Roman" w:hAnsi="Times New Roman"/>
          <w:sz w:val="18"/>
          <w:szCs w:val="18"/>
          <w:color w:val="auto"/>
        </w:rPr>
      </w:pPr>
    </w:p>
    <w:p>
      <w:pPr>
        <w:ind w:left="920" w:hanging="387"/>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333-270233) of Rhythm Pharmaceuticals, Inc.,</w:t>
      </w:r>
    </w:p>
    <w:p>
      <w:pPr>
        <w:spacing w:after="0" w:line="225" w:lineRule="exact"/>
        <w:rPr>
          <w:rFonts w:ascii="Times New Roman" w:cs="Times New Roman" w:eastAsia="Times New Roman" w:hAnsi="Times New Roman"/>
          <w:sz w:val="18"/>
          <w:szCs w:val="18"/>
          <w:color w:val="auto"/>
        </w:rPr>
      </w:pPr>
    </w:p>
    <w:p>
      <w:pPr>
        <w:ind w:left="920" w:right="239" w:hanging="387"/>
        <w:spacing w:after="0" w:line="266"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333-277539) pertaining to the 2017 Equity Incentive Plan of Rhythm Pharmaceuticals, Inc.,</w:t>
      </w:r>
    </w:p>
    <w:p>
      <w:pPr>
        <w:spacing w:after="0" w:line="175"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333-270231) pertaining to the 2017 Equity Incentive Plan of Rhythm Pharmaceuticals, Inc.,</w:t>
      </w:r>
    </w:p>
    <w:p>
      <w:pPr>
        <w:spacing w:after="0" w:line="161" w:lineRule="exact"/>
        <w:rPr>
          <w:rFonts w:ascii="Times New Roman" w:cs="Times New Roman" w:eastAsia="Times New Roman" w:hAnsi="Times New Roman"/>
          <w:sz w:val="18"/>
          <w:szCs w:val="18"/>
          <w:color w:val="auto"/>
        </w:rPr>
      </w:pPr>
    </w:p>
    <w:p>
      <w:pPr>
        <w:ind w:left="920" w:right="21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333-263171) pertaining to the 2022 Employment Inducement Plan of Rhythm Pharmaceuticals, Inc.,</w:t>
      </w:r>
    </w:p>
    <w:p>
      <w:pPr>
        <w:spacing w:after="0" w:line="161"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333-263168) pertaining to the 2017 Equity Incentive Plan and the 2017 Employee Stock Purchase Plan of Rhythm Pharmaceuticals, Inc.,</w:t>
      </w:r>
    </w:p>
    <w:p>
      <w:pPr>
        <w:spacing w:after="0" w:line="161"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333-253709) pertaining to the 2017 Equity Incentive Plan of Rhythm Pharmaceuticals, Inc.,</w:t>
      </w:r>
    </w:p>
    <w:p>
      <w:pPr>
        <w:spacing w:after="0" w:line="161"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333-236829) pertaining to the 2017 Equity Incentive Plan and the 2017 Employee Stock Purchase Plan of Rhythm Pharmaceuticals, Inc.,</w:t>
      </w:r>
    </w:p>
    <w:p>
      <w:pPr>
        <w:spacing w:after="0" w:line="161"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333-229642) pertaining to the 2017 Equity Incentive Plan and the 2017 Employee Stock Purchase Plan of Rhythm Pharmaceuticals, Inc.,</w:t>
      </w:r>
    </w:p>
    <w:p>
      <w:pPr>
        <w:spacing w:after="0" w:line="161" w:lineRule="exact"/>
        <w:rPr>
          <w:rFonts w:ascii="Times New Roman" w:cs="Times New Roman" w:eastAsia="Times New Roman" w:hAnsi="Times New Roman"/>
          <w:sz w:val="18"/>
          <w:szCs w:val="18"/>
          <w:color w:val="auto"/>
        </w:rPr>
      </w:pPr>
    </w:p>
    <w:p>
      <w:pPr>
        <w:ind w:left="920" w:right="239" w:hanging="387"/>
        <w:spacing w:after="0" w:line="266"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333-223647) pertaining to the 2017 Equity Incentive Plan of Rhythm Pharmaceuticals, Inc., and</w:t>
      </w:r>
    </w:p>
    <w:p>
      <w:pPr>
        <w:spacing w:after="0" w:line="175" w:lineRule="exact"/>
        <w:rPr>
          <w:rFonts w:ascii="Times New Roman" w:cs="Times New Roman" w:eastAsia="Times New Roman" w:hAnsi="Times New Roman"/>
          <w:sz w:val="18"/>
          <w:szCs w:val="18"/>
          <w:color w:val="auto"/>
        </w:rPr>
      </w:pPr>
    </w:p>
    <w:p>
      <w:pPr>
        <w:ind w:left="920" w:right="239" w:hanging="387"/>
        <w:spacing w:after="0" w:line="282" w:lineRule="auto"/>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333-220925) pertaining to the 2017 Equity Incentive Plan and the 2017 Employee Stock Purchase Plan of Rhythm Pharmaceuticals, Inc.;</w:t>
      </w:r>
    </w:p>
    <w:p>
      <w:pPr>
        <w:spacing w:after="0" w:line="162"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of our reports dated February 28, 2025, with respect to the consolidated financial statements of Rhythm Pharmaceuticals, Inc. and the effectiveness of internal control over financial reporting of Rhythm Pharmaceuticals, Inc. included in this Annual Report (Form 10-K) of Rhythm Pharmaceuticals, Inc. for the year ended December 31, 2024.</w:t>
      </w:r>
    </w:p>
    <w:p>
      <w:pPr>
        <w:spacing w:after="0" w:line="3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P. Meeker M.D., certify that:</w:t>
      </w:r>
    </w:p>
    <w:p>
      <w:pPr>
        <w:spacing w:after="0" w:line="212" w:lineRule="exact"/>
        <w:rPr>
          <w:sz w:val="20"/>
          <w:szCs w:val="20"/>
          <w:color w:val="auto"/>
        </w:rPr>
      </w:pPr>
    </w:p>
    <w:p>
      <w:pPr>
        <w:ind w:left="920" w:hanging="222"/>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Rhythm Pharmaceuticals, Inc.;</w:t>
      </w:r>
    </w:p>
    <w:p>
      <w:pPr>
        <w:spacing w:after="0" w:line="225" w:lineRule="exact"/>
        <w:rPr>
          <w:rFonts w:ascii="Times New Roman" w:cs="Times New Roman" w:eastAsia="Times New Roman" w:hAnsi="Times New Roman"/>
          <w:sz w:val="18"/>
          <w:szCs w:val="18"/>
          <w:color w:val="auto"/>
        </w:rPr>
      </w:pPr>
    </w:p>
    <w:p>
      <w:pPr>
        <w:ind w:left="60" w:right="60" w:firstLine="638"/>
        <w:spacing w:after="0" w:line="266" w:lineRule="auto"/>
        <w:tabs>
          <w:tab w:leader="none" w:pos="9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40" w:firstLine="638"/>
        <w:spacing w:after="0" w:line="266" w:lineRule="auto"/>
        <w:tabs>
          <w:tab w:leader="none" w:pos="9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60" w:firstLine="638"/>
        <w:spacing w:after="0" w:line="266" w:lineRule="auto"/>
        <w:tabs>
          <w:tab w:leader="none" w:pos="9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380" w:right="20" w:firstLine="642"/>
        <w:spacing w:after="0" w:line="261" w:lineRule="auto"/>
        <w:tabs>
          <w:tab w:leader="none" w:pos="13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380" w:right="560" w:firstLine="642"/>
        <w:spacing w:after="0" w:line="255" w:lineRule="auto"/>
        <w:tabs>
          <w:tab w:leader="none" w:pos="13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380" w:right="160" w:firstLine="642"/>
        <w:spacing w:after="0" w:line="266" w:lineRule="auto"/>
        <w:tabs>
          <w:tab w:leader="none" w:pos="13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380" w:right="80" w:firstLine="642"/>
        <w:spacing w:after="0" w:line="261" w:lineRule="auto"/>
        <w:tabs>
          <w:tab w:leader="none" w:pos="13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0" w:right="360" w:firstLine="638"/>
        <w:spacing w:after="0" w:line="258" w:lineRule="auto"/>
        <w:tabs>
          <w:tab w:leader="none" w:pos="9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380" w:right="60" w:firstLine="642"/>
        <w:spacing w:after="0" w:line="266" w:lineRule="auto"/>
        <w:tabs>
          <w:tab w:leader="none" w:pos="135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80" w:right="60" w:firstLine="642"/>
        <w:spacing w:after="0" w:line="266" w:lineRule="auto"/>
        <w:tabs>
          <w:tab w:leader="none" w:pos="13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317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86359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5863590" cy="25400"/>
                    </a:xfrm>
                    <a:prstGeom prst="rect">
                      <a:avLst/>
                    </a:prstGeom>
                    <a:noFill/>
                  </pic:spPr>
                </pic:pic>
              </a:graphicData>
            </a:graphic>
          </wp:anchor>
        </w:drawing>
      </w:r>
    </w:p>
    <w:p>
      <w:pPr>
        <w:sectPr>
          <w:pgSz w:w="11900" w:h="16838" w:orient="portrait"/>
          <w:cols w:equalWidth="0" w:num="1">
            <w:col w:w="9280"/>
          </w:cols>
          <w:pgMar w:left="1440" w:top="117" w:right="117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Hunter C. Smith, certify that:</w:t>
      </w:r>
    </w:p>
    <w:p>
      <w:pPr>
        <w:spacing w:after="0" w:line="225" w:lineRule="exact"/>
        <w:rPr>
          <w:sz w:val="20"/>
          <w:szCs w:val="20"/>
          <w:color w:val="auto"/>
        </w:rPr>
      </w:pPr>
    </w:p>
    <w:p>
      <w:pPr>
        <w:ind w:left="880" w:hanging="227"/>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Rhythm Pharmaceuticals, Inc.;</w:t>
      </w:r>
    </w:p>
    <w:p>
      <w:pPr>
        <w:spacing w:after="0" w:line="225" w:lineRule="exact"/>
        <w:rPr>
          <w:rFonts w:ascii="Times New Roman" w:cs="Times New Roman" w:eastAsia="Times New Roman" w:hAnsi="Times New Roman"/>
          <w:sz w:val="18"/>
          <w:szCs w:val="18"/>
          <w:color w:val="auto"/>
        </w:rPr>
      </w:pPr>
    </w:p>
    <w:p>
      <w:pPr>
        <w:ind w:right="220" w:firstLine="653"/>
        <w:spacing w:after="0" w:line="258"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right="120" w:firstLine="653"/>
        <w:spacing w:after="0" w:line="266"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3"/>
        <w:spacing w:after="0" w:line="258"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320" w:right="180" w:firstLine="657"/>
        <w:spacing w:after="0" w:line="261" w:lineRule="auto"/>
        <w:tabs>
          <w:tab w:leader="none" w:pos="125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320" w:right="440" w:firstLine="657"/>
        <w:spacing w:after="0" w:line="261" w:lineRule="auto"/>
        <w:tabs>
          <w:tab w:leader="none" w:pos="126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320" w:right="40" w:firstLine="657"/>
        <w:spacing w:after="0" w:line="258" w:lineRule="auto"/>
        <w:tabs>
          <w:tab w:leader="none" w:pos="125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320" w:right="120" w:firstLine="657"/>
        <w:spacing w:after="0" w:line="261" w:lineRule="auto"/>
        <w:tabs>
          <w:tab w:leader="none" w:pos="126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right="240" w:firstLine="653"/>
        <w:spacing w:after="0" w:line="266" w:lineRule="auto"/>
        <w:tabs>
          <w:tab w:leader="none" w:pos="87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240" w:firstLine="657"/>
        <w:spacing w:after="0" w:line="266" w:lineRule="auto"/>
        <w:tabs>
          <w:tab w:leader="none" w:pos="125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20" w:right="280" w:firstLine="657"/>
        <w:spacing w:after="0" w:line="282" w:lineRule="auto"/>
        <w:tabs>
          <w:tab w:leader="none" w:pos="125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28975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511810</wp:posOffset>
            </wp:positionV>
            <wp:extent cx="579501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196" w:name="page197"/>
    <w:bookmarkEnd w:id="19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 David P. Meeker M.D., certify pursuant to 18 U.S.C. Section 1350, as adopted pursuant to Section 906 of the Sarbanes-Oxley Act of 2002, that, to my knowledge, this Annual Report on Form 10-K of Rhythm Pharmaceuticals, Inc. for the fiscal year ended December 31, 2024 fully complies with the requirements of Section 13(a) or 15(d) of the Securities Exchange Act of 1934 and the information contained in such Form 10-K fairly presents, in all material respects, the financial condition and results of operations of Rhythm Pharmaceuticals, Inc.</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7" w:name="page198"/>
    <w:bookmarkEnd w:id="1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 Hunter C. Smith, certify pursuant to 18 U.S.C. Section 1350, as adopted pursuant to Section 906 of the Sarbanes-Oxley Act of 2002, that, to my knowledge, this Annual Report on Form 10-K of Rhythm Pharmaceuticals, Inc. for the fiscal year ended December 31, 2024 fully complies with the requirements of Section 13(a) or 15(d) of the Securities Exchange Act of 1934 and the information contained in such Form 10-K fairly presents, in all material respects, the financial condition and results of operations of Rhythm Pharmaceuticals Inc.</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3"/>
    </w:lvl>
  </w:abstractNum>
  <w:abstractNum w:abstractNumId="6">
    <w:nsid w:val="15B5AF5C"/>
    <w:multiLevelType w:val="hybridMultilevel"/>
    <w:lvl w:ilvl="0">
      <w:lvlJc w:val="left"/>
      <w:lvlText w:val="%1."/>
      <w:numFmt w:val="lowerLetter"/>
      <w:start w:val="1"/>
    </w:lvl>
  </w:abstractNum>
  <w:abstractNum w:abstractNumId="7">
    <w:nsid w:val="741226BB"/>
    <w:multiLevelType w:val="hybridMultilevel"/>
    <w:lvl w:ilvl="0">
      <w:lvlJc w:val="left"/>
      <w:lvlText w:val="%1."/>
      <w:numFmt w:val="lowerLetter"/>
      <w:start w:val="4"/>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718"/>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lvl w:ilvl="1">
      <w:lvlJc w:val="left"/>
      <w:lvlText w:val="●"/>
      <w:numFmt w:val="bullet"/>
      <w:start w:val="1"/>
    </w:lvl>
  </w:abstractNum>
  <w:abstractNum w:abstractNumId="33">
    <w:nsid w:val="1EBA5D23"/>
    <w:multiLevelType w:val="hybridMultilevel"/>
    <w:lvl w:ilvl="0">
      <w:lvlJc w:val="left"/>
      <w:lvlText w:val="●"/>
      <w:numFmt w:val="bullet"/>
      <w:start w:val="1"/>
    </w:lvl>
    <w:lvl w:ilvl="1">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lvl w:ilvl="1">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3"/>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1)"/>
      <w:numFmt w:val="decimal"/>
      <w:start w:val="3"/>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decimal"/>
      <w:start w:val="2"/>
    </w:lvl>
  </w:abstractNum>
  <w:abstractNum w:abstractNumId="77">
    <w:nsid w:val="7F01579B"/>
    <w:multiLevelType w:val="hybridMultilevel"/>
    <w:lvl w:ilvl="0">
      <w:lvlJc w:val="left"/>
      <w:lvlText w:val="(%1)"/>
      <w:numFmt w:val="lowerLetter"/>
      <w:start w:val="2"/>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2"/>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1)"/>
      <w:numFmt w:val="lowerRoman"/>
      <w:start w:val="1"/>
    </w:lvl>
  </w:abstractNum>
  <w:abstractNum w:abstractNumId="94">
    <w:nsid w:val="14FCE74E"/>
    <w:multiLevelType w:val="hybridMultilevel"/>
    <w:lvl w:ilvl="0">
      <w:lvlJc w:val="left"/>
      <w:lvlText w:val="1"/>
      <w:numFmt w:val="bullet"/>
      <w:start w:val="1"/>
    </w:lvl>
  </w:abstractNum>
  <w:abstractNum w:abstractNumId="95">
    <w:nsid w:val="6A3DD3E8"/>
    <w:multiLevelType w:val="hybridMultilevel"/>
    <w:lvl w:ilvl="0">
      <w:lvlJc w:val="left"/>
      <w:lvlText w:val="2"/>
      <w:numFmt w:val="bullet"/>
      <w:start w:val="1"/>
    </w:lvl>
  </w:abstractNum>
  <w:abstractNum w:abstractNumId="96">
    <w:nsid w:val="71C91298"/>
    <w:multiLevelType w:val="hybridMultilevel"/>
    <w:lvl w:ilvl="0">
      <w:lvlJc w:val="left"/>
      <w:lvlText w:val="3"/>
      <w:numFmt w:val="bullet"/>
      <w:start w:val="1"/>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4"/>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5"/>
      <w:numFmt w:val="bullet"/>
      <w:start w:val="1"/>
    </w:lvl>
  </w:abstractNum>
  <w:abstractNum w:abstractNumId="101">
    <w:nsid w:val="1D545C4D"/>
    <w:multiLevelType w:val="hybridMultilevel"/>
    <w:lvl w:ilvl="0">
      <w:lvlJc w:val="left"/>
      <w:lvlText w:val="6"/>
      <w:numFmt w:val="bullet"/>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7"/>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8"/>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9"/>
      <w:numFmt w:val="bullet"/>
      <w:start w:val="1"/>
    </w:lvl>
  </w:abstractNum>
  <w:abstractNum w:abstractNumId="108">
    <w:nsid w:val="1CA0C5FA"/>
    <w:multiLevelType w:val="hybridMultilevel"/>
    <w:lvl w:ilvl="0">
      <w:lvlJc w:val="left"/>
      <w:lvlText w:val="%1"/>
      <w:numFmt w:val="decimal"/>
      <w:start w:val="10"/>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205"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166" Type="http://schemas.openxmlformats.org/officeDocument/2006/relationships/hyperlink" Target="https://www.sec.gov/Archives/edgar/data/1649904/000110465921000984/tm211725d1_ex2-1.htm" TargetMode="External"/><Relationship Id="rId167" Type="http://schemas.openxmlformats.org/officeDocument/2006/relationships/hyperlink" Target="https://www.sec.gov/Archives/edgar/data/1649904/000155837023002613/rytm-20221231xex2d2.htm" TargetMode="External"/><Relationship Id="rId168" Type="http://schemas.openxmlformats.org/officeDocument/2006/relationships/hyperlink" Target="https://www.sec.gov/Archives/edgar/data/1649904/000155837020004983/rytm-20200331ex3160e0802.htm" TargetMode="External"/><Relationship Id="rId169" Type="http://schemas.openxmlformats.org/officeDocument/2006/relationships/hyperlink" Target="https://www.sec.gov/Archives/edgar/data/1649904/000110465923126873/tm2332524d2_ex3-1.htm" TargetMode="External"/><Relationship Id="rId170" Type="http://schemas.openxmlformats.org/officeDocument/2006/relationships/hyperlink" Target="https://www.sec.gov/Archives/edgar/data/1649904/000155837024007076/rytm-20240331xex3d4.htm" TargetMode="External"/><Relationship Id="rId171" Type="http://schemas.openxmlformats.org/officeDocument/2006/relationships/hyperlink" Target="https://www.sec.gov/Archives/edgar/data/1649904/000104746917006046/a2233203zex-4_1.htm" TargetMode="External"/><Relationship Id="rId172" Type="http://schemas.openxmlformats.org/officeDocument/2006/relationships/hyperlink" Target="https://www.sec.gov/Archives/edgar/data/1649904/000110465921133180/tm2131565d2_ex4-3.htm" TargetMode="External"/><Relationship Id="rId173" Type="http://schemas.openxmlformats.org/officeDocument/2006/relationships/hyperlink" Target="https://www.sec.gov/Archives/edgar/data/1649904/000110465923027958/tm238082d2_ex4-3.htm" TargetMode="External"/><Relationship Id="rId174" Type="http://schemas.openxmlformats.org/officeDocument/2006/relationships/hyperlink" Target="https://www.sec.gov/Archives/edgar/data/1649904/000155837023002613/rytm-20221231xex4d3.htm" TargetMode="External"/><Relationship Id="rId175" Type="http://schemas.openxmlformats.org/officeDocument/2006/relationships/hyperlink" Target="https://www.sec.gov/Archives/edgar/data/1649904/000104746917006046/a2233203zex-10_1.htm" TargetMode="External"/><Relationship Id="rId176" Type="http://schemas.openxmlformats.org/officeDocument/2006/relationships/hyperlink" Target="https://www.sec.gov/Archives/edgar/data/1649904/000104746917006046/a2233203zex-10_21.htm" TargetMode="External"/><Relationship Id="rId177" Type="http://schemas.openxmlformats.org/officeDocument/2006/relationships/hyperlink" Target="https://www.sec.gov/Archives/edgar/data/1649904/000155837017008882/rytm-20170930ex102a02cce.htm" TargetMode="External"/><Relationship Id="rId178" Type="http://schemas.openxmlformats.org/officeDocument/2006/relationships/hyperlink" Target="https://www.sec.gov/Archives/edgar/data/1649904/000155837020001896/rytm-20191231ex101831313.htm" TargetMode="External"/><Relationship Id="rId179" Type="http://schemas.openxmlformats.org/officeDocument/2006/relationships/hyperlink" Target="https://www.sec.gov/Archives/edgar/data/1649904/000155837024007076/rytm-20240331xex10d4.htm" TargetMode="External"/><Relationship Id="rId180" Type="http://schemas.openxmlformats.org/officeDocument/2006/relationships/hyperlink" Target="https://www.sec.gov/Archives/edgar/data/1649904/000155837017008882/rytm-20170930ex1010f9b7e.htm" TargetMode="External"/><Relationship Id="rId181" Type="http://schemas.openxmlformats.org/officeDocument/2006/relationships/hyperlink" Target="https://www.sec.gov/Archives/edgar/data/1649904/000104746918004547/a2236008zex-10_17.htm" TargetMode="External"/><Relationship Id="rId182" Type="http://schemas.openxmlformats.org/officeDocument/2006/relationships/hyperlink" Target="https://www.sec.gov/Archives/edgar/data/1649904/000155837022002543/rytm-20211231xex10d5d1.htm" TargetMode="External"/><Relationship Id="rId183" Type="http://schemas.openxmlformats.org/officeDocument/2006/relationships/hyperlink" Target="https://www.sec.gov/Archives/edgar/data/1649904/000155837022002543/rytm-20211231xex10d5d2.htm" TargetMode="External"/><Relationship Id="rId184" Type="http://schemas.openxmlformats.org/officeDocument/2006/relationships/hyperlink" Target="https://www.sec.gov/Archives/edgar/data/1649904/000155837024011101/rytm-20240630xex10d1.htm" TargetMode="External"/><Relationship Id="rId185" Type="http://schemas.openxmlformats.org/officeDocument/2006/relationships/hyperlink" Target="https://www.sec.gov/Archives/edgar/data/1649904/000104746917005536/a2233117zex-10_6.htm" TargetMode="External"/><Relationship Id="rId186" Type="http://schemas.openxmlformats.org/officeDocument/2006/relationships/hyperlink" Target="https://www.sec.gov/Archives/edgar/data/1649904/000104746917005536/a2233117zex-10_8.htm" TargetMode="External"/><Relationship Id="rId187" Type="http://schemas.openxmlformats.org/officeDocument/2006/relationships/hyperlink" Target="https://www.sec.gov/Archives/edgar/data/1649904/000155837022002543/rytm-20211231xex10d10.htm" TargetMode="External"/><Relationship Id="rId188" Type="http://schemas.openxmlformats.org/officeDocument/2006/relationships/hyperlink" Target="https://www.sec.gov/Archives/edgar/data/1649904/000104746917005536/a2233117zex-10_7.htm" TargetMode="External"/><Relationship Id="rId189" Type="http://schemas.openxmlformats.org/officeDocument/2006/relationships/hyperlink" Target="https://www.sec.gov/Archives/edgar/data/1649904/000155837020004983/rytm-20200331ex1034ef217.htm" TargetMode="External"/><Relationship Id="rId190" Type="http://schemas.openxmlformats.org/officeDocument/2006/relationships/hyperlink" Target="https://www.sec.gov/Archives/edgar/data/1649904/000155837020008958/rytm-20200630xex10d1.htm" TargetMode="External"/><Relationship Id="rId191" Type="http://schemas.openxmlformats.org/officeDocument/2006/relationships/hyperlink" Target="https://www.sec.gov/Archives/edgar/data/1649904/000104746917005536/a2233117zex-10_15.htm" TargetMode="External"/><Relationship Id="rId192" Type="http://schemas.openxmlformats.org/officeDocument/2006/relationships/hyperlink" Target="https://www.sec.gov/Archives/edgar/data/1649904/000104746917005536/a2233117zex-10_11.htm" TargetMode="External"/><Relationship Id="rId193" Type="http://schemas.openxmlformats.org/officeDocument/2006/relationships/hyperlink" Target="https://www.sec.gov/Archives/edgar/data/1649904/000155837019001698/rytm-20181231ex1090916e7.htm" TargetMode="External"/><Relationship Id="rId194" Type="http://schemas.openxmlformats.org/officeDocument/2006/relationships/hyperlink" Target="https://www.sec.gov/Archives/edgar/data/1649904/000110465918050938/a18-18382_1ex10d1.htm#Exhibit10_1_103856" TargetMode="External"/><Relationship Id="rId195" Type="http://schemas.openxmlformats.org/officeDocument/2006/relationships/hyperlink" Target="https://www.sec.gov/Archives/edgar/data/1649904/000155837024007076/rytm-20240331xex10d5.htm" TargetMode="External"/><Relationship Id="rId196" Type="http://schemas.openxmlformats.org/officeDocument/2006/relationships/hyperlink" Target="https://www.sec.gov/Archives/edgar/data/1649904/000110465923087375/tm2322430d2_ex10-4.htm" TargetMode="External"/><Relationship Id="rId197" Type="http://schemas.openxmlformats.org/officeDocument/2006/relationships/hyperlink" Target="https://www.sec.gov/Archives/edgar/data/1649904/000155837020012208/rytm-20200930xex10d1.htm" TargetMode="External"/><Relationship Id="rId198" Type="http://schemas.openxmlformats.org/officeDocument/2006/relationships/hyperlink" Target="https://www.sec.gov/Archives/edgar/data/1649904/000110465923087375/tm2322430d2_ex10-2.htm" TargetMode="External"/><Relationship Id="rId199" Type="http://schemas.openxmlformats.org/officeDocument/2006/relationships/hyperlink" Target="https://www.sec.gov/Archives/edgar/data/1649904/000110465923087375/tm2322430d2_ex10-3.htm" TargetMode="External"/><Relationship Id="rId200" Type="http://schemas.openxmlformats.org/officeDocument/2006/relationships/hyperlink" Target="https://www.sec.gov/Archives/edgar/data/1649904/000110465923087375/tm2322430d2_ex10-1.htm" TargetMode="External"/><Relationship Id="rId201" Type="http://schemas.openxmlformats.org/officeDocument/2006/relationships/hyperlink" Target="https://www.sec.gov/Archives/edgar/data/1649904/000155837021009963/rytm-20210630xex10d1.htm" TargetMode="External"/><Relationship Id="rId202" Type="http://schemas.openxmlformats.org/officeDocument/2006/relationships/hyperlink" Target="https://www.sec.gov/Archives/edgar/data/1649904/000155837022011888/rytm-20220630xex10d1.htm" TargetMode="External"/><Relationship Id="rId203" Type="http://schemas.openxmlformats.org/officeDocument/2006/relationships/hyperlink" Target="https://www.sec.gov/Archives/edgar/data/1649904/000155837024002181/rytm-20231231xex10d25.htm" TargetMode="External"/><Relationship Id="rId204" Type="http://schemas.openxmlformats.org/officeDocument/2006/relationships/hyperlink" Target="https://www.sec.gov/Archives/edgar/data/1649904/000110465924041970/tm2410287d1_ex10-1.htm" TargetMode="External"/><Relationship Id="rId206" Type="http://schemas.openxmlformats.org/officeDocument/2006/relationships/hyperlink" Target="https://www.sec.gov/Archives/edgar/data/1649904/000155837024002181/rytm-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2025-02-28T07:29:01Z</dcterms:created>
  <dcterms:modified xsi:type="dcterms:W3CDTF">2025-02-28T07:29:01Z</dcterms:modified>
</cp:coreProperties>
</file>